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rPr>
          <w:iCs/>
          <w:i/>
        </w:rPr>
        <w:t xml:space="preserve">Draft for the thesis chapter. Numbers are taken from the model output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</w:t>
      </w:r>
      <w:r>
        <w:rPr>
          <w:iCs/>
          <w:i/>
        </w:rPr>
        <w:t xml:space="preserve"> </w:t>
      </w:r>
      <w:r>
        <w:rPr>
          <w:iCs/>
          <w:i/>
        </w:rPr>
        <w:t xml:space="preserve">(code version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, ERA5 year 2023). Parameter values and their</w:t>
      </w:r>
      <w:r>
        <w:rPr>
          <w:iCs/>
          <w:i/>
        </w:rPr>
        <w:t xml:space="preserve"> </w:t>
      </w:r>
      <w:r>
        <w:rPr>
          <w:iCs/>
          <w:i/>
        </w:rPr>
        <w:t xml:space="preserve">sources are listed in full in Table T1 (</w:t>
      </w:r>
      <w:r>
        <w:rPr>
          <w:rStyle w:val="VerbatimChar"/>
          <w:iCs/>
          <w:i/>
        </w:rPr>
        <w:t xml:space="preserve">results/paper/tables/T1_parameters.md</w:t>
      </w:r>
      <w:r>
        <w:rPr>
          <w:iCs/>
          <w:i/>
        </w:rPr>
        <w:t xml:space="preserve">).</w:t>
      </w:r>
    </w:p>
    <w:bookmarkStart w:id="20" w:name="study-design"/>
    <w:p>
      <w:pPr>
        <w:pStyle w:val="Heading2"/>
      </w:pPr>
      <w:r>
        <w:t xml:space="preserve">1 Study design</w:t>
      </w:r>
    </w:p>
    <w:p>
      <w:pPr>
        <w:pStyle w:val="FirstParagraph"/>
      </w:pPr>
      <w:r>
        <w:t xml:space="preserve">The study models the electric power system of a generic oil platform in the</w:t>
      </w:r>
      <w:r>
        <w:t xml:space="preserve"> </w:t>
      </w:r>
      <w:r>
        <w:t xml:space="preserve">northern North Sea (Tampen area, 61.0° N, 2.0° E) for one year at hourly</w:t>
      </w:r>
      <w:r>
        <w:t xml:space="preserve"> </w:t>
      </w:r>
      <w:r>
        <w:t xml:space="preserve">resolution. Power is supplied by gas turbines (GTs) and, in the wind cases, by</w:t>
      </w:r>
      <w:r>
        <w:t xml:space="preserve"> </w:t>
      </w:r>
      <w:r>
        <w:t xml:space="preserve">a nearby offshore wind farm. The novelty compared with earlier platform–wind</w:t>
      </w:r>
      <w:r>
        <w:t xml:space="preserve"> </w:t>
      </w:r>
      <w:r>
        <w:t xml:space="preserve">studies is that the topside demand is not treated as a fixed load: each</w:t>
      </w:r>
      <w:r>
        <w:t xml:space="preserve"> </w:t>
      </w:r>
      <w:r>
        <w:t xml:space="preserve">consumer is mapped to its process duty and classified by how far, and at what</w:t>
      </w:r>
      <w:r>
        <w:t xml:space="preserve"> </w:t>
      </w:r>
      <w:r>
        <w:t xml:space="preserve">cost, it can be moved in time or reduced. An optimisation model then schedules</w:t>
      </w:r>
      <w:r>
        <w:t xml:space="preserve"> </w:t>
      </w:r>
      <w:r>
        <w:t xml:space="preserve">the flexible consumers together with the GTs.</w:t>
      </w:r>
    </w:p>
    <w:p>
      <w:pPr>
        <w:pStyle w:val="BodyText"/>
      </w:pPr>
      <w:r>
        <w:t xml:space="preserve">Four cases are compared: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Gas turbines only</w:t>
      </w:r>
      <w:r>
        <w:t xml:space="preserve"> </w:t>
      </w:r>
      <w:r>
        <w:t xml:space="preserve">(baseline), fixed demand.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Wind + GTs, fixed demand</w:t>
      </w:r>
      <w:r>
        <w:t xml:space="preserve">: production and water injection at their</w:t>
      </w:r>
      <w:r>
        <w:t xml:space="preserve"> </w:t>
      </w:r>
      <w:r>
        <w:t xml:space="preserve">design and target rates every hour.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Wind + GTs, flexible scheduling</w:t>
      </w:r>
      <w:r>
        <w:t xml:space="preserve">: production and water-injection rates</w:t>
      </w:r>
      <w:r>
        <w:t xml:space="preserve"> </w:t>
      </w:r>
      <w:r>
        <w:t xml:space="preserve">are decision variables.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Case 3 + battery</w:t>
      </w:r>
      <w:r>
        <w:t xml:space="preserve"> </w:t>
      </w:r>
      <w:r>
        <w:t xml:space="preserve">(4 MW / 4 MWh).</w:t>
      </w:r>
    </w:p>
    <w:p>
      <w:pPr>
        <w:pStyle w:val="FirstParagraph"/>
      </w:pPr>
      <w:r>
        <w:t xml:space="preserve">In all cases the platform keeps its three existing GTs (a retrofit, as on the</w:t>
      </w:r>
      <w:r>
        <w:t xml:space="preserve"> </w:t>
      </w:r>
      <w:r>
        <w:t xml:space="preserve">Snorre and Gullfaks platforms supplied by Hywind Tampen); the optimiser decides</w:t>
      </w:r>
      <w:r>
        <w:t xml:space="preserve"> </w:t>
      </w:r>
      <w:r>
        <w:t xml:space="preserve">how many run in each hour. Process behaviour is represented by steady-state</w:t>
      </w:r>
      <w:r>
        <w:t xml:space="preserve"> </w:t>
      </w:r>
      <w:r>
        <w:t xml:space="preserve">operating points with ramp limits; transient process dynamics are outside the</w:t>
      </w:r>
      <w:r>
        <w:t xml:space="preserve"> </w:t>
      </w:r>
      <w:r>
        <w:t xml:space="preserve">scope.</w:t>
      </w:r>
    </w:p>
    <w:p>
      <w:pPr>
        <w:pStyle w:val="BodyText"/>
      </w:pPr>
      <w:r>
        <w:t xml:space="preserve">The model is written in Python. NeqSim is used for thermodynamics and process</w:t>
      </w:r>
      <w:r>
        <w:t xml:space="preserve"> </w:t>
      </w:r>
      <w:r>
        <w:t xml:space="preserve">simulation, Pyomo with the HiGHS solver for optimisation. Every parameter is</w:t>
      </w:r>
      <w:r>
        <w:t xml:space="preserve"> </w:t>
      </w:r>
      <w:r>
        <w:t xml:space="preserve">stored in one configuration file with its unit and source, and unverified</w:t>
      </w:r>
      <w:r>
        <w:t xml:space="preserve"> </w:t>
      </w:r>
      <w:r>
        <w:t xml:space="preserve">values are explicitly marked as assumptions (29 of 101 parameters). The code</w:t>
      </w:r>
      <w:r>
        <w:t xml:space="preserve"> </w:t>
      </w:r>
      <w:r>
        <w:t xml:space="preserve">has a test suite of 49 automated checks that compare model components with</w:t>
      </w:r>
      <w:r>
        <w:t xml:space="preserve"> </w:t>
      </w:r>
      <w:r>
        <w:t xml:space="preserve">hand calculations and published values.</w:t>
      </w:r>
    </w:p>
    <w:bookmarkEnd w:id="20"/>
    <w:bookmarkStart w:id="21" w:name="wind-resource-and-wind-farm-power"/>
    <w:p>
      <w:pPr>
        <w:pStyle w:val="Heading2"/>
      </w:pPr>
      <w:r>
        <w:t xml:space="preserve">2 Wind resource and wind farm power</w:t>
      </w:r>
    </w:p>
    <w:p>
      <w:pPr>
        <w:pStyle w:val="FirstParagraph"/>
      </w:pPr>
      <w:r>
        <w:t xml:space="preserve">Hourly wind components at 100 m for 2023 were taken from the ERA5 reanalysis</w:t>
      </w:r>
      <w:r>
        <w:t xml:space="preserve"> </w:t>
      </w:r>
      <w:r>
        <w:t xml:space="preserve">(Hersbach et al., 2020) at the grid point 61.0° N, 2.0° E. Wind speed was</w:t>
      </w:r>
      <w:r>
        <w:t xml:space="preserve"> </w:t>
      </w:r>
      <w:r>
        <w:t xml:space="preserve">extrapolated to the 150 m hub height with the power law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  <m:r>
                <m:t>u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100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h</m:t>
                          </m:r>
                          <m:r>
                            <m:t>u</m:t>
                          </m:r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100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α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0.11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value recommended for near-neutral conditions at sea (Hsu et al., 1994).</w:t>
      </w:r>
      <w:r>
        <w:t xml:space="preserve"> </w:t>
      </w:r>
      <w:r>
        <w:t xml:space="preserve">Turbine power was interpolated on the power curve of the IEA 15 MW offshore</w:t>
      </w:r>
      <w:r>
        <w:t xml:space="preserve"> </w:t>
      </w:r>
      <w:r>
        <w:t xml:space="preserve">reference turbine (Gaertner et al., 2020): cut-in 3 m/s, rated power from</w:t>
      </w:r>
      <w:r>
        <w:t xml:space="preserve"> </w:t>
      </w:r>
      <w:r>
        <w:t xml:space="preserve">10.7 m/s, cut-out 25 m/s. The base-case farm has two turbines (30 MW</w:t>
      </w:r>
      <w:r>
        <w:t xml:space="preserve"> </w:t>
      </w:r>
      <w:r>
        <w:t xml:space="preserve">installed), of the same order as the 32 MW wind farm of the LEOGO reference</w:t>
      </w:r>
      <w:r>
        <w:t xml:space="preserve"> </w:t>
      </w:r>
      <w:r>
        <w:t xml:space="preserve">platform (Svendsen et al., 2023). Wake losses (5 %), electrical losses (2 %)</w:t>
      </w:r>
      <w:r>
        <w:t xml:space="preserve"> </w:t>
      </w:r>
      <w:r>
        <w:t xml:space="preserve">and availability (95 %) reduce the delivered power by a combined factor of</w:t>
      </w:r>
      <w:r>
        <w:t xml:space="preserve"> </w:t>
      </w:r>
      <w:r>
        <w:t xml:space="preserve">0.884, so the farm delivers at most 26.5 MW.</w:t>
      </w:r>
    </w:p>
    <w:bookmarkEnd w:id="21"/>
    <w:bookmarkStart w:id="22" w:name="gas-turbines-fuel-gas-and-co2"/>
    <w:p>
      <w:pPr>
        <w:pStyle w:val="Heading2"/>
      </w:pPr>
      <w:r>
        <w:t xml:space="preserve">3 Gas turbines, fuel gas and CO2</w:t>
      </w:r>
    </w:p>
    <w:p>
      <w:pPr>
        <w:pStyle w:val="FirstParagraph"/>
      </w:pPr>
      <w:r>
        <w:t xml:space="preserve">The GTs follow the LEOGO reference turbine (Svendsen et al., 2023): rated</w:t>
      </w:r>
      <w:r>
        <w:t xml:space="preserve"> </w:t>
      </w:r>
      <w:r>
        <w:t xml:space="preserve">electric power 21.8 MW, minimum stable load 3.5 MW (16 %), three units</w:t>
      </w:r>
      <w:r>
        <w:t xml:space="preserve"> </w:t>
      </w:r>
      <w:r>
        <w:t xml:space="preserve">installed. Fuel use is linear in electric output (a Willans line):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f</m:t>
              </m:r>
              <m:r>
                <m:t>u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η</m:t>
                  </m:r>
                </m:e>
                <m:sub>
                  <m:r>
                    <m:t>r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t> </m:t>
              </m:r>
              <m:r>
                <m:t>u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d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1 when the unit runs,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0.347</m:t>
        </m:r>
      </m:oMath>
      <w:r>
        <w:t xml:space="preserve"> </w:t>
      </w:r>
      <w:r>
        <w:t xml:space="preserve">and the no-load fuel</w:t>
      </w:r>
      <w:r>
        <w:t xml:space="preserve"> </w:t>
      </w:r>
      <w:r>
        <w:t xml:space="preserve">fraction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0.184</m:t>
        </m:r>
      </m:oMath>
      <w:r>
        <w:t xml:space="preserve"> </w:t>
      </w:r>
      <w:r>
        <w:t xml:space="preserve">follow from the LEOGO fuel coefficients (</w:t>
      </w:r>
      <m:oMath>
        <m:r>
          <m:t>A</m:t>
        </m:r>
        <m:r>
          <m:rPr>
            <m:sty m:val="p"/>
          </m:rPr>
          <m:t>=</m:t>
        </m:r>
        <m:r>
          <m:t>2.35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0.53</m:t>
        </m:r>
      </m:oMath>
      <w:r>
        <w:t xml:space="preserve">;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t xml:space="preserve">). Efficiency therefore</w:t>
      </w:r>
      <w:r>
        <w:t xml:space="preserve"> </w:t>
      </w:r>
      <w:r>
        <w:t xml:space="preserve">falls from 34.7 % at full load to 29.3 % at half load and 17.7 % at minimum</w:t>
      </w:r>
      <w:r>
        <w:t xml:space="preserve"> </w:t>
      </w:r>
      <w:r>
        <w:t xml:space="preserve">load, and the specific CO2 emission rises from 623 to 737 and 1,220 kg/MWh.</w:t>
      </w:r>
      <w:r>
        <w:t xml:space="preserve"> </w:t>
      </w:r>
      <w:r>
        <w:t xml:space="preserve">Half of the heat in the exhaust that is not converted to electricity is</w:t>
      </w:r>
      <w:r>
        <w:t xml:space="preserve"> </w:t>
      </w:r>
      <w:r>
        <w:t xml:space="preserve">recovered as useful heat.</w:t>
      </w:r>
    </w:p>
    <w:p>
      <w:pPr>
        <w:pStyle w:val="BodyText"/>
      </w:pPr>
      <w:r>
        <w:t xml:space="preserve">The lower heating value of the fuel gas, 38.96 MJ/Sm3, was computed with</w:t>
      </w:r>
      <w:r>
        <w:t xml:space="preserve"> </w:t>
      </w:r>
      <w:r>
        <w:t xml:space="preserve">NeqSim according to ISO 6976 from a generic North Sea fuel-gas composition.</w:t>
      </w:r>
      <w:r>
        <w:t xml:space="preserve"> </w:t>
      </w:r>
      <w:r>
        <w:t xml:space="preserve">CO2 emissions use the Norwegian standard factor of 2.34 kg CO2 per Sm3 fuel</w:t>
      </w:r>
      <w:r>
        <w:t xml:space="preserve"> </w:t>
      </w:r>
      <w:r>
        <w:t xml:space="preserve">gas (Statistics Norway, as used in LEOGO). A carbon balance of the assumed</w:t>
      </w:r>
      <w:r>
        <w:t xml:space="preserve"> </w:t>
      </w:r>
      <w:r>
        <w:t xml:space="preserve">composition gives 2.27 kg/Sm3, and reported Gullfaks data give 2.32–2.40</w:t>
      </w:r>
      <w:r>
        <w:t xml:space="preserve"> </w:t>
      </w:r>
      <w:r>
        <w:t xml:space="preserve">kg/Sm3 (Section 8), which supports the value used.</w:t>
      </w:r>
    </w:p>
    <w:bookmarkEnd w:id="22"/>
    <w:bookmarkStart w:id="23" w:name="X467d783c2a5fb12e8a5001a97cf945c336ab73d"/>
    <w:p>
      <w:pPr>
        <w:pStyle w:val="Heading2"/>
      </w:pPr>
      <w:r>
        <w:t xml:space="preserve">4 Topside process model and power per consumer</w:t>
      </w:r>
    </w:p>
    <w:p>
      <w:pPr>
        <w:pStyle w:val="FirstParagraph"/>
      </w:pPr>
      <w:r>
        <w:t xml:space="preserve">The process was modelled in NeqSim with the Peng–Robinson equation of state</w:t>
      </w:r>
      <w:r>
        <w:t xml:space="preserve"> </w:t>
      </w:r>
      <w:r>
        <w:t xml:space="preserve">for hydrocarbons and the CPA equation of state for water, which reproduces</w:t>
      </w:r>
      <w:r>
        <w:t xml:space="preserve"> </w:t>
      </w:r>
      <w:r>
        <w:t xml:space="preserve">liquid-water density and therefore pump power (SRK overestimated water-pump</w:t>
      </w:r>
      <w:r>
        <w:t xml:space="preserve"> </w:t>
      </w:r>
      <w:r>
        <w:t xml:space="preserve">power by about 30 % in a test). The flowsheet is:</w:t>
      </w:r>
    </w:p>
    <w:p>
      <w:pPr>
        <w:numPr>
          <w:ilvl w:val="0"/>
          <w:numId w:val="1002"/>
        </w:numPr>
        <w:pStyle w:val="Compact"/>
      </w:pPr>
      <w:r>
        <w:t xml:space="preserve">four-stage separation at 70 / 29.2 / 7.9 / 1.8 bara (Voldsund et al., 2013,</w:t>
      </w:r>
      <w:r>
        <w:t xml:space="preserve"> </w:t>
      </w:r>
      <w:r>
        <w:t xml:space="preserve">and related North Sea platform studies);</w:t>
      </w:r>
    </w:p>
    <w:p>
      <w:pPr>
        <w:numPr>
          <w:ilvl w:val="0"/>
          <w:numId w:val="1002"/>
        </w:numPr>
        <w:pStyle w:val="Compact"/>
      </w:pPr>
      <w:r>
        <w:t xml:space="preserve">three recompression stages lifting gas from each separator to the next</w:t>
      </w:r>
      <w:r>
        <w:t xml:space="preserve"> </w:t>
      </w:r>
      <w:r>
        <w:t xml:space="preserve">stage, each followed by a cooler (30 °C) and a scrubber;</w:t>
      </w:r>
    </w:p>
    <w:p>
      <w:pPr>
        <w:numPr>
          <w:ilvl w:val="0"/>
          <w:numId w:val="1002"/>
        </w:numPr>
        <w:pStyle w:val="Compact"/>
      </w:pPr>
      <w:r>
        <w:t xml:space="preserve">gas export compression to 180 bara (isentropic efficiency 0.75);</w:t>
      </w:r>
    </w:p>
    <w:p>
      <w:pPr>
        <w:numPr>
          <w:ilvl w:val="0"/>
          <w:numId w:val="1002"/>
        </w:numPr>
        <w:pStyle w:val="Compact"/>
      </w:pPr>
      <w:r>
        <w:t xml:space="preserve">oil export pumping to 50 bara (pump efficiency 0.60);</w:t>
      </w:r>
    </w:p>
    <w:p>
      <w:pPr>
        <w:numPr>
          <w:ilvl w:val="0"/>
          <w:numId w:val="1002"/>
        </w:numPr>
        <w:pStyle w:val="Compact"/>
      </w:pPr>
      <w:r>
        <w:t xml:space="preserve">water injection pumps from 7 to 250 bara (efficiency 0.75);</w:t>
      </w:r>
    </w:p>
    <w:p>
      <w:pPr>
        <w:numPr>
          <w:ilvl w:val="0"/>
          <w:numId w:val="1002"/>
        </w:numPr>
        <w:pStyle w:val="Compact"/>
      </w:pPr>
      <w:r>
        <w:t xml:space="preserve">seawater lift pumps supplying cooling water (10 K temperature rise) and</w:t>
      </w:r>
      <w:r>
        <w:t xml:space="preserve"> </w:t>
      </w:r>
      <w:r>
        <w:t xml:space="preserve">make-up water for injection (10.4 bar lift);</w:t>
      </w:r>
    </w:p>
    <w:p>
      <w:pPr>
        <w:numPr>
          <w:ilvl w:val="0"/>
          <w:numId w:val="1002"/>
        </w:numPr>
        <w:pStyle w:val="Compact"/>
      </w:pPr>
      <w:r>
        <w:t xml:space="preserve">a fixed utility load of 3.5 MW and a heat demand of 3 MW.</w:t>
      </w:r>
    </w:p>
    <w:p>
      <w:pPr>
        <w:pStyle w:val="FirstParagraph"/>
      </w:pPr>
      <w:r>
        <w:t xml:space="preserve">Pressures, efficiencies and loads not referenced otherwise are from LEOGO.</w:t>
      </w:r>
      <w:r>
        <w:t xml:space="preserve"> </w:t>
      </w:r>
      <w:r>
        <w:t xml:space="preserve">The design point is 15,000 Sm3/d oil, a gas–oil ratio of 179 Sm3/Sm3</w:t>
      </w:r>
      <w:r>
        <w:t xml:space="preserve"> </w:t>
      </w:r>
      <w:r>
        <w:t xml:space="preserve">(2.68 MSm3/d gas export), a water cut of 40 % (10,000 m3/d produced water)</w:t>
      </w:r>
      <w:r>
        <w:t xml:space="preserve"> </w:t>
      </w:r>
      <w:r>
        <w:t xml:space="preserve">and 25,000 m3/d water injection. The resulting electric demand at design is</w:t>
      </w:r>
      <w:r>
        <w:t xml:space="preserve"> </w:t>
      </w:r>
      <w:r>
        <w:rPr>
          <w:bCs/>
          <w:b/>
        </w:rPr>
        <w:t xml:space="preserve">20.3 MW</w:t>
      </w:r>
      <w:r>
        <w:t xml:space="preserve"> </w:t>
      </w:r>
      <w:r>
        <w:t xml:space="preserve">(Table 1).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Electric power at the design point.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[MW]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injection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 export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Utilities and base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Oil export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Seawater lift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20.29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At fixed pressures and efficiencies, steady-state power is proportional to</w:t>
      </w:r>
      <w:r>
        <w:t xml:space="preserve"> </w:t>
      </w:r>
      <w:r>
        <w:t xml:space="preserve">flow. Part-load behaviour was therefore represented by equipment limits: each</w:t>
      </w:r>
      <w:r>
        <w:t xml:space="preserve"> </w:t>
      </w:r>
      <w:r>
        <w:t xml:space="preserve">consumer has a number of identical parallel trains, which can be switched off</w:t>
      </w:r>
      <w:r>
        <w:t xml:space="preserve"> </w:t>
      </w:r>
      <w:r>
        <w:t xml:space="preserve">at low flow, and a minimum flow per train below which the train recycles</w:t>
      </w:r>
      <w:r>
        <w:t xml:space="preserve"> </w:t>
      </w:r>
      <w:r>
        <w:t xml:space="preserve">(anti-surge recycle for compressors, minimum-flow recirculation for pumps).</w:t>
      </w:r>
      <w:r>
        <w:t xml:space="preserve"> </w:t>
      </w:r>
      <w:r>
        <w:t xml:space="preserve">Gas export compression has 2 × 50 % trains, recompression one train, oil</w:t>
      </w:r>
      <w:r>
        <w:t xml:space="preserve"> </w:t>
      </w:r>
      <w:r>
        <w:t xml:space="preserve">export pumps 2 × 50 %, water injection and seawater lift pumps 3 × 33 %. The</w:t>
      </w:r>
      <w:r>
        <w:t xml:space="preserve"> </w:t>
      </w:r>
      <w:r>
        <w:t xml:space="preserve">minimum flow is 70 % for compressors and 30 % for pumps (assumed).</w:t>
      </w:r>
    </w:p>
    <w:bookmarkEnd w:id="23"/>
    <w:bookmarkStart w:id="24" w:name="consumer-classification-and-flexibility"/>
    <w:p>
      <w:pPr>
        <w:pStyle w:val="Heading2"/>
      </w:pPr>
      <w:r>
        <w:t xml:space="preserve">5 Consumer classification and flexibility</w:t>
      </w:r>
    </w:p>
    <w:p>
      <w:pPr>
        <w:pStyle w:val="FirstParagraph"/>
      </w:pPr>
      <w:r>
        <w:t xml:space="preserve">Each consumer was assigned to one class and one operating lever: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Must-run</w:t>
      </w:r>
      <w:r>
        <w:t xml:space="preserve">: utilities and base load (3.5 MW), never reduced.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Flexible (deferrable)</w:t>
      </w:r>
      <w:r>
        <w:t xml:space="preserve">: water injection pumps. The lever is the injection</w:t>
      </w:r>
      <w:r>
        <w:t xml:space="preserve"> </w:t>
      </w:r>
      <w:r>
        <w:t xml:space="preserve">rate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t>i</m:t>
            </m:r>
          </m:sub>
        </m:sSub>
      </m:oMath>
      <w:r>
        <w:t xml:space="preserve"> </w:t>
      </w:r>
      <w:r>
        <w:t xml:space="preserve">(fraction of pump capacity). Postponed injection is not lost</w:t>
      </w:r>
      <w:r>
        <w:t xml:space="preserve"> </w:t>
      </w:r>
      <w:r>
        <w:t xml:space="preserve">but must be caught up.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Sheddable</w:t>
      </w:r>
      <w:r>
        <w:t xml:space="preserve">: recompression, gas export compression and oil export pumps.</w:t>
      </w:r>
      <w:r>
        <w:t xml:space="preserve"> </w:t>
      </w:r>
      <w:r>
        <w:t xml:space="preserve">The lever is the production rate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t xml:space="preserve">; any reduction is lost production.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Mixed</w:t>
      </w:r>
      <w:r>
        <w:t xml:space="preserve">: seawater lift pumps (cooling part follows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t xml:space="preserve">, make-up part</w:t>
      </w:r>
      <w:r>
        <w:t xml:space="preserve"> </w:t>
      </w:r>
      <w:r>
        <w:t xml:space="preserve">follows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t>i</m:t>
            </m:r>
          </m:sub>
        </m:sSub>
      </m:oMath>
      <w:r>
        <w:t xml:space="preserve">).</w:t>
      </w:r>
    </w:p>
    <w:p>
      <w:pPr>
        <w:pStyle w:val="FirstParagraph"/>
      </w:pPr>
      <w:r>
        <w:t xml:space="preserve">The power of each lever group is a piecewise-linear function of the lever,</w:t>
      </w:r>
      <w:r>
        <w:t xml:space="preserve"> </w:t>
      </w:r>
      <w:r>
        <w:t xml:space="preserve">derived from the trains and minimum flows of Section 4. For production it</w:t>
      </w:r>
      <w:r>
        <w:t xml:space="preserve"> </w:t>
      </w:r>
      <w:r>
        <w:t xml:space="preserve">rises from 3.97 MW at 50 % rate to 4.72 MW just above 50 % (the second export</w:t>
      </w:r>
      <w:r>
        <w:t xml:space="preserve"> </w:t>
      </w:r>
      <w:r>
        <w:t xml:space="preserve">compressor train starts at its surge limit), 5.01 MW at 70 % and 7.16 MW at</w:t>
      </w:r>
      <w:r>
        <w:t xml:space="preserve"> </w:t>
      </w:r>
      <w:r>
        <w:t xml:space="preserve">100 %. For injection it is 0 when all pumps are stopped, 0.92 MW with one pump</w:t>
      </w:r>
      <w:r>
        <w:t xml:space="preserve"> </w:t>
      </w:r>
      <w:r>
        <w:t xml:space="preserve">on minimum-flow recycle (up to 10 % rate) and rises linearly to 9.19 MW at</w:t>
      </w:r>
      <w:r>
        <w:t xml:space="preserve"> </w:t>
      </w:r>
      <w:r>
        <w:t xml:space="preserve">full rate.</w:t>
      </w:r>
    </w:p>
    <w:p>
      <w:pPr>
        <w:pStyle w:val="BodyText"/>
      </w:pPr>
      <w:r>
        <w:t xml:space="preserve">Production can be turned down to 50 % and changed by at most 10 % of design</w:t>
      </w:r>
      <w:r>
        <w:t xml:space="preserve"> </w:t>
      </w:r>
      <w:r>
        <w:t xml:space="preserve">per hour. Injection can vary between 0 and 100 % of pump capacity, by at most</w:t>
      </w:r>
      <w:r>
        <w:t xml:space="preserve"> </w:t>
      </w:r>
      <w:r>
        <w:t xml:space="preserve">34 % per hour (about one pump started or stopped). Its average must equal a</w:t>
      </w:r>
      <w:r>
        <w:t xml:space="preserve"> </w:t>
      </w:r>
      <w:r>
        <w:t xml:space="preserve">voidage-replacement target of 85 % of capacity. This is modelled as a</w:t>
      </w:r>
      <w:r>
        <w:t xml:space="preserve"> </w:t>
      </w:r>
      <w:r>
        <w:rPr>
          <w:bCs/>
          <w:b/>
        </w:rPr>
        <w:t xml:space="preserve">virtual storage</w:t>
      </w:r>
      <w:r>
        <w:t xml:space="preserve">: postponing injection builds a deficit</w:t>
      </w:r>
      <w:r>
        <w:t xml:space="preserve"> </w:t>
      </w:r>
      <m:oMath>
        <m:r>
          <m:t>D</m:t>
        </m:r>
      </m:oMath>
      <w:r>
        <w:t xml:space="preserve">, measured in</w:t>
      </w:r>
      <w:r>
        <w:t xml:space="preserve"> </w:t>
      </w:r>
      <w:r>
        <w:t xml:space="preserve">hours of full-rate injection,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f</m:t>
                  </m:r>
                </m:e>
                <m:sub>
                  <m:r>
                    <m:t>w</m:t>
                  </m:r>
                  <m:r>
                    <m:t>i</m:t>
                  </m:r>
                </m:sub>
                <m:sup>
                  <m:r>
                    <m:t>t</m:t>
                  </m:r>
                  <m:r>
                    <m:t>a</m:t>
                  </m:r>
                  <m:r>
                    <m:t>r</m:t>
                  </m:r>
                  <m:r>
                    <m:t>g</m:t>
                  </m:r>
                  <m:r>
                    <m:t>e</m:t>
                  </m:r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w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e>
          </m:d>
          <m:r>
            <m:t> </m:t>
          </m:r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72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deficit limit represents how much injection the reservoir tolerates being</w:t>
      </w:r>
      <w:r>
        <w:t xml:space="preserve"> </w:t>
      </w:r>
      <w:r>
        <w:t xml:space="preserve">postponed and is treated as an uncertain assumption; it is varied from 0 to</w:t>
      </w:r>
      <w:r>
        <w:t xml:space="preserve"> </w:t>
      </w:r>
      <w:r>
        <w:t xml:space="preserve">168 h in the sensitivity analysis.</w:t>
      </w:r>
    </w:p>
    <w:bookmarkEnd w:id="24"/>
    <w:bookmarkStart w:id="25" w:name="scheduling-model"/>
    <w:p>
      <w:pPr>
        <w:pStyle w:val="Heading2"/>
      </w:pPr>
      <w:r>
        <w:t xml:space="preserve">6 Scheduling model</w:t>
      </w:r>
    </w:p>
    <w:p>
      <w:pPr>
        <w:pStyle w:val="FirstParagraph"/>
      </w:pPr>
      <w:r>
        <w:t xml:space="preserve">The schedule is found with a mixed-integer linear program solved hourly over</w:t>
      </w:r>
      <w:r>
        <w:t xml:space="preserve"> </w:t>
      </w:r>
      <w:r>
        <w:t xml:space="preserve">the year. Decision variables are</w:t>
      </w:r>
      <w:r>
        <w:t xml:space="preserve"> </w:t>
      </w:r>
      <m:oMath>
        <m:sSub>
          <m:e>
            <m:r>
              <m:t>f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w</m:t>
            </m:r>
            <m:r>
              <m:t>i</m:t>
            </m:r>
          </m:sub>
        </m:sSub>
      </m:oMath>
      <w:r>
        <w:t xml:space="preserve">, the on/off state and power of</w:t>
      </w:r>
      <w:r>
        <w:t xml:space="preserve"> </w:t>
      </w:r>
      <w:r>
        <w:t xml:space="preserve">each GT, wind power used (the rest is curtailed), electric-heater power and,</w:t>
      </w:r>
      <w:r>
        <w:t xml:space="preserve"> </w:t>
      </w:r>
      <w:r>
        <w:t xml:space="preserve">in case 4, battery charge and discharge. The constraints are: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power balance</w:t>
      </w:r>
      <w:r>
        <w:t xml:space="preserve">: GT power + wind used + battery discharge − charge =</w:t>
      </w:r>
      <w:r>
        <w:t xml:space="preserve"> </w:t>
      </w:r>
      <w:r>
        <w:t xml:space="preserve">platform demand + electric heater;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heat balance</w:t>
      </w:r>
      <w:r>
        <w:t xml:space="preserve">: recovered GT exhaust heat + electric heater (efficiency</w:t>
      </w:r>
      <w:r>
        <w:t xml:space="preserve"> </w:t>
      </w:r>
      <w:r>
        <w:t xml:space="preserve">0.99) ≥ 3 MW heat demand;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GT limits</w:t>
      </w:r>
      <w:r>
        <w:t xml:space="preserve">: minimum and rated load when running, the Willans fuel line,</w:t>
      </w:r>
      <w:r>
        <w:t xml:space="preserve"> </w:t>
      </w:r>
      <w:r>
        <w:t xml:space="preserve">start-up indicators;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spinning reserve</w:t>
      </w:r>
      <w:r>
        <w:t xml:space="preserve">: unused capacity of running GTs plus battery reserve</w:t>
      </w:r>
      <w:r>
        <w:t xml:space="preserve"> </w:t>
      </w:r>
      <w:r>
        <w:t xml:space="preserve">≥ 5 MW (LEOGO); a battery counts only if it can sustain the reserve for</w:t>
      </w:r>
      <w:r>
        <w:t xml:space="preserve"> </w:t>
      </w:r>
      <w:r>
        <w:t xml:space="preserve">30 min;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 least one GT online</w:t>
      </w:r>
      <w:r>
        <w:t xml:space="preserve">, because the wind turbines are grid-following</w:t>
      </w:r>
      <w:r>
        <w:t xml:space="preserve"> </w:t>
      </w:r>
      <w:r>
        <w:t xml:space="preserve">and a GT is needed for frequency and voltage control (assumption, varied in</w:t>
      </w:r>
      <w:r>
        <w:t xml:space="preserve"> </w:t>
      </w:r>
      <w:r>
        <w:t xml:space="preserve">the sensitivity analysis);</w:t>
      </w:r>
    </w:p>
    <w:p>
      <w:pPr>
        <w:numPr>
          <w:ilvl w:val="0"/>
          <w:numId w:val="1004"/>
        </w:numPr>
        <w:pStyle w:val="Compact"/>
      </w:pPr>
      <w:r>
        <w:t xml:space="preserve">the lever curves, ramp limits and injection deficit of Section 5, and the</w:t>
      </w:r>
      <w:r>
        <w:t xml:space="preserve"> </w:t>
      </w:r>
      <w:r>
        <w:t xml:space="preserve">battery energy balance (round-trip efficiency 0.9).</w:t>
      </w:r>
    </w:p>
    <w:p>
      <w:pPr>
        <w:pStyle w:val="FirstParagraph"/>
      </w:pPr>
      <w:r>
        <w:t xml:space="preserve">The objective minimises, in NOK, the value of fuel gas burned (gas price</w:t>
      </w:r>
      <w:r>
        <w:t xml:space="preserve"> </w:t>
      </w:r>
      <w:r>
        <w:t xml:space="preserve">4.19 NOK/Sm3, since fuel gas could otherwise be exported), the CO2 cost</w:t>
      </w:r>
      <w:r>
        <w:t xml:space="preserve"> </w:t>
      </w:r>
      <w:r>
        <w:t xml:space="preserve">(2.0 NOK/kg, the Norwegian target for the total CO2 price in 2030), the value</w:t>
      </w:r>
      <w:r>
        <w:t xml:space="preserve"> </w:t>
      </w:r>
      <w:r>
        <w:t xml:space="preserve">of lost oil and gas (4,190 NOK/Sm3 oil) and a start-up cost of 2,000 NOK per</w:t>
      </w:r>
      <w:r>
        <w:t xml:space="preserve"> </w:t>
      </w:r>
      <w:r>
        <w:t xml:space="preserve">GT start (prices from LEOGO). Unserved energy and missing reserve are allowed</w:t>
      </w:r>
      <w:r>
        <w:t xml:space="preserve"> </w:t>
      </w:r>
      <w:r>
        <w:t xml:space="preserve">only with a penalty of 10⁶ NOK/MWh to keep the problem feasible; in all</w:t>
      </w:r>
      <w:r>
        <w:t xml:space="preserve"> </w:t>
      </w:r>
      <w:r>
        <w:t xml:space="preserve">reported runs they are zero apart from numerical rounding (&lt; 0.03 MWh/yr).</w:t>
      </w:r>
    </w:p>
    <w:p>
      <w:pPr>
        <w:pStyle w:val="BodyText"/>
      </w:pPr>
      <w:r>
        <w:t xml:space="preserve">The year is solved as 52 rolling windows of one week, each optimised with a</w:t>
      </w:r>
      <w:r>
        <w:t xml:space="preserve"> </w:t>
      </w:r>
      <w:r>
        <w:t xml:space="preserve">24 h look-ahead that is not committed. At the end of each window horizon the</w:t>
      </w:r>
      <w:r>
        <w:t xml:space="preserve"> </w:t>
      </w:r>
      <w:r>
        <w:t xml:space="preserve">injection deficit may not exceed, and the battery energy may not fall below,</w:t>
      </w:r>
      <w:r>
        <w:t xml:space="preserve"> </w:t>
      </w:r>
      <w:r>
        <w:t xml:space="preserve">their values at the window start. The solver stops within 0.5 % of the proven</w:t>
      </w:r>
      <w:r>
        <w:t xml:space="preserve"> </w:t>
      </w:r>
      <w:r>
        <w:t xml:space="preserve">optimum. One case-year takes about 2–3 minutes on a laptop-class CPU.</w:t>
      </w:r>
    </w:p>
    <w:p>
      <w:pPr>
        <w:pStyle w:val="BodyText"/>
      </w:pPr>
      <w:r>
        <w:t xml:space="preserve">Because fuel is linear in power, the split of load between identical running</w:t>
      </w:r>
      <w:r>
        <w:t xml:space="preserve"> </w:t>
      </w:r>
      <w:r>
        <w:t xml:space="preserve">GTs does not change fuel use, and the solver’s split is arbitrary. GT load is</w:t>
      </w:r>
      <w:r>
        <w:t xml:space="preserve"> </w:t>
      </w:r>
      <w:r>
        <w:t xml:space="preserve">therefore reported as shared in proportion to rating (droop sharing, as in</w:t>
      </w:r>
      <w:r>
        <w:t xml:space="preserve"> </w:t>
      </w:r>
      <w:r>
        <w:t xml:space="preserve">real operation), and an hour counts as a low-load hour when this shared load</w:t>
      </w:r>
      <w:r>
        <w:t xml:space="preserve"> </w:t>
      </w:r>
      <w:r>
        <w:t xml:space="preserve">is below 50 % of rating.</w:t>
      </w:r>
    </w:p>
    <w:bookmarkEnd w:id="25"/>
    <w:bookmarkStart w:id="26" w:name="sensitivity-analysis"/>
    <w:p>
      <w:pPr>
        <w:pStyle w:val="Heading2"/>
      </w:pPr>
      <w:r>
        <w:t xml:space="preserve">7 Sensitivity analysis</w:t>
      </w:r>
    </w:p>
    <w:p>
      <w:pPr>
        <w:pStyle w:val="FirstParagraph"/>
      </w:pPr>
      <w:r>
        <w:t xml:space="preserve">Cases 2–4 were re-run with one input changed at a time: wind farm size (1–4</w:t>
      </w:r>
      <w:r>
        <w:t xml:space="preserve"> </w:t>
      </w:r>
      <w:r>
        <w:t xml:space="preserve">turbines, 15–60 MW), CO2 price (0.5–3.0 NOK/kg), gas price (2–8 NOK/Sm3),</w:t>
      </w:r>
      <w:r>
        <w:t xml:space="preserve"> </w:t>
      </w:r>
      <w:r>
        <w:t xml:space="preserve">battery size (0–8 MW, 0–16 MWh), injection deficit limit (0–168 h), minimum</w:t>
      </w:r>
      <w:r>
        <w:t xml:space="preserve"> </w:t>
      </w:r>
      <w:r>
        <w:t xml:space="preserve">number of GTs online (1 or 0, with an 8 MW / 8 MWh battery), GT fleet (three</w:t>
      </w:r>
      <w:r>
        <w:t xml:space="preserve"> </w:t>
      </w:r>
      <w:r>
        <w:t xml:space="preserve">21.8 MW units, or two plus one smaller 19 MW unit with unverified data) and</w:t>
      </w:r>
      <w:r>
        <w:t xml:space="preserve"> </w:t>
      </w:r>
      <w:r>
        <w:t xml:space="preserve">an operating practice that keeps two GTs online regardless of wind.</w:t>
      </w:r>
    </w:p>
    <w:bookmarkEnd w:id="26"/>
    <w:bookmarkStart w:id="27" w:name="validation"/>
    <w:p>
      <w:pPr>
        <w:pStyle w:val="Heading2"/>
      </w:pPr>
      <w:r>
        <w:t xml:space="preserve">8 Validation</w:t>
      </w:r>
    </w:p>
    <w:p>
      <w:pPr>
        <w:pStyle w:val="FirstParagraph"/>
      </w:pPr>
      <w:r>
        <w:t xml:space="preserve">Model results were compared with independent published values and field</w:t>
      </w:r>
      <w:r>
        <w:t xml:space="preserve"> </w:t>
      </w:r>
      <w:r>
        <w:t xml:space="preserve">data: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Platform power</w:t>
      </w:r>
      <w:r>
        <w:t xml:space="preserve"> </w:t>
      </w:r>
      <w:r>
        <w:t xml:space="preserve">against measured and modelled North Sea platforms</w:t>
      </w:r>
      <w:r>
        <w:t xml:space="preserve"> </w:t>
      </w:r>
      <w:r>
        <w:t xml:space="preserve">(Voldsund et al., 2013; Nguyen et al., 2013), the Johan Castberg plan for</w:t>
      </w:r>
      <w:r>
        <w:t xml:space="preserve"> </w:t>
      </w:r>
      <w:r>
        <w:t xml:space="preserve">development and operation, and the average demand implied by Hywind Tampen</w:t>
      </w:r>
      <w:r>
        <w:t xml:space="preserve"> </w:t>
      </w:r>
      <w:r>
        <w:t xml:space="preserve">(384 GWh/yr covering about 35 % of five platforms’ electricity).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Wind capacity factor</w:t>
      </w:r>
      <w:r>
        <w:t xml:space="preserve"> </w:t>
      </w:r>
      <w:r>
        <w:t xml:space="preserve">against Hywind Tampen (expected 384 GWh/yr from</w:t>
      </w:r>
      <w:r>
        <w:t xml:space="preserve"> </w:t>
      </w:r>
      <w:r>
        <w:t xml:space="preserve">88 MW; 58.4 % in Q1 2025).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CO2 avoided per MWh of wind</w:t>
      </w:r>
      <w:r>
        <w:t xml:space="preserve"> </w:t>
      </w:r>
      <w:r>
        <w:t xml:space="preserve">against Hywind Tampen (about 200 kt/yr for</w:t>
      </w:r>
      <w:r>
        <w:t xml:space="preserve"> </w:t>
      </w:r>
      <w:r>
        <w:t xml:space="preserve">384 GWh/yr, 0.52 t/MWh).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Water-injection specific energy</w:t>
      </w:r>
      <w:r>
        <w:t xml:space="preserve"> </w:t>
      </w:r>
      <w:r>
        <w:t xml:space="preserve">against LEOGO.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CO2 intensity</w:t>
      </w:r>
      <w:r>
        <w:t xml:space="preserve"> </w:t>
      </w:r>
      <w:r>
        <w:t xml:space="preserve">against the Norwegian shelf average for 2023 (7.3 kg/boe,</w:t>
      </w:r>
      <w:r>
        <w:t xml:space="preserve"> </w:t>
      </w:r>
      <w:r>
        <w:t xml:space="preserve">Offshore Norge, 2024) and non-electrified hubs (about 10.5 kg/boe,</w:t>
      </w:r>
      <w:r>
        <w:t xml:space="preserve"> </w:t>
      </w:r>
      <w:r>
        <w:t xml:space="preserve">Westwood, 2022).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Field data</w:t>
      </w:r>
      <w:r>
        <w:t xml:space="preserve"> </w:t>
      </w:r>
      <w:r>
        <w:t xml:space="preserve">for the Gullfaks, Snorre and Statfjord field centres for</w:t>
      </w:r>
      <w:r>
        <w:t xml:space="preserve"> </w:t>
      </w:r>
      <w:r>
        <w:t xml:space="preserve">2021, 2023 and 2024: CO2 to air, fuel gas and diesel use from the Norwegian</w:t>
      </w:r>
      <w:r>
        <w:t xml:space="preserve"> </w:t>
      </w:r>
      <w:r>
        <w:t xml:space="preserve">Environment Agency (Norskeutslipp), and net production from the Norwegian</w:t>
      </w:r>
      <w:r>
        <w:t xml:space="preserve"> </w:t>
      </w:r>
      <w:r>
        <w:t xml:space="preserve">Offshore Directorate (Sodir FactPages), summed over the fields processed at</w:t>
      </w:r>
      <w:r>
        <w:t xml:space="preserve"> </w:t>
      </w:r>
      <w:r>
        <w:t xml:space="preserve">each centre. The boundary was checked by comparing oil volumes; they agree</w:t>
      </w:r>
      <w:r>
        <w:t xml:space="preserve"> </w:t>
      </w:r>
      <w:r>
        <w:t xml:space="preserve">within 2 %.</w:t>
      </w:r>
    </w:p>
    <w:p>
      <w:pPr>
        <w:pStyle w:val="FirstParagraph"/>
      </w:pPr>
      <w:r>
        <w:t xml:space="preserve">A single published value counts as agreeing when the model is within ±20 %; a</w:t>
      </w:r>
      <w:r>
        <w:t xml:space="preserve"> </w:t>
      </w:r>
      <w:r>
        <w:t xml:space="preserve">published range when the model lies inside it.</w:t>
      </w:r>
    </w:p>
    <w:bookmarkEnd w:id="27"/>
    <w:bookmarkStart w:id="28" w:name="main-limitations-of-the-method"/>
    <w:p>
      <w:pPr>
        <w:pStyle w:val="Heading2"/>
      </w:pPr>
      <w:r>
        <w:t xml:space="preserve">9 Main limitations of the method</w:t>
      </w:r>
    </w:p>
    <w:p>
      <w:pPr>
        <w:numPr>
          <w:ilvl w:val="0"/>
          <w:numId w:val="1006"/>
        </w:numPr>
        <w:pStyle w:val="Compact"/>
      </w:pPr>
      <w:r>
        <w:t xml:space="preserve">Generic platform: fluid composition, minimum-flow limits, injection target</w:t>
      </w:r>
      <w:r>
        <w:t xml:space="preserve"> </w:t>
      </w:r>
      <w:r>
        <w:t xml:space="preserve">and deficit limit are assumptions (Table T1).</w:t>
      </w:r>
    </w:p>
    <w:p>
      <w:pPr>
        <w:numPr>
          <w:ilvl w:val="0"/>
          <w:numId w:val="1006"/>
        </w:numPr>
        <w:pStyle w:val="Compact"/>
      </w:pPr>
      <w:r>
        <w:t xml:space="preserve">Steady-state process; no transient compressor or reservoir response.</w:t>
      </w:r>
    </w:p>
    <w:p>
      <w:pPr>
        <w:numPr>
          <w:ilvl w:val="0"/>
          <w:numId w:val="1006"/>
        </w:numPr>
        <w:pStyle w:val="Compact"/>
      </w:pPr>
      <w:r>
        <w:t xml:space="preserve">Perfect foresight of wind within each week (no forecast error).</w:t>
      </w:r>
    </w:p>
    <w:p>
      <w:pPr>
        <w:numPr>
          <w:ilvl w:val="0"/>
          <w:numId w:val="1006"/>
        </w:numPr>
        <w:pStyle w:val="Compact"/>
      </w:pPr>
      <w:r>
        <w:t xml:space="preserve">The model includes only power generation; flaring, diesel use and gas</w:t>
      </w:r>
      <w:r>
        <w:t xml:space="preserve"> </w:t>
      </w:r>
      <w:r>
        <w:t xml:space="preserve">re-injection, which add to real field emissions, are outside the boundary.</w:t>
      </w:r>
    </w:p>
    <w:p>
      <w:pPr>
        <w:numPr>
          <w:ilvl w:val="0"/>
          <w:numId w:val="1006"/>
        </w:numPr>
        <w:pStyle w:val="Compact"/>
      </w:pPr>
      <w:r>
        <w:t xml:space="preserve">One weather year (2023).</w:t>
      </w:r>
    </w:p>
    <w:bookmarkEnd w:id="28"/>
    <w:bookmarkStart w:id="29" w:name="Xd90a2aa44459819cf19b462991e82ce0bd4a26d"/>
    <w:p>
      <w:pPr>
        <w:pStyle w:val="Heading2"/>
      </w:pPr>
      <w:r>
        <w:t xml:space="preserve">10 Comparison site: deepwater gas off southern Tanzania</w:t>
      </w:r>
    </w:p>
    <w:p>
      <w:pPr>
        <w:pStyle w:val="FirstParagraph"/>
      </w:pPr>
      <w:r>
        <w:t xml:space="preserve">To test whether the result depends on the North Sea setting, the same model</w:t>
      </w:r>
      <w:r>
        <w:t xml:space="preserve"> </w:t>
      </w:r>
      <w:r>
        <w:t xml:space="preserve">is applied to a second, contrasting site. Only what differs is set in a</w:t>
      </w:r>
      <w:r>
        <w:t xml:space="preserve"> </w:t>
      </w:r>
      <w:r>
        <w:t xml:space="preserve">separate configuration (</w:t>
      </w:r>
      <w:r>
        <w:rPr>
          <w:rStyle w:val="VerbatimChar"/>
        </w:rPr>
        <w:t xml:space="preserve">config/tanzania.yaml</w:t>
      </w:r>
      <w:r>
        <w:t xml:space="preserve">), which inherits every other</w:t>
      </w:r>
      <w:r>
        <w:t xml:space="preserve"> </w:t>
      </w:r>
      <w:r>
        <w:t xml:space="preserve">parameter from the base case; the same code, wind turbine, gas turbines,</w:t>
      </w:r>
      <w:r>
        <w:t xml:space="preserve"> </w:t>
      </w:r>
      <w:r>
        <w:t xml:space="preserve">scheduler and cases are used.</w:t>
      </w:r>
    </w:p>
    <w:p>
      <w:pPr>
        <w:pStyle w:val="BodyText"/>
      </w:pPr>
      <w:r>
        <w:rPr>
          <w:bCs/>
          <w:b/>
        </w:rPr>
        <w:t xml:space="preserve">Site and weather.</w:t>
      </w:r>
      <w:r>
        <w:t xml:space="preserve"> </w:t>
      </w:r>
      <w:r>
        <w:t xml:space="preserve">The site is the deepwater gas discoveries in Blocks 1,</w:t>
      </w:r>
      <w:r>
        <w:t xml:space="preserve"> </w:t>
      </w:r>
      <w:r>
        <w:t xml:space="preserve">2 and 4 off Lindi and Mtwara (9.5° S, 40.5° E, water depth 1000–3000 m), the</w:t>
      </w:r>
      <w:r>
        <w:t xml:space="preserve"> </w:t>
      </w:r>
      <w:r>
        <w:t xml:space="preserve">resource behind the planned Tanzania LNG project. Wind, 2 m air temperature</w:t>
      </w:r>
      <w:r>
        <w:t xml:space="preserve"> </w:t>
      </w:r>
      <w:r>
        <w:t xml:space="preserve">and sea-surface temperature for 2023 come from ERA5, processed as in Section</w:t>
      </w:r>
      <w:r>
        <w:t xml:space="preserve"> </w:t>
      </w:r>
      <w:r>
        <w:t xml:space="preserve">2. The two IEA 15 MW turbines are assumed to sit on floating foundations, as</w:t>
      </w:r>
      <w:r>
        <w:t xml:space="preserve"> </w:t>
      </w:r>
      <w:r>
        <w:t xml:space="preserve">at Hywind Tampen; the power curve is unchanged.</w:t>
      </w:r>
    </w:p>
    <w:p>
      <w:pPr>
        <w:pStyle w:val="BodyText"/>
      </w:pPr>
      <w:r>
        <w:rPr>
          <w:bCs/>
          <w:b/>
        </w:rPr>
        <w:t xml:space="preserve">Platform and process.</w:t>
      </w:r>
      <w:r>
        <w:t xml:space="preserve"> </w:t>
      </w:r>
      <w:r>
        <w:t xml:space="preserve">The platform is a hypothetical gas processing</w:t>
      </w:r>
      <w:r>
        <w:t xml:space="preserve"> </w:t>
      </w:r>
      <w:r>
        <w:t xml:space="preserve">platform that sends 10 MSm³/d of dry gas (about a quarter of a two-train</w:t>
      </w:r>
      <w:r>
        <w:t xml:space="preserve"> </w:t>
      </w:r>
      <w:r>
        <w:t xml:space="preserve">LNG plant) through a 100 km, 0.6 m pipeline to shore. The real development</w:t>
      </w:r>
      <w:r>
        <w:t xml:space="preserve"> </w:t>
      </w:r>
      <w:r>
        <w:t xml:space="preserve">concept is subsea wells tied back to an onshore plant, so the platform is a</w:t>
      </w:r>
      <w:r>
        <w:t xml:space="preserve"> </w:t>
      </w:r>
      <w:r>
        <w:t xml:space="preserve">modelling device that makes the two sites comparable, not a description of</w:t>
      </w:r>
      <w:r>
        <w:t xml:space="preserve"> </w:t>
      </w:r>
      <w:r>
        <w:t xml:space="preserve">the project. A lean gas (95.5 mol % methane) arrives at 70 bara and 15 °C.</w:t>
      </w:r>
      <w:r>
        <w:t xml:space="preserve"> </w:t>
      </w:r>
      <w:r>
        <w:t xml:space="preserve">NeqSim (Peng–Robinson) models the inlet separation, condensate</w:t>
      </w:r>
      <w:r>
        <w:t xml:space="preserve"> </w:t>
      </w:r>
      <w:r>
        <w:t xml:space="preserve">stabilisation at 10 bara, and compression of the gas to 150 bara for</w:t>
      </w:r>
      <w:r>
        <w:t xml:space="preserve"> </w:t>
      </w:r>
      <w:r>
        <w:t xml:space="preserve">export, with the same isentropic efficiency as the North Sea compressors.</w:t>
      </w:r>
      <w:r>
        <w:t xml:space="preserve"> </w:t>
      </w:r>
      <w:r>
        <w:t xml:space="preserve">Gas dehydration with triethylene glycol (TEG) and regeneration of the</w:t>
      </w:r>
      <w:r>
        <w:t xml:space="preserve"> </w:t>
      </w:r>
      <w:r>
        <w:t xml:space="preserve">mono-ethylene glycol (MEG) injected into the subsea wells for hydrate</w:t>
      </w:r>
      <w:r>
        <w:t xml:space="preserve"> </w:t>
      </w:r>
      <w:r>
        <w:t xml:space="preserve">control are represented by their heat and electric duties (Table T1). These</w:t>
      </w:r>
      <w:r>
        <w:t xml:space="preserve"> </w:t>
      </w:r>
      <w:r>
        <w:t xml:space="preserve">duties were checked against NeqSim water contents of the gas. Drying</w:t>
      </w:r>
      <w:r>
        <w:t xml:space="preserve"> </w:t>
      </w:r>
      <w:r>
        <w:t xml:space="preserve">10 MSm³/d needs a TEG reboiler of about 0.5 MW. Regenerating the MEG that</w:t>
      </w:r>
      <w:r>
        <w:t xml:space="preserve"> </w:t>
      </w:r>
      <w:r>
        <w:t xml:space="preserve">carries the water condensed between reservoir and platform needs about 1 MW</w:t>
      </w:r>
      <w:r>
        <w:t xml:space="preserve"> </w:t>
      </w:r>
      <w:r>
        <w:t xml:space="preserve">of heat, for an assumed reservoir of 80 °C and 300 bara. The MEG injection</w:t>
      </w:r>
      <w:r>
        <w:t xml:space="preserve"> </w:t>
      </w:r>
      <w:r>
        <w:t xml:space="preserve">pumps need only about 0.05 MW (</w:t>
      </w:r>
      <w:r>
        <w:rPr>
          <w:rStyle w:val="VerbatimChar"/>
        </w:rPr>
        <w:t xml:space="preserve">docs/verification/tanzania_process_check.py</w:t>
      </w:r>
      <w:r>
        <w:t xml:space="preserve">).</w:t>
      </w:r>
      <w:r>
        <w:t xml:space="preserve"> </w:t>
      </w:r>
      <w:r>
        <w:t xml:space="preserve">The design electric demand is 15.4 MW, of which export compression is</w:t>
      </w:r>
      <w:r>
        <w:t xml:space="preserve"> </w:t>
      </w:r>
      <w:r>
        <w:t xml:space="preserve">11.2 MW (73 %).</w:t>
      </w:r>
    </w:p>
    <w:p>
      <w:pPr>
        <w:pStyle w:val="BodyText"/>
      </w:pPr>
      <w:r>
        <w:rPr>
          <w:bCs/>
          <w:b/>
        </w:rPr>
        <w:t xml:space="preserve">Flexibility levers.</w:t>
      </w:r>
      <w:r>
        <w:t xml:space="preserve"> </w:t>
      </w:r>
      <w:r>
        <w:t xml:space="preserve">A gas platform has no water injection, so the two</w:t>
      </w:r>
      <w:r>
        <w:t xml:space="preserve"> </w:t>
      </w:r>
      <w:r>
        <w:t xml:space="preserve">levers are different: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Gas production and line pack.</w:t>
      </w:r>
      <w:r>
        <w:t xml:space="preserve"> </w:t>
      </w:r>
      <w:r>
        <w:t xml:space="preserve">The export pipeline stores gas. Allowing</w:t>
      </w:r>
      <w:r>
        <w:t xml:space="preserve"> </w:t>
      </w:r>
      <w:r>
        <w:t xml:space="preserve">its inlet pressure to swing between 150 and 110 bara stores</w:t>
      </w:r>
      <w:r>
        <w:t xml:space="preserve"> </w:t>
      </w:r>
      <w:r>
        <w:t xml:space="preserve">3.6 h of full-rate production, computed from NeqSim gas densities at the</w:t>
      </w:r>
      <w:r>
        <w:t xml:space="preserve"> </w:t>
      </w:r>
      <w:r>
        <w:t xml:space="preserve">two pressures and the pipeline volume. The platform may produce between</w:t>
      </w:r>
      <w:r>
        <w:t xml:space="preserve"> </w:t>
      </w:r>
      <w:r>
        <w:t xml:space="preserve">50 % and 110 % of the sales rate, as long as the deficit against the sales</w:t>
      </w:r>
      <w:r>
        <w:t xml:space="preserve"> </w:t>
      </w:r>
      <w:r>
        <w:t xml:space="preserve">rate never exceeds the line pack and is repaid by the end of the horizon.</w:t>
      </w:r>
      <w:r>
        <w:t xml:space="preserve"> </w:t>
      </w:r>
      <w:r>
        <w:t xml:space="preserve">Delivered gas, and therefore the LNG plant, is unaffected on average; no</w:t>
      </w:r>
      <w:r>
        <w:t xml:space="preserve"> </w:t>
      </w:r>
      <w:r>
        <w:t xml:space="preserve">production is lost.</w:t>
      </w:r>
    </w:p>
    <w:p>
      <w:pPr>
        <w:numPr>
          <w:ilvl w:val="0"/>
          <w:numId w:val="1007"/>
        </w:numPr>
        <w:pStyle w:val="Compact"/>
      </w:pPr>
      <w:r>
        <w:rPr>
          <w:iCs/>
          <w:i/>
        </w:rPr>
        <w:t xml:space="preserve">MEG regeneration.</w:t>
      </w:r>
      <w:r>
        <w:t xml:space="preserve"> </w:t>
      </w:r>
      <w:r>
        <w:t xml:space="preserve">Rich MEG is buffered in a tank, so the regeneration</w:t>
      </w:r>
      <w:r>
        <w:t xml:space="preserve"> </w:t>
      </w:r>
      <w:r>
        <w:t xml:space="preserve">unit (0.1 MW electric and 1 MW heat at full rate) may pause for up to 48 h</w:t>
      </w:r>
      <w:r>
        <w:t xml:space="preserve"> </w:t>
      </w:r>
      <w:r>
        <w:t xml:space="preserve">of full-rate feed and catch up later, exactly as water injection is</w:t>
      </w:r>
      <w:r>
        <w:t xml:space="preserve"> </w:t>
      </w:r>
      <w:r>
        <w:t xml:space="preserve">modelled for the North Sea platform. The MEG injection pumps are must-run.</w:t>
      </w:r>
    </w:p>
    <w:p>
      <w:pPr>
        <w:pStyle w:val="FirstParagraph"/>
      </w:pPr>
      <w:r>
        <w:t xml:space="preserve">The TEG and MEG heat duties follow the two levers, so the heat balance of</w:t>
      </w:r>
      <w:r>
        <w:t xml:space="preserve"> </w:t>
      </w:r>
      <w:r>
        <w:t xml:space="preserve">Section 6 changes with the schedule.</w:t>
      </w:r>
    </w:p>
    <w:p>
      <w:pPr>
        <w:pStyle w:val="BodyText"/>
      </w:pPr>
      <w:r>
        <w:rPr>
          <w:bCs/>
          <w:b/>
        </w:rPr>
        <w:t xml:space="preserve">Hot climate.</w:t>
      </w:r>
      <w:r>
        <w:t xml:space="preserve"> </w:t>
      </w:r>
      <w:r>
        <w:t xml:space="preserve">Gas turbine power and efficiency are derated for the ERA5</w:t>
      </w:r>
      <w:r>
        <w:t xml:space="preserve"> </w:t>
      </w:r>
      <w:r>
        <w:t xml:space="preserve">mean air temperature (26.8 °C, 11.8 K above ISO conditions) by 0.7 %/K and</w:t>
      </w:r>
      <w:r>
        <w:t xml:space="preserve"> </w:t>
      </w:r>
      <w:r>
        <w:t xml:space="preserve">0.1 %/K, rule-of-thumb values that should be replaced by a manufacturer’s</w:t>
      </w:r>
      <w:r>
        <w:t xml:space="preserve"> </w:t>
      </w:r>
      <w:r>
        <w:t xml:space="preserve">site rating. The LEOGO turbine then delivers 20.0 MW at 34.3 % efficiency.</w:t>
      </w:r>
      <w:r>
        <w:t xml:space="preserve"> </w:t>
      </w:r>
      <w:r>
        <w:t xml:space="preserve">Coolers use the ERA5 mean sea temperature (28.2 °C).</w:t>
      </w:r>
    </w:p>
    <w:p>
      <w:pPr>
        <w:pStyle w:val="BodyText"/>
      </w:pPr>
      <w:r>
        <w:rPr>
          <w:bCs/>
          <w:b/>
        </w:rPr>
        <w:t xml:space="preserve">Fuel and CO2 price.</w:t>
      </w:r>
      <w:r>
        <w:t xml:space="preserve"> </w:t>
      </w:r>
      <w:r>
        <w:t xml:space="preserve">The fuel is the lean export gas. Its lower heating</w:t>
      </w:r>
      <w:r>
        <w:t xml:space="preserve"> </w:t>
      </w:r>
      <w:r>
        <w:t xml:space="preserve">value (34.9 MJ/Sm³) is computed with NeqSim to ISO 6976, and its CO2 factor</w:t>
      </w:r>
      <w:r>
        <w:t xml:space="preserve"> </w:t>
      </w:r>
      <w:r>
        <w:t xml:space="preserve">(1.945 kg/Sm³) from its carbon content, instead of the Norwegian 2.34</w:t>
      </w:r>
      <w:r>
        <w:t xml:space="preserve"> </w:t>
      </w:r>
      <w:r>
        <w:t xml:space="preserve">kg/Sm³. The base CO2 price is the excise duty introduced by the Tanzanian</w:t>
      </w:r>
      <w:r>
        <w:t xml:space="preserve"> </w:t>
      </w:r>
      <w:r>
        <w:t xml:space="preserve">Finance Act 2025: TZS 22,000 per tonne of carbon emissions from coal and</w:t>
      </w:r>
      <w:r>
        <w:t xml:space="preserve"> </w:t>
      </w:r>
      <w:r>
        <w:t xml:space="preserve">natural gas, about NOK 0.09/kg at 10.5 NOK/USD. Whether it applies to fuel</w:t>
      </w:r>
      <w:r>
        <w:t xml:space="preserve"> </w:t>
      </w:r>
      <w:r>
        <w:t xml:space="preserve">gas burnt offshore is not confirmed. CO2 prices of 0–2 NOK/kg are therefore</w:t>
      </w:r>
      <w:r>
        <w:t xml:space="preserve"> </w:t>
      </w:r>
      <w:r>
        <w:t xml:space="preserve">tested as a sensitivity, together with line-pack sizes of 0, 1.8, 3.6 and</w:t>
      </w:r>
      <w:r>
        <w:t xml:space="preserve"> </w:t>
      </w:r>
      <w:r>
        <w:t xml:space="preserve">7.2 h.</w:t>
      </w:r>
    </w:p>
    <w:p>
      <w:pPr>
        <w:pStyle w:val="BodyText"/>
      </w:pPr>
      <w:r>
        <w:rPr>
          <w:bCs/>
          <w:b/>
        </w:rPr>
        <w:t xml:space="preserve">Validation.</w:t>
      </w:r>
      <w:r>
        <w:t xml:space="preserve"> </w:t>
      </w:r>
      <w:r>
        <w:t xml:space="preserve">No published operating data exist for an offshore platform at</w:t>
      </w:r>
      <w:r>
        <w:t xml:space="preserve"> </w:t>
      </w:r>
      <w:r>
        <w:t xml:space="preserve">the site. The wind input is checked qualitatively against a study of</w:t>
      </w:r>
      <w:r>
        <w:t xml:space="preserve"> </w:t>
      </w:r>
      <w:r>
        <w:t xml:space="preserve">measured winds at coastal Tanzanian stations, which reports the strongest</w:t>
      </w:r>
      <w:r>
        <w:t xml:space="preserve"> </w:t>
      </w:r>
      <w:r>
        <w:t xml:space="preserve">winds at Mtwara and a June–July maximum with weak winds from November to</w:t>
      </w:r>
      <w:r>
        <w:t xml:space="preserve"> </w:t>
      </w:r>
      <w:r>
        <w:t xml:space="preserve">March, and against the ESMAP offshore-wind potential maps. Of the 115</w:t>
      </w:r>
      <w:r>
        <w:t xml:space="preserve"> </w:t>
      </w:r>
      <w:r>
        <w:t xml:space="preserve">parameters in the Tanzania configuration, 43 are still assumptions, 22 of</w:t>
      </w:r>
      <w:r>
        <w:t xml:space="preserve"> </w:t>
      </w:r>
      <w:r>
        <w:t xml:space="preserve">them specific to Tanzania (Table T1;</w:t>
      </w:r>
      <w:r>
        <w:t xml:space="preserve"> </w:t>
      </w:r>
      <w:r>
        <w:rPr>
          <w:rStyle w:val="VerbatimChar"/>
        </w:rPr>
        <w:t xml:space="preserve">docs/verification/tanzania_assumptions.md</w:t>
      </w:r>
      <w:r>
        <w:t xml:space="preserve">).</w:t>
      </w:r>
    </w:p>
    <w:bookmarkEnd w:id="29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Gaertner, E. et al. (2020).</w:t>
      </w:r>
      <w:r>
        <w:t xml:space="preserve"> </w:t>
      </w:r>
      <w:r>
        <w:rPr>
          <w:iCs/>
          <w:i/>
        </w:rPr>
        <w:t xml:space="preserve">Definition of the IEA 15-Megawatt Offshore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Wind Turbine</w:t>
      </w:r>
      <w:r>
        <w:t xml:space="preserve">. NREL/TP-5000-75698.</w:t>
      </w:r>
    </w:p>
    <w:p>
      <w:pPr>
        <w:pStyle w:val="BodyText"/>
      </w:pPr>
      <w:r>
        <w:t xml:space="preserve">Hersbach, H. et al. (2020). The ERA5 global reanalysis.</w:t>
      </w:r>
      <w:r>
        <w:t xml:space="preserve"> </w:t>
      </w:r>
      <w:r>
        <w:rPr>
          <w:iCs/>
          <w:i/>
        </w:rPr>
        <w:t xml:space="preserve">Quarterly 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the Royal Meteorological Society</w:t>
      </w:r>
      <w:r>
        <w:t xml:space="preserve"> </w:t>
      </w:r>
      <w:r>
        <w:t xml:space="preserve">146, 1999–2049.</w:t>
      </w:r>
    </w:p>
    <w:p>
      <w:pPr>
        <w:pStyle w:val="BodyText"/>
      </w:pPr>
      <w:r>
        <w:t xml:space="preserve">Hsu, S. A., Meindl, E. A. &amp; Gilhousen, D. B. (1994). Determining the</w:t>
      </w:r>
      <w:r>
        <w:t xml:space="preserve"> </w:t>
      </w:r>
      <w:r>
        <w:t xml:space="preserve">power-law wind-profile exponent under near-neutral stability conditions at</w:t>
      </w:r>
      <w:r>
        <w:t xml:space="preserve"> </w:t>
      </w:r>
      <w:r>
        <w:t xml:space="preserve">sea.</w:t>
      </w:r>
      <w:r>
        <w:t xml:space="preserve"> </w:t>
      </w:r>
      <w:r>
        <w:rPr>
          <w:iCs/>
          <w:i/>
        </w:rPr>
        <w:t xml:space="preserve">Journal of Applied Meteorology</w:t>
      </w:r>
      <w:r>
        <w:t xml:space="preserve"> </w:t>
      </w:r>
      <w:r>
        <w:t xml:space="preserve">33, 757–765.</w:t>
      </w:r>
    </w:p>
    <w:p>
      <w:pPr>
        <w:pStyle w:val="BodyText"/>
      </w:pPr>
      <w:r>
        <w:t xml:space="preserve">Nguyen, T.-V. et al. (2013). Exergetic assessment of energy systems on North</w:t>
      </w:r>
      <w:r>
        <w:t xml:space="preserve"> </w:t>
      </w:r>
      <w:r>
        <w:t xml:space="preserve">Sea oil and gas platforms.</w:t>
      </w:r>
      <w:r>
        <w:t xml:space="preserve"> </w:t>
      </w:r>
      <w:r>
        <w:rPr>
          <w:iCs/>
          <w:i/>
        </w:rPr>
        <w:t xml:space="preserve">Energy</w:t>
      </w:r>
      <w:r>
        <w:t xml:space="preserve">.</w:t>
      </w:r>
    </w:p>
    <w:p>
      <w:pPr>
        <w:pStyle w:val="BodyText"/>
      </w:pPr>
      <w:r>
        <w:t xml:space="preserve">Offshore Norge (2024).</w:t>
      </w:r>
      <w:r>
        <w:t xml:space="preserve"> </w:t>
      </w:r>
      <w:r>
        <w:rPr>
          <w:iCs/>
          <w:i/>
        </w:rPr>
        <w:t xml:space="preserve">Climate and environmental report 2024</w:t>
      </w:r>
      <w:r>
        <w:t xml:space="preserve">.</w:t>
      </w:r>
    </w:p>
    <w:p>
      <w:pPr>
        <w:pStyle w:val="BodyText"/>
      </w:pPr>
      <w:r>
        <w:t xml:space="preserve">Sharqawy, M. H., Lienhard, J. H. &amp; Zubair, S. M. (2010). Thermophysical</w:t>
      </w:r>
      <w:r>
        <w:t xml:space="preserve"> </w:t>
      </w:r>
      <w:r>
        <w:t xml:space="preserve">properties of seawater.</w:t>
      </w:r>
      <w:r>
        <w:t xml:space="preserve"> </w:t>
      </w:r>
      <w:r>
        <w:rPr>
          <w:iCs/>
          <w:i/>
        </w:rPr>
        <w:t xml:space="preserve">Desalination and Water Treatment</w:t>
      </w:r>
      <w:r>
        <w:t xml:space="preserve"> </w:t>
      </w:r>
      <w:r>
        <w:t xml:space="preserve">16, 354–380.</w:t>
      </w:r>
    </w:p>
    <w:p>
      <w:pPr>
        <w:pStyle w:val="BodyText"/>
      </w:pPr>
      <w:r>
        <w:t xml:space="preserve">Svendsen, H. G. et al. (2023). The Low Emission Oil and Gas Open reference</w:t>
      </w:r>
      <w:r>
        <w:t xml:space="preserve"> </w:t>
      </w:r>
      <w:r>
        <w:t xml:space="preserve">platform – an off-grid energy system for renewable integration studies.</w:t>
      </w:r>
      <w:r>
        <w:t xml:space="preserve"> </w:t>
      </w:r>
      <w:r>
        <w:rPr>
          <w:iCs/>
          <w:i/>
        </w:rPr>
        <w:t xml:space="preserve">IET Energy Systems Integration</w:t>
      </w:r>
      <w:r>
        <w:t xml:space="preserve">. doi:10.1049/esi2.12085.</w:t>
      </w:r>
    </w:p>
    <w:p>
      <w:pPr>
        <w:pStyle w:val="BodyText"/>
      </w:pPr>
      <w:r>
        <w:t xml:space="preserve">Voldsund, M., Ertesvåg, I. S., He, W. &amp; Kjelstrup, S. (2013). Exergy analysis</w:t>
      </w:r>
      <w:r>
        <w:t xml:space="preserve"> </w:t>
      </w:r>
      <w:r>
        <w:t xml:space="preserve">of the oil and gas processing on a North Sea oil platform a real production</w:t>
      </w:r>
      <w:r>
        <w:t xml:space="preserve"> </w:t>
      </w:r>
      <w:r>
        <w:t xml:space="preserve">day.</w:t>
      </w:r>
      <w:r>
        <w:t xml:space="preserve"> </w:t>
      </w:r>
      <w:r>
        <w:rPr>
          <w:iCs/>
          <w:i/>
        </w:rPr>
        <w:t xml:space="preserve">Energy</w:t>
      </w:r>
      <w:r>
        <w:t xml:space="preserve"> </w:t>
      </w:r>
      <w:r>
        <w:t xml:space="preserve">55, 716–727.</w:t>
      </w:r>
    </w:p>
    <w:p>
      <w:pPr>
        <w:pStyle w:val="BodyText"/>
      </w:pPr>
      <w:r>
        <w:t xml:space="preserve">Westwood Global Energy (2022). Analysis of electrification and emissions on</w:t>
      </w:r>
      <w:r>
        <w:t xml:space="preserve"> </w:t>
      </w:r>
      <w:r>
        <w:t xml:space="preserve">the Norwegian continental shelf.</w:t>
      </w:r>
    </w:p>
    <w:p>
      <w:pPr>
        <w:pStyle w:val="BodyText"/>
      </w:pPr>
      <w:r>
        <w:t xml:space="preserve">ESMAP (2020).</w:t>
      </w:r>
      <w:r>
        <w:t xml:space="preserve"> </w:t>
      </w:r>
      <w:r>
        <w:rPr>
          <w:iCs/>
          <w:i/>
        </w:rPr>
        <w:t xml:space="preserve">Offshore Wind Technical Potential: Analysis and Maps</w:t>
      </w:r>
      <w:r>
        <w:t xml:space="preserve">. World</w:t>
      </w:r>
      <w:r>
        <w:t xml:space="preserve"> </w:t>
      </w:r>
      <w:r>
        <w:t xml:space="preserve">Bank Energy Sector Management Assistance Program.</w:t>
      </w:r>
      <w:r>
        <w:t xml:space="preserve"> </w:t>
      </w:r>
      <w:hyperlink r:id="rId30">
        <w:r>
          <w:rPr>
            <w:rStyle w:val="Hyperlink"/>
          </w:rPr>
          <w:t xml:space="preserve">https://www.esmap.org/esmap_offshorewind_techpotential_analysis_maps</w:t>
        </w:r>
      </w:hyperlink>
    </w:p>
    <w:p>
      <w:pPr>
        <w:pStyle w:val="BodyText"/>
      </w:pPr>
      <w:r>
        <w:rPr>
          <w:iCs/>
          <w:i/>
        </w:rPr>
        <w:t xml:space="preserve">Wind patterns of coastal Tanzania</w:t>
      </w:r>
      <w:r>
        <w:t xml:space="preserve"> </w:t>
      </w:r>
      <w:r>
        <w:t xml:space="preserve">(University of Dar es Salaam</w:t>
      </w:r>
      <w:r>
        <w:t xml:space="preserve"> </w:t>
      </w:r>
      <w:r>
        <w:t xml:space="preserve">repository).</w:t>
      </w:r>
      <w:r>
        <w:t xml:space="preserve"> </w:t>
      </w:r>
      <w:hyperlink r:id="rId31">
        <w:r>
          <w:rPr>
            <w:rStyle w:val="Hyperlink"/>
          </w:rPr>
          <w:t xml:space="preserve">https://repository.udsm.ac.tz/items/2f0fb49f-1275-4710-b7f1-116e2bdf0264</w:t>
        </w:r>
      </w:hyperlink>
      <w:r>
        <w:t xml:space="preserve"> </w:t>
      </w:r>
      <w:r>
        <w:t xml:space="preserve">(authors and year to be completed from the original).</w:t>
      </w:r>
    </w:p>
    <w:p>
      <w:pPr>
        <w:pStyle w:val="BodyText"/>
      </w:pPr>
      <w:r>
        <w:t xml:space="preserve">Data: Copernicus Climate Change Service (ERA5); Norwegian Environment Agency,</w:t>
      </w:r>
      <w:r>
        <w:t xml:space="preserve"> </w:t>
      </w:r>
      <w:r>
        <w:t xml:space="preserve">Norskeutslipp (CompanyID 22311, 16791, 16790); Norwegian Offshore Directorate,</w:t>
      </w:r>
      <w:r>
        <w:t xml:space="preserve"> </w:t>
      </w:r>
      <w:r>
        <w:t xml:space="preserve">FactPages (field production, yearly).</w:t>
      </w:r>
    </w:p>
    <w:p>
      <w:pPr>
        <w:pStyle w:val="BodyText"/>
      </w:pPr>
      <w:r>
        <w:rPr>
          <w:iCs/>
          <w:i/>
        </w:rPr>
        <w:t xml:space="preserve">Check before submission: references marked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verify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docs/parameter_verification.md</w:t>
      </w:r>
      <w:r>
        <w:rPr>
          <w:iCs/>
          <w:i/>
        </w:rPr>
        <w:t xml:space="preserve"> </w:t>
      </w:r>
      <w:r>
        <w:rPr>
          <w:iCs/>
          <w:i/>
        </w:rPr>
        <w:t xml:space="preserve">were obtained from search summaries and</w:t>
      </w:r>
      <w:r>
        <w:rPr>
          <w:iCs/>
          <w:i/>
        </w:rPr>
        <w:t xml:space="preserve"> </w:t>
      </w:r>
      <w:r>
        <w:rPr>
          <w:iCs/>
          <w:i/>
        </w:rPr>
        <w:t xml:space="preserve">should be confirmed against the original documents.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1" Type="http://schemas.openxmlformats.org/officeDocument/2006/relationships/hyperlink" Target="https://repository.udsm.ac.tz/items/2f0fb49f-1275-4710-b7f1-116e2bdf0264" TargetMode="External"/><Relationship Id="rId30" Type="http://schemas.openxmlformats.org/officeDocument/2006/relationships/hyperlink" Target="https://www.esmap.org/esmap_offshorewind_techpotential_analysis_maps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https://repository.udsm.ac.tz/items/2f0fb49f-1275-4710-b7f1-116e2bdf0264" TargetMode="External"/><Relationship Id="rId30" Type="http://schemas.openxmlformats.org/officeDocument/2006/relationships/hyperlink" Target="https://www.esmap.org/esmap_offshorewind_techpotential_analysis_ma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2026-10-26T20:04:20Z</dcterms:created>
  <dcterms:modified xsi:type="dcterms:W3CDTF">2026-10-26T20:04:20Z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