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Flexible</w:t>
      </w:r>
      <w:r>
        <w:t xml:space="preserve"> </w:t>
      </w:r>
      <w:r>
        <w:t xml:space="preserve">top-side</w:t>
      </w:r>
      <w:r>
        <w:t xml:space="preserve"> </w:t>
      </w:r>
      <w:r>
        <w:t xml:space="preserve">load</w:t>
      </w:r>
      <w:r>
        <w:t xml:space="preserve"> </w:t>
      </w:r>
      <w:r>
        <w:t xml:space="preserve">scheduling</w:t>
      </w:r>
      <w:r>
        <w:t xml:space="preserve"> </w:t>
      </w:r>
      <w:r>
        <w:t xml:space="preserve">on</w:t>
      </w:r>
      <w:r>
        <w:t xml:space="preserve"> </w:t>
      </w:r>
      <w:r>
        <w:t xml:space="preserve">a</w:t>
      </w:r>
      <w:r>
        <w:t xml:space="preserve"> </w:t>
      </w:r>
      <w:r>
        <w:t xml:space="preserve">wind-powered</w:t>
      </w:r>
      <w:r>
        <w:t xml:space="preserve"> </w:t>
      </w:r>
      <w:r>
        <w:t xml:space="preserve">offshore</w:t>
      </w:r>
      <w:r>
        <w:t xml:space="preserve"> </w:t>
      </w:r>
      <w:r>
        <w:t xml:space="preserve">oil</w:t>
      </w:r>
      <w:r>
        <w:t xml:space="preserve"> </w:t>
      </w:r>
      <w:r>
        <w:t xml:space="preserve">platform:</w:t>
      </w:r>
      <w:r>
        <w:t xml:space="preserve"> </w:t>
      </w:r>
      <w:r>
        <w:t xml:space="preserve">effects</w:t>
      </w:r>
      <w:r>
        <w:t xml:space="preserve"> </w:t>
      </w:r>
      <w:r>
        <w:t xml:space="preserve">on</w:t>
      </w:r>
      <w:r>
        <w:t xml:space="preserve"> </w:t>
      </w:r>
      <w:r>
        <w:t xml:space="preserve">gas</w:t>
      </w:r>
      <w:r>
        <w:t xml:space="preserve"> </w:t>
      </w:r>
      <w:r>
        <w:t xml:space="preserve">turbine</w:t>
      </w:r>
      <w:r>
        <w:t xml:space="preserve"> </w:t>
      </w:r>
      <w:r>
        <w:t xml:space="preserve">fuel</w:t>
      </w:r>
      <w:r>
        <w:t xml:space="preserve"> </w:t>
      </w:r>
      <w:r>
        <w:t xml:space="preserve">use</w:t>
      </w:r>
      <w:r>
        <w:t xml:space="preserve"> </w:t>
      </w:r>
      <w:r>
        <w:t xml:space="preserve">and</w:t>
      </w:r>
      <w:r>
        <w:t xml:space="preserve"> </w:t>
      </w:r>
      <w:r>
        <w:t xml:space="preserve">CO</w:t>
      </w:r>
      <w:r>
        <w:rPr>
          <w:vertAlign w:val="subscript"/>
        </w:rPr>
        <w:t xml:space="preserve">2</w:t>
      </w:r>
      <w:r>
        <w:t xml:space="preserve"> </w:t>
      </w:r>
      <w:r>
        <w:t xml:space="preserve">emissions</w:t>
      </w:r>
    </w:p>
    <w:p>
      <w:pPr>
        <w:pStyle w:val="Author"/>
      </w:pPr>
      <w:r>
        <w:t xml:space="preserve">Abubakar Juma Chilala</w:t>
      </w:r>
      <w:r>
        <w:rPr>
          <w:vertAlign w:val="superscript"/>
        </w:rPr>
        <w:t xml:space="preserve">a,b</w:t>
      </w:r>
    </w:p>
    <w:p>
      <w:pPr>
        <w:pStyle w:val="Affiliation"/>
      </w:pPr>
      <w:r>
        <w:rPr>
          <w:vertAlign w:val="superscript"/>
        </w:rPr>
        <w:t xml:space="preserve">a</w:t>
      </w:r>
      <w:r>
        <w:t xml:space="preserve"> </w:t>
      </w:r>
      <w:r>
        <w:rPr>
          <w:iCs/>
          <w:i/>
        </w:rPr>
        <w:t xml:space="preserve">College of Engineering, Carnegie Mellon University Africa, Carnegie Mellon University, Pittsburgh, PA, 15213, USA</w:t>
      </w:r>
    </w:p>
    <w:p>
      <w:pPr>
        <w:pStyle w:val="Affiliation"/>
      </w:pPr>
      <w:r>
        <w:rPr>
          <w:vertAlign w:val="superscript"/>
        </w:rPr>
        <w:t xml:space="preserve">b</w:t>
      </w:r>
    </w:p>
    <w:p>
      <w:pPr>
        <w:pStyle w:val="BodyText"/>
      </w:pPr>
      <w:r>
        <w:t xml:space="preserve">Corresponding author: achilala@andrew.cmu.edu</w:t>
      </w:r>
    </w:p>
    <w:p>
      <w:pPr>
        <w:pStyle w:val="BodyText"/>
      </w:pPr>
      <w:r>
        <w:rPr>
          <w:bCs/>
          <w:b/>
        </w:rPr>
        <w:t xml:space="preserve">Abstract.</w:t>
      </w:r>
      <w:r>
        <w:t xml:space="preserve"> </w:t>
      </w:r>
      <w:r>
        <w:t xml:space="preserve">Gas turbines are a major source of CO</w:t>
      </w:r>
      <w:r>
        <w:rPr>
          <w:vertAlign w:val="subscript"/>
        </w:rPr>
        <w:t xml:space="preserve">2</w:t>
      </w:r>
      <w:r>
        <w:t xml:space="preserve"> </w:t>
      </w:r>
      <w:r>
        <w:t xml:space="preserve">emissions on offshore oil and gas platforms, and wind power integrated into these off-grid systems saves less</w:t>
      </w:r>
      <w:r>
        <w:t xml:space="preserve"> </w:t>
      </w:r>
      <w:r>
        <w:t xml:space="preserve">fuel than expected, since the turbines must remain online at inefficient part</w:t>
      </w:r>
      <w:r>
        <w:t xml:space="preserve"> </w:t>
      </w:r>
      <w:r>
        <w:t xml:space="preserve">load to provide reserve. Studies usually treat the topside load as fixed. Here, the electric demand of a generic North Sea</w:t>
      </w:r>
      <w:r>
        <w:t xml:space="preserve"> </w:t>
      </w:r>
      <w:r>
        <w:t xml:space="preserve">oil platform was mapped with a steady-state process model, each consumer was</w:t>
      </w:r>
      <w:r>
        <w:t xml:space="preserve"> </w:t>
      </w:r>
      <w:r>
        <w:t xml:space="preserve">classified as must-run, flexible or sheddable, and a mixed-integer linear</w:t>
      </w:r>
      <w:r>
        <w:t xml:space="preserve"> </w:t>
      </w:r>
      <w:r>
        <w:t xml:space="preserve">program scheduled production, water injection, gas turbine commitment, wind</w:t>
      </w:r>
      <w:r>
        <w:t xml:space="preserve"> </w:t>
      </w:r>
      <w:r>
        <w:t xml:space="preserve">use and an optional battery hourly over ten ERA5 weather years, with postponed</w:t>
      </w:r>
      <w:r>
        <w:t xml:space="preserve"> </w:t>
      </w:r>
      <w:r>
        <w:t xml:space="preserve">injection as a virtual storage. For a 20.3 MW platform with a 30 MW wind farm,</w:t>
      </w:r>
      <w:r>
        <w:t xml:space="preserve"> </w:t>
      </w:r>
      <w:r>
        <w:t xml:space="preserve">wind with fixed demand reduces CO</w:t>
      </w:r>
      <w:r>
        <w:rPr>
          <w:vertAlign w:val="subscript"/>
        </w:rPr>
        <w:t xml:space="preserve">2</w:t>
      </w:r>
      <w:r>
        <w:t xml:space="preserve"> </w:t>
      </w:r>
      <w:r>
        <w:t xml:space="preserve">emissions by 49 %. Flexible scheduling</w:t>
      </w:r>
      <w:r>
        <w:t xml:space="preserve"> </w:t>
      </w:r>
      <w:r>
        <w:t xml:space="preserve">cuts them by a further 11 % (7.2 kt/yr, 10.5–11.7 % across weather years)</w:t>
      </w:r>
      <w:r>
        <w:t xml:space="preserve"> </w:t>
      </w:r>
      <w:r>
        <w:t xml:space="preserve">without lost production. Of this saving, 58 % comes from avoiding a second running gas turbine and 42 % from catching up injection with otherwise curtailed wind. A 24 h deferral suffices. The benefit roughly</w:t>
      </w:r>
      <w:r>
        <w:t xml:space="preserve"> </w:t>
      </w:r>
      <w:r>
        <w:t xml:space="preserve">doubles, from 4–5 % to 8–12 %, once mean demand exceeds one turbine’s rating</w:t>
      </w:r>
      <w:r>
        <w:t xml:space="preserve"> </w:t>
      </w:r>
      <w:r>
        <w:t xml:space="preserve">minus the reserve, and a persistence wind forecast retains 94 % of it.</w:t>
      </w:r>
      <w:r>
        <w:t xml:space="preserve"> </w:t>
      </w:r>
      <w:r>
        <w:t xml:space="preserve">Operating rules that keep two gas turbines online remove most of the gain,</w:t>
      </w:r>
      <w:r>
        <w:t xml:space="preserve"> </w:t>
      </w:r>
      <w:r>
        <w:t xml:space="preserve">whereas counting injection pumps as trippable reserve captures about 60 %</w:t>
      </w:r>
      <w:r>
        <w:t xml:space="preserve"> </w:t>
      </w:r>
      <w:r>
        <w:t xml:space="preserve">without scheduling. With two turbines online, as the operator assumes, the model matches the CO</w:t>
      </w:r>
      <w:r>
        <w:rPr>
          <w:vertAlign w:val="subscript"/>
        </w:rPr>
        <w:t xml:space="preserve">2</w:t>
      </w:r>
      <w:r>
        <w:t xml:space="preserve"> </w:t>
      </w:r>
      <w:r>
        <w:t xml:space="preserve">avoided per MWh of wind expected at Hywind Tampen.</w:t>
      </w:r>
    </w:p>
    <w:p>
      <w:pPr>
        <w:pStyle w:val="BodyText"/>
      </w:pPr>
      <w:r>
        <w:rPr>
          <w:bCs/>
          <w:b/>
        </w:rPr>
        <w:t xml:space="preserve">Keywords:</w:t>
      </w:r>
      <w:r>
        <w:t xml:space="preserve"> </w:t>
      </w:r>
      <w:r>
        <w:t xml:space="preserve">offshore oil and gas platform; offshore wind; demand-side</w:t>
      </w:r>
      <w:r>
        <w:t xml:space="preserve"> </w:t>
      </w:r>
      <w:r>
        <w:t xml:space="preserve">flexibility; gas turbine part load; unit commitment; water injection</w:t>
      </w:r>
    </w:p>
    <w:bookmarkStart w:id="20" w:name="introduction"/>
    <w:p>
      <w:pPr>
        <w:pStyle w:val="Heading1"/>
      </w:pPr>
      <w:r>
        <w:t xml:space="preserve">1. Introduction</w:t>
      </w:r>
    </w:p>
    <w:p>
      <w:pPr>
        <w:pStyle w:val="FirstParagraph"/>
      </w:pPr>
      <w:r>
        <w:t xml:space="preserve">The oil and gas extraction sector accounts for about a quarter of the</w:t>
      </w:r>
      <w:r>
        <w:t xml:space="preserve"> </w:t>
      </w:r>
      <w:r>
        <w:t xml:space="preserve">greenhouse gas emissions of Norway (Offshore Norge 2024). Most of these</w:t>
      </w:r>
      <w:r>
        <w:t xml:space="preserve"> </w:t>
      </w:r>
      <w:r>
        <w:t xml:space="preserve">emissions originate from the gas turbines (GTs) that generate power and drive</w:t>
      </w:r>
      <w:r>
        <w:t xml:space="preserve"> </w:t>
      </w:r>
      <w:r>
        <w:t xml:space="preserve">compressors on the offshore installations (Norwegian Ministry of Energy and Norwegian Offshore Directorate n.d.). Power</w:t>
      </w:r>
      <w:r>
        <w:t xml:space="preserve"> </w:t>
      </w:r>
      <w:r>
        <w:t xml:space="preserve">from shore eliminates them where a cable connection is feasible: the</w:t>
      </w:r>
      <w:r>
        <w:t xml:space="preserve"> </w:t>
      </w:r>
      <w:r>
        <w:t xml:space="preserve">electrification projects planned in 2020 had abatement costs below NOK 1,500</w:t>
      </w:r>
      <w:r>
        <w:t xml:space="preserve"> </w:t>
      </w:r>
      <w:r>
        <w:t xml:space="preserve">per tonne of CO</w:t>
      </w:r>
      <w:r>
        <w:rPr>
          <w:vertAlign w:val="subscript"/>
        </w:rPr>
        <w:t xml:space="preserve">2</w:t>
      </w:r>
      <w:r>
        <w:t xml:space="preserve"> </w:t>
      </w:r>
      <w:r>
        <w:t xml:space="preserve">(Norwegian Petroleum Directorate et al. 2020), and the CO</w:t>
      </w:r>
      <w:r>
        <w:rPr>
          <w:vertAlign w:val="subscript"/>
        </w:rPr>
        <w:t xml:space="preserve">2</w:t>
      </w:r>
      <w:r>
        <w:t xml:space="preserve"> </w:t>
      </w:r>
      <w:r>
        <w:t xml:space="preserve">cost paid by the operators has</w:t>
      </w:r>
      <w:r>
        <w:t xml:space="preserve"> </w:t>
      </w:r>
      <w:r>
        <w:t xml:space="preserve">since increased from about NOK 860 to NOK 1,860 per tonne (Norwegian Offshore Directorate n.d.b).</w:t>
      </w:r>
      <w:r>
        <w:t xml:space="preserve"> </w:t>
      </w:r>
      <w:r>
        <w:t xml:space="preserve">However, many installations are located too far from shore or are too small to</w:t>
      </w:r>
      <w:r>
        <w:t xml:space="preserve"> </w:t>
      </w:r>
      <w:r>
        <w:t xml:space="preserve">justify a cable, or they depend on onshore grid capacity that is required by</w:t>
      </w:r>
      <w:r>
        <w:t xml:space="preserve"> </w:t>
      </w:r>
      <w:r>
        <w:t xml:space="preserve">other users, and the operators have judged the alternatives to power from</w:t>
      </w:r>
      <w:r>
        <w:t xml:space="preserve"> </w:t>
      </w:r>
      <w:r>
        <w:t xml:space="preserve">shore to be more costly or less effective (Norwegian Offshore Directorate n.d.b). For these</w:t>
      </w:r>
      <w:r>
        <w:t xml:space="preserve"> </w:t>
      </w:r>
      <w:r>
        <w:t xml:space="preserve">installations, the emissions are still determined by the efficiency of the</w:t>
      </w:r>
      <w:r>
        <w:t xml:space="preserve"> </w:t>
      </w:r>
      <w:r>
        <w:t xml:space="preserve">offshore power plant.</w:t>
      </w:r>
    </w:p>
    <w:p>
      <w:pPr>
        <w:pStyle w:val="BodyText"/>
      </w:pPr>
      <w:r>
        <w:t xml:space="preserve">The integration of wind power into the platform grid has been studied for more</w:t>
      </w:r>
      <w:r>
        <w:t xml:space="preserve"> </w:t>
      </w:r>
      <w:r>
        <w:t xml:space="preserve">than a decade. He et al. (2010) assessed the potential of integrating wind</w:t>
      </w:r>
      <w:r>
        <w:t xml:space="preserve"> </w:t>
      </w:r>
      <w:r>
        <w:t xml:space="preserve">power with offshore oil and gas platforms, and Marvik et al. (2013)</w:t>
      </w:r>
      <w:r>
        <w:t xml:space="preserve"> </w:t>
      </w:r>
      <w:r>
        <w:t xml:space="preserve">studied the transient stability of a cluster of North Sea installations</w:t>
      </w:r>
      <w:r>
        <w:t xml:space="preserve"> </w:t>
      </w:r>
      <w:r>
        <w:t xml:space="preserve">connected to a wind farm. Riboldi and Nord (2018) optimized an</w:t>
      </w:r>
      <w:r>
        <w:t xml:space="preserve"> </w:t>
      </w:r>
      <w:r>
        <w:t xml:space="preserve">offshore combined-cycle plant integrating a wind farm and found that its</w:t>
      </w:r>
      <w:r>
        <w:t xml:space="preserve"> </w:t>
      </w:r>
      <w:r>
        <w:t xml:space="preserve">economic performance depends on the gas and CO</w:t>
      </w:r>
      <w:r>
        <w:rPr>
          <w:vertAlign w:val="subscript"/>
        </w:rPr>
        <w:t xml:space="preserve">2</w:t>
      </w:r>
      <w:r>
        <w:t xml:space="preserve"> </w:t>
      </w:r>
      <w:r>
        <w:t xml:space="preserve">prices. The first large</w:t>
      </w:r>
      <w:r>
        <w:t xml:space="preserve"> </w:t>
      </w:r>
      <w:r>
        <w:t xml:space="preserve">application is Hywind Tampen, an 88 MW floating wind farm that supplies five</w:t>
      </w:r>
      <w:r>
        <w:t xml:space="preserve"> </w:t>
      </w:r>
      <w:r>
        <w:t xml:space="preserve">platforms and has been in operation since 2023; it is expected to cover about</w:t>
      </w:r>
      <w:r>
        <w:t xml:space="preserve"> </w:t>
      </w:r>
      <w:r>
        <w:t xml:space="preserve">35 % of their electricity demand and to avoid about 200 kt of CO</w:t>
      </w:r>
      <w:r>
        <w:rPr>
          <w:vertAlign w:val="subscript"/>
        </w:rPr>
        <w:t xml:space="preserve">2</w:t>
      </w:r>
      <w:r>
        <w:t xml:space="preserve"> </w:t>
      </w:r>
      <w:r>
        <w:t xml:space="preserve">per year</w:t>
      </w:r>
      <w:r>
        <w:t xml:space="preserve"> </w:t>
      </w:r>
      <w:r>
        <w:t xml:space="preserve">(Equinor 2023).</w:t>
      </w:r>
    </w:p>
    <w:p>
      <w:pPr>
        <w:pStyle w:val="BodyText"/>
      </w:pPr>
      <w:r>
        <w:t xml:space="preserve">The fuel saved per MWh of wind is, however, smaller on such a platform than in</w:t>
      </w:r>
      <w:r>
        <w:t xml:space="preserve"> </w:t>
      </w:r>
      <w:r>
        <w:t xml:space="preserve">a large grid. Since the wind turbines follow the grid frequency rather than</w:t>
      </w:r>
      <w:r>
        <w:t xml:space="preserve"> </w:t>
      </w:r>
      <w:r>
        <w:t xml:space="preserve">set it, at least one GT must remain online, and the running GTs must hold</w:t>
      </w:r>
      <w:r>
        <w:t xml:space="preserve"> </w:t>
      </w:r>
      <w:r>
        <w:t xml:space="preserve">sufficient spare capacity to cover the loss of the wind farm or of a</w:t>
      </w:r>
      <w:r>
        <w:t xml:space="preserve"> </w:t>
      </w:r>
      <w:r>
        <w:t xml:space="preserve">generator. When wind supplies part of the demand, the GTs therefore operate at</w:t>
      </w:r>
      <w:r>
        <w:t xml:space="preserve"> </w:t>
      </w:r>
      <w:r>
        <w:t xml:space="preserve">part load, where they are least efficient: the electric efficiency of the</w:t>
      </w:r>
      <w:r>
        <w:t xml:space="preserve"> </w:t>
      </w:r>
      <w:r>
        <w:t xml:space="preserve">LEOGO reference turbine decreases from about 35 % at full load to below 20 %</w:t>
      </w:r>
      <w:r>
        <w:t xml:space="preserve"> </w:t>
      </w:r>
      <w:r>
        <w:t xml:space="preserve">near its minimum stable load (Svendsen et al. 2023). Exergy analyses of North Sea</w:t>
      </w:r>
      <w:r>
        <w:t xml:space="preserve"> </w:t>
      </w:r>
      <w:r>
        <w:t xml:space="preserve">platforms attribute 62–65 % of the exergy destroyed on a platform to the gas</w:t>
      </w:r>
      <w:r>
        <w:t xml:space="preserve"> </w:t>
      </w:r>
      <w:r>
        <w:t xml:space="preserve">turbines (Nguyen et al. 2013).</w:t>
      </w:r>
    </w:p>
    <w:p>
      <w:pPr>
        <w:pStyle w:val="BodyText"/>
      </w:pPr>
      <w:r>
        <w:t xml:space="preserve">Part of this loss can be recovered by operational optimization. The</w:t>
      </w:r>
      <w:r>
        <w:t xml:space="preserve"> </w:t>
      </w:r>
      <w:r>
        <w:t xml:space="preserve">open-source tool Oogeso optimizes the GT commitment, the wind use and the</w:t>
      </w:r>
      <w:r>
        <w:t xml:space="preserve"> </w:t>
      </w:r>
      <w:r>
        <w:t xml:space="preserve">storage; with a battery providing reserve, one turbine can be switched off and</w:t>
      </w:r>
      <w:r>
        <w:t xml:space="preserve"> </w:t>
      </w:r>
      <w:r>
        <w:t xml:space="preserve">the remaining ones operated at higher load (Svendsen 2022). The LEOGO</w:t>
      </w:r>
      <w:r>
        <w:t xml:space="preserve"> </w:t>
      </w:r>
      <w:r>
        <w:t xml:space="preserve">reference platform provides a common data set for such studies</w:t>
      </w:r>
      <w:r>
        <w:t xml:space="preserve"> </w:t>
      </w:r>
      <w:r>
        <w:t xml:space="preserve">(Svendsen et al. 2023). Zhang et al. (2022) planned investments in offshore</w:t>
      </w:r>
      <w:r>
        <w:t xml:space="preserve"> </w:t>
      </w:r>
      <w:r>
        <w:t xml:space="preserve">energy hubs under emission targets, and Khan et al. (2022) showed that</w:t>
      </w:r>
      <w:r>
        <w:t xml:space="preserve"> </w:t>
      </w:r>
      <w:r>
        <w:t xml:space="preserve">relaxing the GT operating constraints allows a platform grid to absorb more</w:t>
      </w:r>
      <w:r>
        <w:t xml:space="preserve"> </w:t>
      </w:r>
      <w:r>
        <w:t xml:space="preserve">wind power. In all of these studies the platform load is an input. Svendsen</w:t>
      </w:r>
      <w:r>
        <w:t xml:space="preserve"> </w:t>
      </w:r>
      <w:r>
        <w:t xml:space="preserve">(2022) pointed out demand-side flexibility as a means of reducing the</w:t>
      </w:r>
      <w:r>
        <w:t xml:space="preserve"> </w:t>
      </w:r>
      <w:r>
        <w:t xml:space="preserve">need for storage, but left it for future work.</w:t>
      </w:r>
    </w:p>
    <w:p>
      <w:pPr>
        <w:pStyle w:val="BodyText"/>
      </w:pPr>
      <w:r>
        <w:t xml:space="preserve">In onshore industry, the shifting of loads in time is an established subject.</w:t>
      </w:r>
      <w:r>
        <w:t xml:space="preserve"> </w:t>
      </w:r>
      <w:r>
        <w:t xml:space="preserve">Zhang and Grossmann (2016) reviewed how energy-intensive</w:t>
      </w:r>
      <w:r>
        <w:t xml:space="preserve"> </w:t>
      </w:r>
      <w:r>
        <w:t xml:space="preserve">production can be scheduled according to electricity prices, and Golmohamadi</w:t>
      </w:r>
      <w:r>
        <w:t xml:space="preserve"> </w:t>
      </w:r>
      <w:r>
        <w:t xml:space="preserve">(2022) reviewed demand-side management in heavy industries such as</w:t>
      </w:r>
      <w:r>
        <w:t xml:space="preserve"> </w:t>
      </w:r>
      <w:r>
        <w:t xml:space="preserve">cement and aluminum production. These studies consider the response to price</w:t>
      </w:r>
      <w:r>
        <w:t xml:space="preserve"> </w:t>
      </w:r>
      <w:r>
        <w:t xml:space="preserve">signals in a large grid. An off-grid platform has no such price signal: the</w:t>
      </w:r>
      <w:r>
        <w:t xml:space="preserve"> </w:t>
      </w:r>
      <w:r>
        <w:t xml:space="preserve">value of moving a load arises only through the platform’s own power plant, and</w:t>
      </w:r>
      <w:r>
        <w:t xml:space="preserve"> </w:t>
      </w:r>
      <w:r>
        <w:t xml:space="preserve">it is strongly non-linear, as it depends on whether the change allows a GT to</w:t>
      </w:r>
      <w:r>
        <w:t xml:space="preserve"> </w:t>
      </w:r>
      <w:r>
        <w:t xml:space="preserve">be stopped or avoids the start of one.</w:t>
      </w:r>
    </w:p>
    <w:p>
      <w:pPr>
        <w:pStyle w:val="BodyText"/>
      </w:pPr>
      <w:r>
        <w:t xml:space="preserve">The platform loads are not fixed either. Water injection is one of the largest</w:t>
      </w:r>
      <w:r>
        <w:t xml:space="preserve"> </w:t>
      </w:r>
      <w:r>
        <w:t xml:space="preserve">consumers, and on the platforms studied by Nguyen et al. (2013) only</w:t>
      </w:r>
      <w:r>
        <w:t xml:space="preserve"> </w:t>
      </w:r>
      <w:r>
        <w:t xml:space="preserve">gas compression required more power. Injection can be postponed for hours as</w:t>
      </w:r>
      <w:r>
        <w:t xml:space="preserve"> </w:t>
      </w:r>
      <w:r>
        <w:t xml:space="preserve">long as the cumulative volume meets the requirements of the reservoir, since</w:t>
      </w:r>
      <w:r>
        <w:t xml:space="preserve"> </w:t>
      </w:r>
      <w:r>
        <w:t xml:space="preserve">the reservoir pressure responds slowly. Production can also be reduced,</w:t>
      </w:r>
      <w:r>
        <w:t xml:space="preserve"> </w:t>
      </w:r>
      <w:r>
        <w:t xml:space="preserve">although at a large loss of revenue, whereas utilities and safety systems must</w:t>
      </w:r>
      <w:r>
        <w:t xml:space="preserve"> </w:t>
      </w:r>
      <w:r>
        <w:t xml:space="preserve">run at all times. The share of this flexibility that can actually be used</w:t>
      </w:r>
      <w:r>
        <w:t xml:space="preserve"> </w:t>
      </w:r>
      <w:r>
        <w:t xml:space="preserve">depends on details that a fixed load profile does not capture, such as</w:t>
      </w:r>
      <w:r>
        <w:t xml:space="preserve"> </w:t>
      </w:r>
      <w:r>
        <w:t xml:space="preserve">parallel trains, minimum-flow recycle on compressors and pumps, ramp limits</w:t>
      </w:r>
      <w:r>
        <w:t xml:space="preserve"> </w:t>
      </w:r>
      <w:r>
        <w:t xml:space="preserve">and the need to catch up postponed injection.</w:t>
      </w:r>
    </w:p>
    <w:p>
      <w:pPr>
        <w:pStyle w:val="BodyText"/>
      </w:pPr>
      <w:r>
        <w:t xml:space="preserve">Water injection has already been proposed as a controllable load for</w:t>
      </w:r>
      <w:r>
        <w:t xml:space="preserve"> </w:t>
      </w:r>
      <w:r>
        <w:t xml:space="preserve">wind-powered platforms. Sanchez et al. (2017) used variable-speed</w:t>
      </w:r>
      <w:r>
        <w:t xml:space="preserve"> </w:t>
      </w:r>
      <w:r>
        <w:t xml:space="preserve">injection pumps to smooth short-term wind power fluctuations and to damp</w:t>
      </w:r>
      <w:r>
        <w:t xml:space="preserve"> </w:t>
      </w:r>
      <w:r>
        <w:t xml:space="preserve">low-frequency oscillations of the platform grid, and Alves et al. (2019)</w:t>
      </w:r>
      <w:r>
        <w:t xml:space="preserve"> </w:t>
      </w:r>
      <w:r>
        <w:t xml:space="preserve">combined such load management with energy storage to improve power quality.</w:t>
      </w:r>
      <w:r>
        <w:t xml:space="preserve"> </w:t>
      </w:r>
      <w:r>
        <w:t xml:space="preserve">The WIN WIN joint industry project found a stand-alone floating wind turbine</w:t>
      </w:r>
      <w:r>
        <w:t xml:space="preserve"> </w:t>
      </w:r>
      <w:r>
        <w:t xml:space="preserve">that drives water injection directly to be technically feasible (DNV 2016).</w:t>
      </w:r>
      <w:r>
        <w:t xml:space="preserve"> </w:t>
      </w:r>
      <w:r>
        <w:t xml:space="preserve">On the reservoir side, Nilsen et al. (Nilsen et al. 2025b, 2025a) optimized</w:t>
      </w:r>
      <w:r>
        <w:t xml:space="preserve"> </w:t>
      </w:r>
      <w:r>
        <w:t xml:space="preserve">the well controls of a field supplied by offshore wind, so that the power</w:t>
      </w:r>
      <w:r>
        <w:t xml:space="preserve"> </w:t>
      </w:r>
      <w:r>
        <w:t xml:space="preserve">demand follows the wind, and studied the trade-off between profit and</w:t>
      </w:r>
      <w:r>
        <w:t xml:space="preserve"> </w:t>
      </w:r>
      <w:r>
        <w:t xml:space="preserve">emissions. These studies address either the dynamics of the electrical system</w:t>
      </w:r>
      <w:r>
        <w:t xml:space="preserve"> </w:t>
      </w:r>
      <w:r>
        <w:t xml:space="preserve">over seconds to minutes or the response of the reservoir over months to years.</w:t>
      </w:r>
      <w:r>
        <w:t xml:space="preserve"> </w:t>
      </w:r>
      <w:r>
        <w:t xml:space="preserve">The hour-by-hour interaction between deferrable topside loads and the</w:t>
      </w:r>
      <w:r>
        <w:t xml:space="preserve"> </w:t>
      </w:r>
      <w:r>
        <w:t xml:space="preserve">commitment of the gas turbines, which determines how much fuel is actually</w:t>
      </w:r>
      <w:r>
        <w:t xml:space="preserve"> </w:t>
      </w:r>
      <w:r>
        <w:t xml:space="preserve">saved, has not been quantified over full years.</w:t>
      </w:r>
    </w:p>
    <w:p>
      <w:pPr>
        <w:pStyle w:val="BodyText"/>
      </w:pPr>
      <w:r>
        <w:t xml:space="preserve">The goal of this study is to quantify this interaction: how much fuel and CO</w:t>
      </w:r>
      <w:r>
        <w:rPr>
          <w:vertAlign w:val="subscript"/>
        </w:rPr>
        <w:t xml:space="preserve">2</w:t>
      </w:r>
      <w:r>
        <w:t xml:space="preserve"> </w:t>
      </w:r>
      <w:r>
        <w:t xml:space="preserve">a wind-powered oil platform can save by scheduling its flexible loads, which</w:t>
      </w:r>
      <w:r>
        <w:t xml:space="preserve"> </w:t>
      </w:r>
      <w:r>
        <w:t xml:space="preserve">consumers provide the saving and through which mechanism, and which</w:t>
      </w:r>
      <w:r>
        <w:t xml:space="preserve"> </w:t>
      </w:r>
      <w:r>
        <w:t xml:space="preserve">assumptions determine its magnitude. To the authors’ knowledge, it is the</w:t>
      </w:r>
      <w:r>
        <w:t xml:space="preserve"> </w:t>
      </w:r>
      <w:r>
        <w:t xml:space="preserve">first study that schedules deferrable topside loads together with gas turbine</w:t>
      </w:r>
      <w:r>
        <w:t xml:space="preserve"> </w:t>
      </w:r>
      <w:r>
        <w:t xml:space="preserve">unit commitment over full years at hourly resolution, with consumer power</w:t>
      </w:r>
      <w:r>
        <w:t xml:space="preserve"> </w:t>
      </w:r>
      <w:r>
        <w:t xml:space="preserve">curves derived from a process model. Four main steps were followed in this study:</w:t>
      </w:r>
    </w:p>
    <w:p>
      <w:pPr>
        <w:numPr>
          <w:ilvl w:val="0"/>
          <w:numId w:val="1001"/>
        </w:numPr>
        <w:pStyle w:val="Compact"/>
      </w:pPr>
      <w:r>
        <w:t xml:space="preserve">development of a demand map of a generic North Sea oil platform with a</w:t>
      </w:r>
      <w:r>
        <w:t xml:space="preserve"> </w:t>
      </w:r>
      <w:r>
        <w:t xml:space="preserve">steady-state process model, giving the power of each consumer as a function</w:t>
      </w:r>
      <w:r>
        <w:t xml:space="preserve"> </w:t>
      </w:r>
      <w:r>
        <w:t xml:space="preserve">of its operating lever, including train switching and minimum-flow recycle;</w:t>
      </w:r>
    </w:p>
    <w:p>
      <w:pPr>
        <w:numPr>
          <w:ilvl w:val="0"/>
          <w:numId w:val="1001"/>
        </w:numPr>
        <w:pStyle w:val="Compact"/>
      </w:pPr>
      <w:r>
        <w:t xml:space="preserve">classification of the consumers as must-run, flexible (deferrable) or</w:t>
      </w:r>
      <w:r>
        <w:t xml:space="preserve"> </w:t>
      </w:r>
      <w:r>
        <w:t xml:space="preserve">sheddable, with postponed water injection represented as a virtual storage</w:t>
      </w:r>
      <w:r>
        <w:t xml:space="preserve"> </w:t>
      </w:r>
      <w:r>
        <w:t xml:space="preserve">that must be emptied again;</w:t>
      </w:r>
    </w:p>
    <w:p>
      <w:pPr>
        <w:numPr>
          <w:ilvl w:val="0"/>
          <w:numId w:val="1001"/>
        </w:numPr>
        <w:pStyle w:val="Compact"/>
      </w:pPr>
      <w:r>
        <w:t xml:space="preserve">formulation of a mixed-integer linear program that schedules the flexible</w:t>
      </w:r>
      <w:r>
        <w:t xml:space="preserve"> </w:t>
      </w:r>
      <w:r>
        <w:t xml:space="preserve">consumers together with the GT commitment, the wind use and an optional</w:t>
      </w:r>
      <w:r>
        <w:t xml:space="preserve"> </w:t>
      </w:r>
      <w:r>
        <w:t xml:space="preserve">battery, hour by hour over full years;</w:t>
      </w:r>
    </w:p>
    <w:p>
      <w:pPr>
        <w:numPr>
          <w:ilvl w:val="0"/>
          <w:numId w:val="1001"/>
        </w:numPr>
        <w:pStyle w:val="Compact"/>
      </w:pPr>
      <w:r>
        <w:t xml:space="preserve">simulation of four cases and ten weather years, with sensitivity analysis,</w:t>
      </w:r>
      <w:r>
        <w:t xml:space="preserve"> </w:t>
      </w:r>
      <w:r>
        <w:t xml:space="preserve">benchmark checks against Hywind Tampen and field data, and economic</w:t>
      </w:r>
      <w:r>
        <w:t xml:space="preserve"> </w:t>
      </w:r>
      <w:r>
        <w:t xml:space="preserve">indicators.</w:t>
      </w:r>
    </w:p>
    <w:p>
      <w:pPr>
        <w:pStyle w:val="FirstParagraph"/>
      </w:pPr>
      <w:r>
        <w:t xml:space="preserve">The methodology and the models are described in Section 2. Section 3 reports</w:t>
      </w:r>
      <w:r>
        <w:t xml:space="preserve"> </w:t>
      </w:r>
      <w:r>
        <w:t xml:space="preserve">the results obtained for the four cases, which are discussed in Section 4.</w:t>
      </w:r>
      <w:r>
        <w:t xml:space="preserve"> </w:t>
      </w:r>
      <w:r>
        <w:t xml:space="preserve">Concluding remarks are outlined in Section 5. The code, the input data and all</w:t>
      </w:r>
      <w:r>
        <w:t xml:space="preserve"> </w:t>
      </w:r>
      <w:r>
        <w:t xml:space="preserve">parameters with their sources are openly available (see Data and Code</w:t>
      </w:r>
      <w:r>
        <w:t xml:space="preserve"> </w:t>
      </w:r>
      <w:r>
        <w:t xml:space="preserve">Availability).</w:t>
      </w:r>
    </w:p>
    <w:bookmarkEnd w:id="20"/>
    <w:bookmarkStart w:id="32" w:name="methods"/>
    <w:p>
      <w:pPr>
        <w:pStyle w:val="Heading1"/>
      </w:pPr>
      <w:r>
        <w:t xml:space="preserve">2. Methods</w:t>
      </w:r>
    </w:p>
    <w:bookmarkStart w:id="24" w:name="system-and-cases"/>
    <w:p>
      <w:pPr>
        <w:pStyle w:val="Heading2"/>
      </w:pPr>
      <w:r>
        <w:t xml:space="preserve">2.1 System and cases</w:t>
      </w:r>
    </w:p>
    <w:p>
      <w:pPr>
        <w:pStyle w:val="FirstParagraph"/>
      </w:pPr>
      <w:r>
        <w:t xml:space="preserve">The electric power system of a generic oil platform in the northern North Sea</w:t>
      </w:r>
      <w:r>
        <w:t xml:space="preserve"> </w:t>
      </w:r>
      <w:r>
        <w:t xml:space="preserve">(Tampen area, 61.0° N, 2.0° E) was modeled for the year 2023 at hourly</w:t>
      </w:r>
      <w:r>
        <w:t xml:space="preserve"> </w:t>
      </w:r>
      <w:r>
        <w:t xml:space="preserve">resolution (Figure 1), and Cases 1–4 were repeated for the weather years</w:t>
      </w:r>
      <w:r>
        <w:t xml:space="preserve"> </w:t>
      </w:r>
      <w:r>
        <w:t xml:space="preserve">2014–2022. The platform produces oil with associated gas, exports both and</w:t>
      </w:r>
      <w:r>
        <w:t xml:space="preserve"> </w:t>
      </w:r>
      <w:r>
        <w:t xml:space="preserve">injects water for pressure support. Power is supplied by three GTs and, in the</w:t>
      </w:r>
      <w:r>
        <w:t xml:space="preserve"> </w:t>
      </w:r>
      <w:r>
        <w:t xml:space="preserve">wind cases, by a nearby offshore wind farm of two turbines connected to the AC</w:t>
      </w:r>
      <w:r>
        <w:t xml:space="preserve"> </w:t>
      </w:r>
      <w:r>
        <w:t xml:space="preserve">system of the platform. Four cases were compared:</w:t>
      </w:r>
    </w:p>
    <w:p>
      <w:pPr>
        <w:numPr>
          <w:ilvl w:val="0"/>
          <w:numId w:val="1002"/>
        </w:numPr>
        <w:pStyle w:val="Compact"/>
      </w:pPr>
      <w:r>
        <w:rPr>
          <w:bCs/>
          <w:b/>
        </w:rPr>
        <w:t xml:space="preserve">GTs only</w:t>
      </w:r>
      <w:r>
        <w:t xml:space="preserve">, fixed demand (baseline).</w:t>
      </w:r>
    </w:p>
    <w:p>
      <w:pPr>
        <w:numPr>
          <w:ilvl w:val="0"/>
          <w:numId w:val="1002"/>
        </w:numPr>
        <w:pStyle w:val="Compact"/>
      </w:pPr>
      <w:r>
        <w:rPr>
          <w:bCs/>
          <w:b/>
        </w:rPr>
        <w:t xml:space="preserve">Wind + GTs, fixed demand</w:t>
      </w:r>
      <w:r>
        <w:t xml:space="preserve">: production and water injection at their</w:t>
      </w:r>
      <w:r>
        <w:t xml:space="preserve"> </w:t>
      </w:r>
      <w:r>
        <w:t xml:space="preserve">design and target rates in every hour.</w:t>
      </w:r>
    </w:p>
    <w:p>
      <w:pPr>
        <w:numPr>
          <w:ilvl w:val="0"/>
          <w:numId w:val="1002"/>
        </w:numPr>
        <w:pStyle w:val="Compact"/>
      </w:pPr>
      <w:r>
        <w:rPr>
          <w:bCs/>
          <w:b/>
        </w:rPr>
        <w:t xml:space="preserve">Wind + GTs, flexible scheduling</w:t>
      </w:r>
      <w:r>
        <w:t xml:space="preserve">: production and injection rates are</w:t>
      </w:r>
      <w:r>
        <w:t xml:space="preserve"> </w:t>
      </w:r>
      <w:r>
        <w:t xml:space="preserve">decision variables.</w:t>
      </w:r>
    </w:p>
    <w:p>
      <w:pPr>
        <w:numPr>
          <w:ilvl w:val="0"/>
          <w:numId w:val="1002"/>
        </w:numPr>
        <w:pStyle w:val="Compact"/>
      </w:pPr>
      <w:r>
        <w:rPr>
          <w:bCs/>
          <w:b/>
        </w:rPr>
        <w:t xml:space="preserve">Case 3 + battery</w:t>
      </w:r>
      <w:r>
        <w:t xml:space="preserve"> </w:t>
      </w:r>
      <w:r>
        <w:t xml:space="preserve">of 4 MW / 4 MWh.</w:t>
      </w:r>
    </w:p>
    <w:p>
      <w:pPr>
        <w:pStyle w:val="FirstParagraph"/>
      </w:pPr>
      <w:r>
        <w:t xml:space="preserve">The platform keeps its three GTs in all cases, as a retrofit would; the</w:t>
      </w:r>
      <w:r>
        <w:t xml:space="preserve"> </w:t>
      </w:r>
      <w:r>
        <w:t xml:space="preserve">optimizer decides how many run in each hour. Case 2 corresponds to the</w:t>
      </w:r>
      <w:r>
        <w:t xml:space="preserve"> </w:t>
      </w:r>
      <w:r>
        <w:t xml:space="preserve">usual assumption in platform–wind studies, in which wind displaces GT power</w:t>
      </w:r>
      <w:r>
        <w:t xml:space="preserve"> </w:t>
      </w:r>
      <w:r>
        <w:t xml:space="preserve">but the load is unchanged. The difference between Cases 2 and 3 isolates</w:t>
      </w:r>
      <w:r>
        <w:t xml:space="preserve"> </w:t>
      </w:r>
      <w:r>
        <w:t xml:space="preserve">the value of demand flexibility, and Case 4 tests whether a small battery</w:t>
      </w:r>
      <w:r>
        <w:t xml:space="preserve"> </w:t>
      </w:r>
      <w:r>
        <w:t xml:space="preserve">adds to it.</w:t>
      </w:r>
    </w:p>
    <w:p>
      <w:pPr>
        <w:pStyle w:val="BodyText"/>
      </w:pPr>
      <w:r>
        <w:t xml:space="preserve">The base case keeps the existing main turbines, as on the five platforms</w:t>
      </w:r>
      <w:r>
        <w:t xml:space="preserve"> </w:t>
      </w:r>
      <w:r>
        <w:t xml:space="preserve">supplied by Hywind Tampen (Equinor 2023), for two reasons: load flexibility is</w:t>
      </w:r>
      <w:r>
        <w:t xml:space="preserve"> </w:t>
      </w:r>
      <w:r>
        <w:t xml:space="preserve">an operational measure, whereas a new GT is an investment, so a fixed fleet</w:t>
      </w:r>
      <w:r>
        <w:t xml:space="preserve"> </w:t>
      </w:r>
      <w:r>
        <w:t xml:space="preserve">isolates the value of flexibility; and the main turbine is a published</w:t>
      </w:r>
      <w:r>
        <w:t xml:space="preserve"> </w:t>
      </w:r>
      <w:r>
        <w:t xml:space="preserve">reference machine with a documented part-load curve (Svendsen et al. 2023). A smaller</w:t>
      </w:r>
      <w:r>
        <w:t xml:space="preserve"> </w:t>
      </w:r>
      <w:r>
        <w:t xml:space="preserve">unit, an 11.35 MW Solar Turbines Mars 100 (Solar Turbines n.d.), is tested in the</w:t>
      </w:r>
      <w:r>
        <w:t xml:space="preserve"> </w:t>
      </w:r>
      <w:r>
        <w:t xml:space="preserve">sensitivity analysis, replacing one main unit or added to the three. Alone it</w:t>
      </w:r>
      <w:r>
        <w:t xml:space="preserve"> </w:t>
      </w:r>
      <w:r>
        <w:t xml:space="preserve">could not carry the 20 MW platform with 5 MW of reserve in calm periods.</w:t>
      </w:r>
    </w:p>
    <w:p>
      <w:pPr>
        <w:pStyle w:val="BodyText"/>
      </w:pPr>
      <w:r>
        <w:t xml:space="preserve">Process behavior is represented by steady-state operating points with ramp</w:t>
      </w:r>
      <w:r>
        <w:t xml:space="preserve"> </w:t>
      </w:r>
      <w:r>
        <w:t xml:space="preserve">limits; transient process dynamics are outside the scope. The model is</w:t>
      </w:r>
      <w:r>
        <w:t xml:space="preserve"> </w:t>
      </w:r>
      <w:r>
        <w:t xml:space="preserve">written in Python with NeqSim for thermodynamics and process simulation</w:t>
      </w:r>
      <w:r>
        <w:t xml:space="preserve"> </w:t>
      </w:r>
      <w:r>
        <w:t xml:space="preserve">(Solbraa n.d.) and Pyomo with the HiGHS solver for optimization</w:t>
      </w:r>
      <w:r>
        <w:t xml:space="preserve"> </w:t>
      </w:r>
      <w:r>
        <w:t xml:space="preserve">(Bynum et al. 2021; Huangfu and Hall 2018). Every parameter is stored in a single</w:t>
      </w:r>
      <w:r>
        <w:t xml:space="preserve"> </w:t>
      </w:r>
      <w:r>
        <w:t xml:space="preserve">configuration file with its unit and source; 31 of 109 parameters are marked</w:t>
      </w:r>
      <w:r>
        <w:t xml:space="preserve"> </w:t>
      </w:r>
      <w:r>
        <w:t xml:space="preserve">as assumptions because no published value could be found (Table S1).</w:t>
      </w:r>
    </w:p>
    <w:p>
      <w:pPr>
        <w:pStyle w:val="Figure"/>
      </w:pPr>
      <w:r>
        <w:drawing>
          <wp:inline>
            <wp:extent cx="5759999" cy="2849426"/>
            <wp:effectExtent b="0" l="0" r="0" t="0"/>
            <wp:docPr descr="" title="" id="22" name="Picture"/>
            <a:graphic>
              <a:graphicData uri="http://schemas.openxmlformats.org/drawingml/2006/picture">
                <pic:pic>
                  <pic:nvPicPr>
                    <pic:cNvPr descr="results/paper/fig00_system.png" id="23" name="Picture"/>
                    <pic:cNvPicPr>
                      <a:picLocks noChangeArrowheads="1" noChangeAspect="1"/>
                    </pic:cNvPicPr>
                  </pic:nvPicPr>
                  <pic:blipFill>
                    <a:blip r:embed="rId21"/>
                    <a:stretch>
                      <a:fillRect/>
                    </a:stretch>
                  </pic:blipFill>
                  <pic:spPr bwMode="auto">
                    <a:xfrm>
                      <a:off x="0" y="0"/>
                      <a:ext cx="5759999" cy="2849426"/>
                    </a:xfrm>
                    <a:prstGeom prst="rect">
                      <a:avLst/>
                    </a:prstGeom>
                    <a:noFill/>
                    <a:ln w="9525">
                      <a:noFill/>
                      <a:headEnd/>
                      <a:tailEnd/>
                    </a:ln>
                  </pic:spPr>
                </pic:pic>
              </a:graphicData>
            </a:graphic>
          </wp:inline>
        </w:drawing>
      </w:r>
    </w:p>
    <w:p>
      <w:pPr>
        <w:pStyle w:val="FigureCaption"/>
      </w:pPr>
      <w:r>
        <w:rPr>
          <w:bCs/>
          <w:b/>
        </w:rPr>
        <w:t xml:space="preserve">Figure 1.</w:t>
      </w:r>
      <w:r>
        <w:t xml:space="preserve"> </w:t>
      </w:r>
      <w:r>
        <w:t xml:space="preserve">The platform power system. Supply (left) and topside consumers colored by flexibility class (middle) are connected to one AC bus. The scheduler sets the production rate</w:t>
      </w:r>
      <w:r>
        <w:t xml:space="preserve"> </w:t>
      </w:r>
      <m:oMath>
        <m:sSub>
          <m:e>
            <m:r>
              <m:t>f</m:t>
            </m:r>
          </m:e>
          <m:sub>
            <m:r>
              <m:t>p</m:t>
            </m:r>
          </m:sub>
        </m:sSub>
      </m:oMath>
      <w:r>
        <w:t xml:space="preserve">, the injection rate</w:t>
      </w:r>
      <w:r>
        <w:t xml:space="preserve"> </w:t>
      </w:r>
      <m:oMath>
        <m:sSub>
          <m:e>
            <m:r>
              <m:t>f</m:t>
            </m:r>
          </m:e>
          <m:sub>
            <m:r>
              <m:t>w</m:t>
            </m:r>
            <m:r>
              <m:t>i</m:t>
            </m:r>
          </m:sub>
        </m:sSub>
      </m:oMath>
      <w:r>
        <w:t xml:space="preserve"> </w:t>
      </w:r>
      <w:r>
        <w:t xml:space="preserve">and the GT commitment every hour.</w:t>
      </w:r>
    </w:p>
    <w:bookmarkEnd w:id="24"/>
    <w:bookmarkStart w:id="25" w:name="wind-farm-power"/>
    <w:p>
      <w:pPr>
        <w:pStyle w:val="Heading2"/>
      </w:pPr>
      <w:r>
        <w:t xml:space="preserve">2.2 Wind farm power</w:t>
      </w:r>
    </w:p>
    <w:p>
      <w:pPr>
        <w:pStyle w:val="FirstParagraph"/>
      </w:pPr>
      <w:r>
        <w:t xml:space="preserve">Hourly eastward and northward wind components at 100 m above sea level for</w:t>
      </w:r>
      <w:r>
        <w:t xml:space="preserve"> </w:t>
      </w:r>
      <w:r>
        <w:t xml:space="preserve">2014–2023 were taken from the ERA5 reanalysis (Hersbach et al. 2020) at the grid point</w:t>
      </w:r>
      <w:r>
        <w:t xml:space="preserve"> </w:t>
      </w:r>
      <w:r>
        <w:t xml:space="preserve">nearest the site. Wind speed was extrapolated to the 150 m hub height with a</w:t>
      </w:r>
      <w:r>
        <w:t xml:space="preserve"> </w:t>
      </w:r>
      <w:r>
        <w:t xml:space="preserve">power law,</w:t>
      </w:r>
    </w:p>
    <w:tbl>
      <w:tblPr>
        <w:tblW w:type="auto" w:w="0"/>
        <w:tblLook w:firstColumn="0" w:firstRow="0" w:lastColumn="0" w:lastRow="0" w:noHBand="0" w:noVBand="1" w:val="0000"/>
        <w:tblBorders>
          <w:top w:val="nil" w:sz="4" w:space="0" w:color="000000"/>
          <w:left w:val="nil" w:sz="4" w:space="0" w:color="000000"/>
          <w:bottom w:val="nil" w:sz="4" w:space="0" w:color="000000"/>
          <w:right w:val="nil" w:sz="4" w:space="0" w:color="000000"/>
          <w:insideH w:val="nil" w:sz="4" w:space="0" w:color="000000"/>
          <w:insideV w:val="nil" w:sz="4" w:space="0" w:color="000000"/>
        </w:tblBorders>
      </w:tblPr>
      <w:tblGrid>
        <w:gridCol w:w="680"/>
        <w:gridCol w:w="7540"/>
        <w:gridCol w:w="850"/>
      </w:tblGrid>
      <w:tr>
        <w:tc>
          <w:tcPr>
            <w:tcW w:type="dxa" w:w="680"/>
            <w:tcBorders>
              <w:top w:val="nil" w:sz="4" w:space="0" w:color="000000"/>
              <w:left w:val="nil" w:sz="4" w:space="0" w:color="000000"/>
              <w:bottom w:val="nil" w:sz="4" w:space="0" w:color="000000"/>
              <w:right w:val="nil" w:sz="4" w:space="0" w:color="000000"/>
            </w:tcBorders>
          </w:tcPr>
          <w:p/>
        </w:tc>
        <w:tc>
          <w:tcPr>
            <w:tcW w:type="dxa" w:w="7540"/>
            <w:tcBorders>
              <w:top w:val="nil" w:sz="4" w:space="0" w:color="000000"/>
              <w:left w:val="nil" w:sz="4" w:space="0" w:color="000000"/>
              <w:bottom w:val="nil" w:sz="4" w:space="0" w:color="000000"/>
              <w:right w:val="nil" w:sz="4" w:space="0" w:color="000000"/>
            </w:tcBorders>
          </w:tcPr>
          <w:p>
            <w:pPr>
              <w:spacing w:before="60" w:after="60"/>
              <w:jc w:val="center"/>
            </w:pPr>
            <m:oMathPara>
              <m:oMathParaPr>
                <m:jc m:val="center"/>
              </m:oMathParaPr>
              <m:oMath>
                <m:sSub>
                  <m:e>
                    <m:r>
                      <m:t>v</m:t>
                    </m:r>
                  </m:e>
                  <m:sub>
                    <m:r>
                      <m:t>h</m:t>
                    </m:r>
                    <m:r>
                      <m:t>u</m:t>
                    </m:r>
                    <m:r>
                      <m:t>b</m:t>
                    </m:r>
                  </m:sub>
                </m:sSub>
                <m:r>
                  <m:rPr>
                    <m:sty m:val="p"/>
                  </m:rPr>
                  <m:t>=</m:t>
                </m:r>
                <m:sSub>
                  <m:e>
                    <m:r>
                      <m:t>v</m:t>
                    </m:r>
                  </m:e>
                  <m:sub>
                    <m:r>
                      <m:t>100</m:t>
                    </m:r>
                  </m:sub>
                </m:sSub>
                <m:sSup>
                  <m:e>
                    <m:d>
                      <m:dPr>
                        <m:begChr m:val="("/>
                        <m:endChr m:val=")"/>
                        <m:sepChr m:val=""/>
                        <m:grow/>
                      </m:dPr>
                      <m:e>
                        <m:f>
                          <m:fPr>
                            <m:type m:val="bar"/>
                          </m:fPr>
                          <m:num>
                            <m:sSub>
                              <m:e>
                                <m:r>
                                  <m:t>z</m:t>
                                </m:r>
                              </m:e>
                              <m:sub>
                                <m:r>
                                  <m:t>h</m:t>
                                </m:r>
                                <m:r>
                                  <m:t>u</m:t>
                                </m:r>
                                <m:r>
                                  <m:t>b</m:t>
                                </m:r>
                              </m:sub>
                            </m:sSub>
                          </m:num>
                          <m:den>
                            <m:sSub>
                              <m:e>
                                <m:r>
                                  <m:t>z</m:t>
                                </m:r>
                              </m:e>
                              <m:sub>
                                <m:r>
                                  <m:t>100</m:t>
                                </m:r>
                              </m:sub>
                            </m:sSub>
                          </m:den>
                        </m:f>
                      </m:e>
                    </m:d>
                  </m:e>
                  <m:sup>
                    <m:r>
                      <m:t>α</m:t>
                    </m:r>
                  </m:sup>
                </m:sSup>
                <m:r>
                  <m:rPr>
                    <m:sty m:val="p"/>
                  </m:rPr>
                  <m:t>,</m:t>
                </m:r>
                <m:r>
                  <m:t>  </m:t>
                </m:r>
                <m:r>
                  <m:t>α</m:t>
                </m:r>
                <m:r>
                  <m:rPr>
                    <m:sty m:val="p"/>
                  </m:rPr>
                  <m:t>=</m:t>
                </m:r>
                <m:r>
                  <m:t>0.11</m:t>
                </m:r>
                <m:r>
                  <m:rPr>
                    <m:sty m:val="p"/>
                  </m:rPr>
                  <m:t>,</m:t>
                </m:r>
              </m:oMath>
            </m:oMathPara>
          </w:p>
        </w:tc>
        <w:tc>
          <w:tcPr>
            <w:tcW w:type="dxa" w:w="850"/>
            <w:tcBorders>
              <w:top w:val="nil" w:sz="4" w:space="0" w:color="000000"/>
              <w:left w:val="nil" w:sz="4" w:space="0" w:color="000000"/>
              <w:bottom w:val="nil" w:sz="4" w:space="0" w:color="000000"/>
              <w:right w:val="nil" w:sz="4" w:space="0" w:color="000000"/>
            </w:tcBorders>
          </w:tcPr>
          <w:p>
            <w:pPr>
              <w:spacing w:before="60" w:after="60"/>
              <w:jc w:val="right"/>
            </w:pPr>
            <w:r>
              <w:rPr>
                <w:sz w:val="20"/>
              </w:rPr>
              <w:t>(1)</w:t>
            </w:r>
          </w:p>
        </w:tc>
      </w:tr>
    </w:tbl>
    <w:p>
      <w:pPr>
        <w:pStyle w:val="FirstParagraph"/>
      </w:pPr>
      <w:r>
        <w:t xml:space="preserve">the exponent recommended for near-neutral conditions at sea (Hsu et al. 1994).</w:t>
      </w:r>
      <w:r>
        <w:t xml:space="preserve"> </w:t>
      </w:r>
      <w:r>
        <w:t xml:space="preserve">Turbine power was interpolated on the power curve of the IEA 15 MW offshore</w:t>
      </w:r>
      <w:r>
        <w:t xml:space="preserve"> </w:t>
      </w:r>
      <w:r>
        <w:t xml:space="preserve">reference turbine (Gaertner et al. 2020), with cut-in at 3 m/s, rated power from</w:t>
      </w:r>
      <w:r>
        <w:t xml:space="preserve"> </w:t>
      </w:r>
      <w:r>
        <w:t xml:space="preserve">10.7 m/s and cut-out at 25 m/s. The base-case farm of two turbines (30 MW)</w:t>
      </w:r>
      <w:r>
        <w:t xml:space="preserve"> </w:t>
      </w:r>
      <w:r>
        <w:t xml:space="preserve">is of the same order as the 32 MW farm of the LEOGO platform</w:t>
      </w:r>
      <w:r>
        <w:t xml:space="preserve"> </w:t>
      </w:r>
      <w:r>
        <w:t xml:space="preserve">(Svendsen et al. 2023). Wake losses (5 %), electrical losses (2 %) and availability</w:t>
      </w:r>
      <w:r>
        <w:t xml:space="preserve"> </w:t>
      </w:r>
      <w:r>
        <w:t xml:space="preserve">(95 %) give a combined factor of 0.884, so the farm delivers at most</w:t>
      </w:r>
      <w:r>
        <w:t xml:space="preserve"> </w:t>
      </w:r>
      <w:r>
        <w:t xml:space="preserve">26.5 MW. Hourly resolution does not resolve wind variations within the hour;</w:t>
      </w:r>
      <w:r>
        <w:t xml:space="preserve"> </w:t>
      </w:r>
      <w:r>
        <w:t xml:space="preserve">these are covered by the spinning reserve (Section 2.6).</w:t>
      </w:r>
    </w:p>
    <w:bookmarkEnd w:id="25"/>
    <w:bookmarkStart w:id="26" w:name="gas-turbines-and-emissions"/>
    <w:p>
      <w:pPr>
        <w:pStyle w:val="Heading2"/>
      </w:pPr>
      <w:r>
        <w:t xml:space="preserve">2.3 Gas turbines and emissions</w:t>
      </w:r>
    </w:p>
    <w:p>
      <w:pPr>
        <w:pStyle w:val="FirstParagraph"/>
      </w:pPr>
      <w:r>
        <w:t xml:space="preserve">The GTs follow the LEOGO reference turbine (Svendsen et al. 2023): 21.8 MW rated</w:t>
      </w:r>
      <w:r>
        <w:t xml:space="preserve"> </w:t>
      </w:r>
      <w:r>
        <w:t xml:space="preserve">electric power and 3.5 MW minimum stable load (16 % of rating). Fuel input</w:t>
      </w:r>
      <w:r>
        <w:t xml:space="preserve"> </w:t>
      </w:r>
      <w:r>
        <w:t xml:space="preserve">is linear in electric output, a Willans line,</w:t>
      </w:r>
    </w:p>
    <w:tbl>
      <w:tblPr>
        <w:tblW w:type="auto" w:w="0"/>
        <w:tblLook w:firstColumn="0" w:firstRow="0" w:lastColumn="0" w:lastRow="0" w:noHBand="0" w:noVBand="1" w:val="0000"/>
        <w:tblBorders>
          <w:top w:val="nil" w:sz="4" w:space="0" w:color="000000"/>
          <w:left w:val="nil" w:sz="4" w:space="0" w:color="000000"/>
          <w:bottom w:val="nil" w:sz="4" w:space="0" w:color="000000"/>
          <w:right w:val="nil" w:sz="4" w:space="0" w:color="000000"/>
          <w:insideH w:val="nil" w:sz="4" w:space="0" w:color="000000"/>
          <w:insideV w:val="nil" w:sz="4" w:space="0" w:color="000000"/>
        </w:tblBorders>
      </w:tblPr>
      <w:tblGrid>
        <w:gridCol w:w="680"/>
        <w:gridCol w:w="7540"/>
        <w:gridCol w:w="850"/>
      </w:tblGrid>
      <w:tr>
        <w:tc>
          <w:tcPr>
            <w:tcW w:type="dxa" w:w="680"/>
            <w:tcBorders>
              <w:top w:val="nil" w:sz="4" w:space="0" w:color="000000"/>
              <w:left w:val="nil" w:sz="4" w:space="0" w:color="000000"/>
              <w:bottom w:val="nil" w:sz="4" w:space="0" w:color="000000"/>
              <w:right w:val="nil" w:sz="4" w:space="0" w:color="000000"/>
            </w:tcBorders>
          </w:tcPr>
          <w:p/>
        </w:tc>
        <w:tc>
          <w:tcPr>
            <w:tcW w:type="dxa" w:w="7540"/>
            <w:tcBorders>
              <w:top w:val="nil" w:sz="4" w:space="0" w:color="000000"/>
              <w:left w:val="nil" w:sz="4" w:space="0" w:color="000000"/>
              <w:bottom w:val="nil" w:sz="4" w:space="0" w:color="000000"/>
              <w:right w:val="nil" w:sz="4" w:space="0" w:color="000000"/>
            </w:tcBorders>
          </w:tcPr>
          <w:p>
            <w:pPr>
              <w:spacing w:before="60" w:after="60"/>
              <w:jc w:val="center"/>
            </w:pPr>
            <m:oMathPara>
              <m:oMathParaPr>
                <m:jc m:val="center"/>
              </m:oMathParaPr>
              <m:oMath>
                <m:sSub>
                  <m:e>
                    <m:r>
                      <m:t>Q</m:t>
                    </m:r>
                  </m:e>
                  <m:sub>
                    <m:r>
                      <m:t>g</m:t>
                    </m:r>
                    <m:r>
                      <m:rPr>
                        <m:sty m:val="p"/>
                      </m:rPr>
                      <m:t>,</m:t>
                    </m:r>
                    <m:r>
                      <m:t>t</m:t>
                    </m:r>
                  </m:sub>
                </m:sSub>
                <m:r>
                  <m:rPr>
                    <m:sty m:val="p"/>
                  </m:rPr>
                  <m:t>=</m:t>
                </m:r>
                <m:f>
                  <m:fPr>
                    <m:type m:val="bar"/>
                  </m:fPr>
                  <m:num>
                    <m:sSub>
                      <m:e>
                        <m:r>
                          <m:t>P</m:t>
                        </m:r>
                      </m:e>
                      <m:sub>
                        <m:r>
                          <m:t>r</m:t>
                        </m:r>
                        <m:r>
                          <m:t>a</m:t>
                        </m:r>
                        <m:r>
                          <m:t>t</m:t>
                        </m:r>
                        <m:r>
                          <m:t>e</m:t>
                        </m:r>
                        <m:r>
                          <m:t>d</m:t>
                        </m:r>
                      </m:sub>
                    </m:sSub>
                  </m:num>
                  <m:den>
                    <m:sSub>
                      <m:e>
                        <m:r>
                          <m:t>η</m:t>
                        </m:r>
                      </m:e>
                      <m:sub>
                        <m:r>
                          <m:t>r</m:t>
                        </m:r>
                        <m:r>
                          <m:t>a</m:t>
                        </m:r>
                        <m:r>
                          <m:t>t</m:t>
                        </m:r>
                        <m:r>
                          <m:t>e</m:t>
                        </m:r>
                        <m:r>
                          <m:t>d</m:t>
                        </m:r>
                      </m:sub>
                    </m:sSub>
                  </m:den>
                </m:f>
                <m:d>
                  <m:dPr>
                    <m:begChr m:val="("/>
                    <m:endChr m:val=")"/>
                    <m:sepChr m:val=""/>
                    <m:grow/>
                  </m:dPr>
                  <m:e>
                    <m:r>
                      <m:t>a</m:t>
                    </m:r>
                    <m:r>
                      <m:t> </m:t>
                    </m:r>
                    <m:sSub>
                      <m:e>
                        <m:r>
                          <m:t>u</m:t>
                        </m:r>
                      </m:e>
                      <m:sub>
                        <m:r>
                          <m:t>g</m:t>
                        </m:r>
                        <m:r>
                          <m:rPr>
                            <m:sty m:val="p"/>
                          </m:rPr>
                          <m:t>,</m:t>
                        </m:r>
                        <m:r>
                          <m:t>t</m:t>
                        </m:r>
                      </m:sub>
                    </m:sSub>
                    <m:r>
                      <m:rPr>
                        <m:sty m:val="p"/>
                      </m:rPr>
                      <m:t>+</m:t>
                    </m:r>
                    <m:d>
                      <m:dPr>
                        <m:begChr m:val="("/>
                        <m:endChr m:val=")"/>
                        <m:sepChr m:val=""/>
                        <m:grow/>
                      </m:dPr>
                      <m:e>
                        <m:r>
                          <m:t>1</m:t>
                        </m:r>
                        <m:r>
                          <m:rPr>
                            <m:sty m:val="p"/>
                          </m:rPr>
                          <m:t>−</m:t>
                        </m:r>
                        <m:r>
                          <m:t>a</m:t>
                        </m:r>
                      </m:e>
                    </m:d>
                    <m:f>
                      <m:fPr>
                        <m:type m:val="bar"/>
                      </m:fPr>
                      <m:num>
                        <m:sSub>
                          <m:e>
                            <m:r>
                              <m:t>P</m:t>
                            </m:r>
                          </m:e>
                          <m:sub>
                            <m:r>
                              <m:t>g</m:t>
                            </m:r>
                            <m:r>
                              <m:rPr>
                                <m:sty m:val="p"/>
                              </m:rPr>
                              <m:t>,</m:t>
                            </m:r>
                            <m:r>
                              <m:t>t</m:t>
                            </m:r>
                          </m:sub>
                        </m:sSub>
                      </m:num>
                      <m:den>
                        <m:sSub>
                          <m:e>
                            <m:r>
                              <m:t>P</m:t>
                            </m:r>
                          </m:e>
                          <m:sub>
                            <m:r>
                              <m:t>r</m:t>
                            </m:r>
                            <m:r>
                              <m:t>a</m:t>
                            </m:r>
                            <m:r>
                              <m:t>t</m:t>
                            </m:r>
                            <m:r>
                              <m:t>e</m:t>
                            </m:r>
                            <m:r>
                              <m:t>d</m:t>
                            </m:r>
                          </m:sub>
                        </m:sSub>
                      </m:den>
                    </m:f>
                  </m:e>
                </m:d>
                <m:r>
                  <m:rPr>
                    <m:sty m:val="p"/>
                  </m:rPr>
                  <m:t>,</m:t>
                </m:r>
              </m:oMath>
            </m:oMathPara>
          </w:p>
        </w:tc>
        <w:tc>
          <w:tcPr>
            <w:tcW w:type="dxa" w:w="850"/>
            <w:tcBorders>
              <w:top w:val="nil" w:sz="4" w:space="0" w:color="000000"/>
              <w:left w:val="nil" w:sz="4" w:space="0" w:color="000000"/>
              <w:bottom w:val="nil" w:sz="4" w:space="0" w:color="000000"/>
              <w:right w:val="nil" w:sz="4" w:space="0" w:color="000000"/>
            </w:tcBorders>
          </w:tcPr>
          <w:p>
            <w:pPr>
              <w:spacing w:before="60" w:after="60"/>
              <w:jc w:val="right"/>
            </w:pPr>
            <w:r>
              <w:rPr>
                <w:sz w:val="20"/>
              </w:rPr>
              <w:t>(2)</w:t>
            </w:r>
          </w:p>
        </w:tc>
      </w:tr>
    </w:tbl>
    <w:p>
      <w:pPr>
        <w:pStyle w:val="FirstParagraph"/>
      </w:pPr>
      <w:r>
        <w:t xml:space="preserve">where</w:t>
      </w:r>
      <w:r>
        <w:t xml:space="preserve"> </w:t>
      </w:r>
      <m:oMath>
        <m:sSub>
          <m:e>
            <m:r>
              <m:t>u</m:t>
            </m:r>
          </m:e>
          <m:sub>
            <m:r>
              <m:t>g</m:t>
            </m:r>
            <m:r>
              <m:rPr>
                <m:sty m:val="p"/>
              </m:rPr>
              <m:t>,</m:t>
            </m:r>
            <m:r>
              <m:t>t</m:t>
            </m:r>
          </m:sub>
        </m:sSub>
      </m:oMath>
      <w:r>
        <w:t xml:space="preserve"> </w:t>
      </w:r>
      <w:r>
        <w:t xml:space="preserve">is 1 when the unit runs. The rated efficiency</w:t>
      </w:r>
      <w:r>
        <w:t xml:space="preserve"> </w:t>
      </w:r>
      <m:oMath>
        <m:sSub>
          <m:e>
            <m:r>
              <m:t>η</m:t>
            </m:r>
          </m:e>
          <m:sub>
            <m:r>
              <m:t>r</m:t>
            </m:r>
            <m:r>
              <m:t>a</m:t>
            </m:r>
            <m:r>
              <m:t>t</m:t>
            </m:r>
            <m:r>
              <m:t>e</m:t>
            </m:r>
            <m:r>
              <m:t>d</m:t>
            </m:r>
          </m:sub>
        </m:sSub>
        <m:r>
          <m:rPr>
            <m:sty m:val="p"/>
          </m:rPr>
          <m:t>=</m:t>
        </m:r>
        <m:r>
          <m:t>0.347</m:t>
        </m:r>
      </m:oMath>
      <w:r>
        <w:t xml:space="preserve"> </w:t>
      </w:r>
      <w:r>
        <w:t xml:space="preserve">and no-load fuel fraction</w:t>
      </w:r>
      <w:r>
        <w:t xml:space="preserve"> </w:t>
      </w:r>
      <m:oMath>
        <m:r>
          <m:t>a</m:t>
        </m:r>
        <m:r>
          <m:rPr>
            <m:sty m:val="p"/>
          </m:rPr>
          <m:t>=</m:t>
        </m:r>
        <m:r>
          <m:t>0.184</m:t>
        </m:r>
      </m:oMath>
      <w:r>
        <w:t xml:space="preserve"> </w:t>
      </w:r>
      <w:r>
        <w:t xml:space="preserve">follow from the</w:t>
      </w:r>
      <w:r>
        <w:t xml:space="preserve"> </w:t>
      </w:r>
      <w:r>
        <w:t xml:space="preserve">LEOGO fuel coefficients. A running GT burns 18.4 % of its full-load</w:t>
      </w:r>
      <w:r>
        <w:t xml:space="preserve"> </w:t>
      </w:r>
      <w:r>
        <w:t xml:space="preserve">fuel before it delivers any power, which is why low-load operation is</w:t>
      </w:r>
      <w:r>
        <w:t xml:space="preserve"> </w:t>
      </w:r>
      <w:r>
        <w:t xml:space="preserve">costly: efficiency falls from 34.7 % at full load to 29.3 % at half load and</w:t>
      </w:r>
      <w:r>
        <w:t xml:space="preserve"> </w:t>
      </w:r>
      <w:r>
        <w:t xml:space="preserve">17.7 % at minimum load, and the CO</w:t>
      </w:r>
      <w:r>
        <w:rPr>
          <w:vertAlign w:val="subscript"/>
        </w:rPr>
        <w:t xml:space="preserve">2</w:t>
      </w:r>
      <w:r>
        <w:t xml:space="preserve"> </w:t>
      </w:r>
      <w:r>
        <w:t xml:space="preserve">emitted per MWh of electricity rises from</w:t>
      </w:r>
      <w:r>
        <w:t xml:space="preserve"> </w:t>
      </w:r>
      <w:r>
        <w:t xml:space="preserve">623 kg to 737 kg and 1,220 kg (Figure S2). A fraction</w:t>
      </w:r>
      <w:r>
        <w:t xml:space="preserve"> </w:t>
      </w:r>
      <m:oMath>
        <m:r>
          <m:t>ϕ</m:t>
        </m:r>
        <m:r>
          <m:rPr>
            <m:sty m:val="p"/>
          </m:rPr>
          <m:t>=</m:t>
        </m:r>
        <m:r>
          <m:t>0.5</m:t>
        </m:r>
      </m:oMath>
      <w:r>
        <w:t xml:space="preserve"> </w:t>
      </w:r>
      <w:r>
        <w:t xml:space="preserve">of the fuel</w:t>
      </w:r>
      <w:r>
        <w:t xml:space="preserve"> </w:t>
      </w:r>
      <w:r>
        <w:t xml:space="preserve">energy not converted to power is recovered as process heat.</w:t>
      </w:r>
    </w:p>
    <w:p>
      <w:pPr>
        <w:pStyle w:val="BodyText"/>
      </w:pPr>
      <w:r>
        <w:t xml:space="preserve">The lower heating value of the fuel gas (38.96 MJ/Sm³) was computed with</w:t>
      </w:r>
      <w:r>
        <w:t xml:space="preserve"> </w:t>
      </w:r>
      <w:r>
        <w:t xml:space="preserve">NeqSim to ISO 6976 (ISO 2016) from a generic North Sea fuel gas</w:t>
      </w:r>
      <w:r>
        <w:t xml:space="preserve"> </w:t>
      </w:r>
      <w:r>
        <w:t xml:space="preserve">composition. CO</w:t>
      </w:r>
      <w:r>
        <w:rPr>
          <w:vertAlign w:val="subscript"/>
        </w:rPr>
        <w:t xml:space="preserve">2</w:t>
      </w:r>
      <w:r>
        <w:t xml:space="preserve"> </w:t>
      </w:r>
      <w:r>
        <w:t xml:space="preserve">emissions use the Norwegian standard factor of</w:t>
      </w:r>
      <w:r>
        <w:t xml:space="preserve"> </w:t>
      </w:r>
      <w:r>
        <w:t xml:space="preserve">2.34 kg/Sm³ (Svendsen et al. 2023). A carbon balance of the assumed composition</w:t>
      </w:r>
      <w:r>
        <w:t xml:space="preserve"> </w:t>
      </w:r>
      <w:r>
        <w:t xml:space="preserve">gives 2.27 kg/Sm³, and the factor reported for the Gullfaks field center lies</w:t>
      </w:r>
      <w:r>
        <w:t xml:space="preserve"> </w:t>
      </w:r>
      <w:r>
        <w:t xml:space="preserve">between 2.32 and 2.40 kg/Sm³ (Section 3.6).</w:t>
      </w:r>
    </w:p>
    <w:bookmarkEnd w:id="26"/>
    <w:bookmarkStart w:id="27" w:name="process-model-and-demand-map"/>
    <w:p>
      <w:pPr>
        <w:pStyle w:val="Heading2"/>
      </w:pPr>
      <w:r>
        <w:t xml:space="preserve">2.4 Process model and demand map</w:t>
      </w:r>
    </w:p>
    <w:p>
      <w:pPr>
        <w:pStyle w:val="FirstParagraph"/>
      </w:pPr>
      <w:r>
        <w:t xml:space="preserve">The topside process was modeled in NeqSim with the Peng–Robinson equation</w:t>
      </w:r>
      <w:r>
        <w:t xml:space="preserve"> </w:t>
      </w:r>
      <w:r>
        <w:t xml:space="preserve">of state for hydrocarbons and the CPA equation of state for water. CPA</w:t>
      </w:r>
      <w:r>
        <w:t xml:space="preserve"> </w:t>
      </w:r>
      <w:r>
        <w:t xml:space="preserve">reproduces the density of liquid water, and therefore pump power, more</w:t>
      </w:r>
      <w:r>
        <w:t xml:space="preserve"> </w:t>
      </w:r>
      <w:r>
        <w:t xml:space="preserve">accurately than a cubic equation without association terms. The flowsheet</w:t>
      </w:r>
      <w:r>
        <w:t xml:space="preserve"> </w:t>
      </w:r>
      <w:r>
        <w:t xml:space="preserve">comprises:</w:t>
      </w:r>
    </w:p>
    <w:p>
      <w:pPr>
        <w:numPr>
          <w:ilvl w:val="0"/>
          <w:numId w:val="1003"/>
        </w:numPr>
        <w:pStyle w:val="Compact"/>
      </w:pPr>
      <w:r>
        <w:t xml:space="preserve">four-stage separation at 70 / 29 / 7.2 / 1.8 bara (Nguyen et al. 2013), with the</w:t>
      </w:r>
      <w:r>
        <w:t xml:space="preserve"> </w:t>
      </w:r>
      <w:r>
        <w:t xml:space="preserve">last stage within the 1.7–2.8 bar found on four real North Sea platforms</w:t>
      </w:r>
      <w:r>
        <w:t xml:space="preserve"> </w:t>
      </w:r>
      <w:r>
        <w:t xml:space="preserve">(Voldsund et al. 2014);</w:t>
      </w:r>
    </w:p>
    <w:p>
      <w:pPr>
        <w:numPr>
          <w:ilvl w:val="0"/>
          <w:numId w:val="1003"/>
        </w:numPr>
        <w:pStyle w:val="Compact"/>
      </w:pPr>
      <w:r>
        <w:t xml:space="preserve">three recompression stages lifting the gas from each separator to the</w:t>
      </w:r>
      <w:r>
        <w:t xml:space="preserve"> </w:t>
      </w:r>
      <w:r>
        <w:t xml:space="preserve">pressure of the previous one, each followed by a cooler to 30 °C and a</w:t>
      </w:r>
      <w:r>
        <w:t xml:space="preserve"> </w:t>
      </w:r>
      <w:r>
        <w:t xml:space="preserve">scrubber;</w:t>
      </w:r>
    </w:p>
    <w:p>
      <w:pPr>
        <w:numPr>
          <w:ilvl w:val="0"/>
          <w:numId w:val="1003"/>
        </w:numPr>
        <w:pStyle w:val="Compact"/>
      </w:pPr>
      <w:r>
        <w:t xml:space="preserve">gas export compression from 70 to 180 bara, which agrees with the 179 bar</w:t>
      </w:r>
      <w:r>
        <w:t xml:space="preserve"> </w:t>
      </w:r>
      <w:r>
        <w:t xml:space="preserve">reported for a real platform (Voldsund et al. 2014);</w:t>
      </w:r>
    </w:p>
    <w:p>
      <w:pPr>
        <w:numPr>
          <w:ilvl w:val="0"/>
          <w:numId w:val="1003"/>
        </w:numPr>
        <w:pStyle w:val="Compact"/>
      </w:pPr>
      <w:r>
        <w:t xml:space="preserve">oil export pumping to 50 bara;</w:t>
      </w:r>
    </w:p>
    <w:p>
      <w:pPr>
        <w:numPr>
          <w:ilvl w:val="0"/>
          <w:numId w:val="1003"/>
        </w:numPr>
        <w:pStyle w:val="Compact"/>
      </w:pPr>
      <w:r>
        <w:t xml:space="preserve">water injection pumps from 7 to 250 bara;</w:t>
      </w:r>
    </w:p>
    <w:p>
      <w:pPr>
        <w:numPr>
          <w:ilvl w:val="0"/>
          <w:numId w:val="1003"/>
        </w:numPr>
        <w:pStyle w:val="Compact"/>
      </w:pPr>
      <w:r>
        <w:t xml:space="preserve">seawater lift pumps that supply cooling water (10 K temperature rise) and</w:t>
      </w:r>
      <w:r>
        <w:t xml:space="preserve"> </w:t>
      </w:r>
      <w:r>
        <w:t xml:space="preserve">make-up water for injection, with seawater properties from</w:t>
      </w:r>
      <w:r>
        <w:t xml:space="preserve"> </w:t>
      </w:r>
      <w:r>
        <w:t xml:space="preserve">(Sharqawy et al. 2010);</w:t>
      </w:r>
    </w:p>
    <w:p>
      <w:pPr>
        <w:numPr>
          <w:ilvl w:val="0"/>
          <w:numId w:val="1003"/>
        </w:numPr>
        <w:pStyle w:val="Compact"/>
      </w:pPr>
      <w:r>
        <w:t xml:space="preserve">a fixed utility load of 3.5 MW and a process heat demand of 3 MW.</w:t>
      </w:r>
    </w:p>
    <w:p>
      <w:pPr>
        <w:pStyle w:val="FirstParagraph"/>
      </w:pPr>
      <w:r>
        <w:t xml:space="preserve">Compressor isentropic efficiency (0.75), pump efficiencies, the injection</w:t>
      </w:r>
      <w:r>
        <w:t xml:space="preserve"> </w:t>
      </w:r>
      <w:r>
        <w:t xml:space="preserve">pressure and the utility load follow LEOGO (Svendsen et al. 2023). The design point</w:t>
      </w:r>
      <w:r>
        <w:t xml:space="preserve"> </w:t>
      </w:r>
      <w:r>
        <w:t xml:space="preserve">is 15,000 Sm³/d of oil with a gas–oil ratio of 179 Sm³/Sm³ (2.68 MSm³/d of</w:t>
      </w:r>
      <w:r>
        <w:t xml:space="preserve"> </w:t>
      </w:r>
      <w:r>
        <w:t xml:space="preserve">gas export), a water cut of 40 % (10,000 m³/d of produced water) and</w:t>
      </w:r>
      <w:r>
        <w:t xml:space="preserve"> </w:t>
      </w:r>
      <w:r>
        <w:t xml:space="preserve">25,000 m³/d of water injection capacity. The resulting electric demand is</w:t>
      </w:r>
      <w:r>
        <w:t xml:space="preserve"> </w:t>
      </w:r>
      <w:r>
        <w:t xml:space="preserve">20.3 MW at full injection (Table 1). At the injection target of 85 % of</w:t>
      </w:r>
      <w:r>
        <w:t xml:space="preserve"> </w:t>
      </w:r>
      <w:r>
        <w:t xml:space="preserve">capacity (Section 2.5) the demand is 18.8 MW.</w:t>
      </w:r>
    </w:p>
    <w:p>
      <w:pPr>
        <w:pStyle w:val="BodyText"/>
        <w:keepNext/>
      </w:pPr>
      <w:r>
        <w:rPr>
          <w:bCs/>
          <w:b/>
        </w:rPr>
        <w:t xml:space="preserve">Table 1.</w:t>
      </w:r>
      <w:r>
        <w:t xml:space="preserve"> </w:t>
      </w:r>
      <w:r>
        <w:t xml:space="preserve">Electric power at the design point.</w:t>
      </w:r>
    </w:p>
    <w:tbl>
      <w:tblPr>
        <w:tblStyle w:val="Table"/>
        <w:tblW w:type="pct" w:w="5000"/>
        <w:tblLook w:firstRow="1" w:lastRow="0" w:firstColumn="0" w:lastColumn="0" w:noHBand="0" w:noVBand="0" w:val="0020"/>
        <w:jc w:val="start"/>
        <w:tblBorders>
          <w:top w:val="single" w:sz="4" w:space="0" w:color="000000"/>
          <w:bottom w:val="single" w:sz="4" w:space="0" w:color="000000"/>
          <w:left w:val="nil" w:sz="4" w:space="0" w:color="000000"/>
          <w:right w:val="nil" w:sz="4" w:space="0" w:color="000000"/>
          <w:insideH w:val="nil" w:sz="4" w:space="0" w:color="000000"/>
          <w:insideV w:val="nil" w:sz="4" w:space="0" w:color="000000"/>
        </w:tblBorders>
      </w:tblPr>
      <w:tblGrid>
        <w:gridCol w:w="3766"/>
        <w:gridCol w:w="1473"/>
        <w:gridCol w:w="1473"/>
        <w:gridCol w:w="1637"/>
        <w:gridCol w:w="1008"/>
      </w:tblGrid>
      <w:tr>
        <w:trPr>
          <w:tblHeader w:val="true"/>
          <w:tblHeader/>
        </w:trPr>
        <w:tc>
          <w:tcPr>
            <w:tcW w:type="dxa" w:w="3766"/>
            <w:tcBorders>
              <w:bottom w:val="single" w:sz="4" w:space="0" w:color="000000"/>
            </w:tcBorders>
          </w:tcPr>
          <w:p>
            <w:pPr>
              <w:pStyle w:val="Compact"/>
              <w:spacing w:line="240" w:lineRule="auto" w:after="20"/>
              <w:jc w:val="left"/>
            </w:pPr>
            <w:r>
              <w:rPr>
                <w:b/>
                <w:sz w:val="20"/>
              </w:rPr>
              <w:t xml:space="preserve">Consumer</w:t>
            </w:r>
          </w:p>
        </w:tc>
        <w:tc>
          <w:tcPr>
            <w:tcW w:type="dxa" w:w="1473"/>
            <w:tcBorders>
              <w:bottom w:val="single" w:sz="4" w:space="0" w:color="000000"/>
            </w:tcBorders>
          </w:tcPr>
          <w:p>
            <w:pPr>
              <w:pStyle w:val="Compact"/>
              <w:spacing w:line="240" w:lineRule="auto" w:after="20"/>
              <w:jc w:val="left"/>
            </w:pPr>
            <w:r>
              <w:rPr>
                <w:b/>
                <w:sz w:val="20"/>
              </w:rPr>
              <w:t xml:space="preserve">Class</w:t>
            </w:r>
          </w:p>
        </w:tc>
        <w:tc>
          <w:tcPr>
            <w:tcW w:type="dxa" w:w="1473"/>
            <w:tcBorders>
              <w:bottom w:val="single" w:sz="4" w:space="0" w:color="000000"/>
            </w:tcBorders>
          </w:tcPr>
          <w:p>
            <w:pPr>
              <w:pStyle w:val="Compact"/>
              <w:spacing w:line="240" w:lineRule="auto" w:after="20"/>
              <w:jc w:val="left"/>
            </w:pPr>
            <w:r>
              <w:rPr>
                <w:b/>
                <w:sz w:val="20"/>
              </w:rPr>
              <w:t xml:space="preserve">Trains</w:t>
            </w:r>
          </w:p>
        </w:tc>
        <w:tc>
          <w:tcPr>
            <w:tcW w:type="dxa" w:w="1637"/>
            <w:tcBorders>
              <w:bottom w:val="single" w:sz="4" w:space="0" w:color="000000"/>
            </w:tcBorders>
          </w:tcPr>
          <w:p>
            <w:pPr>
              <w:pStyle w:val="Compact"/>
              <w:spacing w:line="240" w:lineRule="auto" w:after="20"/>
              <w:jc w:val="left"/>
            </w:pPr>
            <w:r>
              <w:rPr>
                <w:b/>
                <w:sz w:val="20"/>
              </w:rPr>
              <w:t xml:space="preserve">Power [MW]</w:t>
            </w:r>
          </w:p>
        </w:tc>
        <w:tc>
          <w:tcPr>
            <w:tcW w:type="dxa" w:w="1008"/>
            <w:tcBorders>
              <w:bottom w:val="single" w:sz="4" w:space="0" w:color="000000"/>
            </w:tcBorders>
          </w:tcPr>
          <w:p>
            <w:pPr>
              <w:pStyle w:val="Compact"/>
              <w:spacing w:line="240" w:lineRule="auto" w:after="20"/>
              <w:jc w:val="left"/>
            </w:pPr>
            <w:r>
              <w:rPr>
                <w:b/>
                <w:sz w:val="20"/>
              </w:rPr>
              <w:t xml:space="preserve">Share</w:t>
            </w:r>
          </w:p>
        </w:tc>
      </w:tr>
      <w:tr>
        <w:tc>
          <w:tcPr>
            <w:tcW w:type="dxa" w:w="3766"/>
          </w:tcPr>
          <w:p>
            <w:pPr>
              <w:pStyle w:val="Compact"/>
              <w:spacing w:line="240" w:lineRule="auto" w:after="20"/>
              <w:jc w:val="left"/>
            </w:pPr>
            <w:r>
              <w:rPr>
                <w:sz w:val="20"/>
              </w:rPr>
              <w:t xml:space="preserve">Water injection pumps</w:t>
            </w:r>
          </w:p>
        </w:tc>
        <w:tc>
          <w:tcPr>
            <w:tcW w:type="dxa" w:w="1473"/>
          </w:tcPr>
          <w:p>
            <w:pPr>
              <w:pStyle w:val="Compact"/>
              <w:spacing w:line="240" w:lineRule="auto" w:after="20"/>
              <w:jc w:val="left"/>
            </w:pPr>
            <w:r>
              <w:rPr>
                <w:sz w:val="20"/>
              </w:rPr>
              <w:t xml:space="preserve">flexible</w:t>
            </w:r>
          </w:p>
        </w:tc>
        <w:tc>
          <w:tcPr>
            <w:tcW w:type="dxa" w:w="1473"/>
          </w:tcPr>
          <w:p>
            <w:pPr>
              <w:pStyle w:val="Compact"/>
              <w:spacing w:line="240" w:lineRule="auto" w:after="20"/>
              <w:jc w:val="left"/>
            </w:pPr>
            <w:r>
              <w:rPr>
                <w:sz w:val="20"/>
              </w:rPr>
              <w:t xml:space="preserve">3 × 33 %</w:t>
            </w:r>
          </w:p>
        </w:tc>
        <w:tc>
          <w:tcPr>
            <w:tcW w:type="dxa" w:w="1637"/>
          </w:tcPr>
          <w:p>
            <w:pPr>
              <w:pStyle w:val="Compact"/>
              <w:spacing w:line="240" w:lineRule="auto" w:after="20"/>
              <w:jc w:val="left"/>
            </w:pPr>
            <w:r>
              <w:rPr>
                <w:sz w:val="20"/>
              </w:rPr>
              <w:t xml:space="preserve">9.19</w:t>
            </w:r>
          </w:p>
        </w:tc>
        <w:tc>
          <w:tcPr>
            <w:tcW w:type="dxa" w:w="1008"/>
          </w:tcPr>
          <w:p>
            <w:pPr>
              <w:pStyle w:val="Compact"/>
              <w:spacing w:line="240" w:lineRule="auto" w:after="20"/>
              <w:jc w:val="left"/>
            </w:pPr>
            <w:r>
              <w:rPr>
                <w:sz w:val="20"/>
              </w:rPr>
              <w:t xml:space="preserve">45 %</w:t>
            </w:r>
          </w:p>
        </w:tc>
      </w:tr>
      <w:tr>
        <w:tc>
          <w:tcPr>
            <w:tcW w:type="dxa" w:w="3766"/>
          </w:tcPr>
          <w:p>
            <w:pPr>
              <w:pStyle w:val="Compact"/>
              <w:spacing w:line="240" w:lineRule="auto" w:after="20"/>
              <w:jc w:val="left"/>
            </w:pPr>
            <w:r>
              <w:rPr>
                <w:sz w:val="20"/>
              </w:rPr>
              <w:t xml:space="preserve">Gas export compression</w:t>
            </w:r>
          </w:p>
        </w:tc>
        <w:tc>
          <w:tcPr>
            <w:tcW w:type="dxa" w:w="1473"/>
          </w:tcPr>
          <w:p>
            <w:pPr>
              <w:pStyle w:val="Compact"/>
              <w:spacing w:line="240" w:lineRule="auto" w:after="20"/>
              <w:jc w:val="left"/>
            </w:pPr>
            <w:r>
              <w:rPr>
                <w:sz w:val="20"/>
              </w:rPr>
              <w:t xml:space="preserve">sheddable</w:t>
            </w:r>
          </w:p>
        </w:tc>
        <w:tc>
          <w:tcPr>
            <w:tcW w:type="dxa" w:w="1473"/>
          </w:tcPr>
          <w:p>
            <w:pPr>
              <w:pStyle w:val="Compact"/>
              <w:spacing w:line="240" w:lineRule="auto" w:after="20"/>
              <w:jc w:val="left"/>
            </w:pPr>
            <w:r>
              <w:rPr>
                <w:sz w:val="20"/>
              </w:rPr>
              <w:t xml:space="preserve">2 × 50 %</w:t>
            </w:r>
          </w:p>
        </w:tc>
        <w:tc>
          <w:tcPr>
            <w:tcW w:type="dxa" w:w="1637"/>
          </w:tcPr>
          <w:p>
            <w:pPr>
              <w:pStyle w:val="Compact"/>
              <w:spacing w:line="240" w:lineRule="auto" w:after="20"/>
              <w:jc w:val="left"/>
            </w:pPr>
            <w:r>
              <w:rPr>
                <w:sz w:val="20"/>
              </w:rPr>
              <w:t xml:space="preserve">3.73</w:t>
            </w:r>
          </w:p>
        </w:tc>
        <w:tc>
          <w:tcPr>
            <w:tcW w:type="dxa" w:w="1008"/>
          </w:tcPr>
          <w:p>
            <w:pPr>
              <w:pStyle w:val="Compact"/>
              <w:spacing w:line="240" w:lineRule="auto" w:after="20"/>
              <w:jc w:val="left"/>
            </w:pPr>
            <w:r>
              <w:rPr>
                <w:sz w:val="20"/>
              </w:rPr>
              <w:t xml:space="preserve">18 %</w:t>
            </w:r>
          </w:p>
        </w:tc>
      </w:tr>
      <w:tr>
        <w:tc>
          <w:tcPr>
            <w:tcW w:type="dxa" w:w="3766"/>
          </w:tcPr>
          <w:p>
            <w:pPr>
              <w:pStyle w:val="Compact"/>
              <w:spacing w:line="240" w:lineRule="auto" w:after="20"/>
              <w:jc w:val="left"/>
            </w:pPr>
            <w:r>
              <w:rPr>
                <w:sz w:val="20"/>
              </w:rPr>
              <w:t xml:space="preserve">Utilities and base load</w:t>
            </w:r>
          </w:p>
        </w:tc>
        <w:tc>
          <w:tcPr>
            <w:tcW w:type="dxa" w:w="1473"/>
          </w:tcPr>
          <w:p>
            <w:pPr>
              <w:pStyle w:val="Compact"/>
              <w:spacing w:line="240" w:lineRule="auto" w:after="20"/>
              <w:jc w:val="left"/>
            </w:pPr>
            <w:r>
              <w:rPr>
                <w:sz w:val="20"/>
              </w:rPr>
              <w:t xml:space="preserve">must-run</w:t>
            </w:r>
          </w:p>
        </w:tc>
        <w:tc>
          <w:tcPr>
            <w:tcW w:type="dxa" w:w="1473"/>
          </w:tcPr>
          <w:p>
            <w:pPr>
              <w:pStyle w:val="Compact"/>
              <w:spacing w:line="240" w:lineRule="auto" w:after="20"/>
              <w:jc w:val="left"/>
            </w:pPr>
            <w:r>
              <w:rPr>
                <w:sz w:val="20"/>
              </w:rPr>
              <w:t xml:space="preserve">–</w:t>
            </w:r>
          </w:p>
        </w:tc>
        <w:tc>
          <w:tcPr>
            <w:tcW w:type="dxa" w:w="1637"/>
          </w:tcPr>
          <w:p>
            <w:pPr>
              <w:pStyle w:val="Compact"/>
              <w:spacing w:line="240" w:lineRule="auto" w:after="20"/>
              <w:jc w:val="left"/>
            </w:pPr>
            <w:r>
              <w:rPr>
                <w:sz w:val="20"/>
              </w:rPr>
              <w:t xml:space="preserve">3.50</w:t>
            </w:r>
          </w:p>
        </w:tc>
        <w:tc>
          <w:tcPr>
            <w:tcW w:type="dxa" w:w="1008"/>
          </w:tcPr>
          <w:p>
            <w:pPr>
              <w:pStyle w:val="Compact"/>
              <w:spacing w:line="240" w:lineRule="auto" w:after="20"/>
              <w:jc w:val="left"/>
            </w:pPr>
            <w:r>
              <w:rPr>
                <w:sz w:val="20"/>
              </w:rPr>
              <w:t xml:space="preserve">17 %</w:t>
            </w:r>
          </w:p>
        </w:tc>
      </w:tr>
      <w:tr>
        <w:tc>
          <w:tcPr>
            <w:tcW w:type="dxa" w:w="3766"/>
          </w:tcPr>
          <w:p>
            <w:pPr>
              <w:pStyle w:val="Compact"/>
              <w:spacing w:line="240" w:lineRule="auto" w:after="20"/>
              <w:jc w:val="left"/>
            </w:pPr>
            <w:r>
              <w:rPr>
                <w:sz w:val="20"/>
              </w:rPr>
              <w:t xml:space="preserve">Recompression</w:t>
            </w:r>
          </w:p>
        </w:tc>
        <w:tc>
          <w:tcPr>
            <w:tcW w:type="dxa" w:w="1473"/>
          </w:tcPr>
          <w:p>
            <w:pPr>
              <w:pStyle w:val="Compact"/>
              <w:spacing w:line="240" w:lineRule="auto" w:after="20"/>
              <w:jc w:val="left"/>
            </w:pPr>
            <w:r>
              <w:rPr>
                <w:sz w:val="20"/>
              </w:rPr>
              <w:t xml:space="preserve">sheddable</w:t>
            </w:r>
          </w:p>
        </w:tc>
        <w:tc>
          <w:tcPr>
            <w:tcW w:type="dxa" w:w="1473"/>
          </w:tcPr>
          <w:p>
            <w:pPr>
              <w:pStyle w:val="Compact"/>
              <w:spacing w:line="240" w:lineRule="auto" w:after="20"/>
              <w:jc w:val="left"/>
            </w:pPr>
            <w:r>
              <w:rPr>
                <w:sz w:val="20"/>
              </w:rPr>
              <w:t xml:space="preserve">1 × 100 %</w:t>
            </w:r>
          </w:p>
        </w:tc>
        <w:tc>
          <w:tcPr>
            <w:tcW w:type="dxa" w:w="1637"/>
          </w:tcPr>
          <w:p>
            <w:pPr>
              <w:pStyle w:val="Compact"/>
              <w:spacing w:line="240" w:lineRule="auto" w:after="20"/>
              <w:jc w:val="left"/>
            </w:pPr>
            <w:r>
              <w:rPr>
                <w:sz w:val="20"/>
              </w:rPr>
              <w:t xml:space="preserve">1.95</w:t>
            </w:r>
          </w:p>
        </w:tc>
        <w:tc>
          <w:tcPr>
            <w:tcW w:type="dxa" w:w="1008"/>
          </w:tcPr>
          <w:p>
            <w:pPr>
              <w:pStyle w:val="Compact"/>
              <w:spacing w:line="240" w:lineRule="auto" w:after="20"/>
              <w:jc w:val="left"/>
            </w:pPr>
            <w:r>
              <w:rPr>
                <w:sz w:val="20"/>
              </w:rPr>
              <w:t xml:space="preserve">10 %</w:t>
            </w:r>
          </w:p>
        </w:tc>
      </w:tr>
      <w:tr>
        <w:tc>
          <w:tcPr>
            <w:tcW w:type="dxa" w:w="3766"/>
          </w:tcPr>
          <w:p>
            <w:pPr>
              <w:pStyle w:val="Compact"/>
              <w:spacing w:line="240" w:lineRule="auto" w:after="20"/>
              <w:jc w:val="left"/>
            </w:pPr>
            <w:r>
              <w:rPr>
                <w:sz w:val="20"/>
              </w:rPr>
              <w:t xml:space="preserve">Oil export pumps</w:t>
            </w:r>
          </w:p>
        </w:tc>
        <w:tc>
          <w:tcPr>
            <w:tcW w:type="dxa" w:w="1473"/>
          </w:tcPr>
          <w:p>
            <w:pPr>
              <w:pStyle w:val="Compact"/>
              <w:spacing w:line="240" w:lineRule="auto" w:after="20"/>
              <w:jc w:val="left"/>
            </w:pPr>
            <w:r>
              <w:rPr>
                <w:sz w:val="20"/>
              </w:rPr>
              <w:t xml:space="preserve">sheddable</w:t>
            </w:r>
          </w:p>
        </w:tc>
        <w:tc>
          <w:tcPr>
            <w:tcW w:type="dxa" w:w="1473"/>
          </w:tcPr>
          <w:p>
            <w:pPr>
              <w:pStyle w:val="Compact"/>
              <w:spacing w:line="240" w:lineRule="auto" w:after="20"/>
              <w:jc w:val="left"/>
            </w:pPr>
            <w:r>
              <w:rPr>
                <w:sz w:val="20"/>
              </w:rPr>
              <w:t xml:space="preserve">2 × 50 %</w:t>
            </w:r>
          </w:p>
        </w:tc>
        <w:tc>
          <w:tcPr>
            <w:tcW w:type="dxa" w:w="1637"/>
          </w:tcPr>
          <w:p>
            <w:pPr>
              <w:pStyle w:val="Compact"/>
              <w:spacing w:line="240" w:lineRule="auto" w:after="20"/>
              <w:jc w:val="left"/>
            </w:pPr>
            <w:r>
              <w:rPr>
                <w:sz w:val="20"/>
              </w:rPr>
              <w:t xml:space="preserve">1.48</w:t>
            </w:r>
          </w:p>
        </w:tc>
        <w:tc>
          <w:tcPr>
            <w:tcW w:type="dxa" w:w="1008"/>
          </w:tcPr>
          <w:p>
            <w:pPr>
              <w:pStyle w:val="Compact"/>
              <w:spacing w:line="240" w:lineRule="auto" w:after="20"/>
              <w:jc w:val="left"/>
            </w:pPr>
            <w:r>
              <w:rPr>
                <w:sz w:val="20"/>
              </w:rPr>
              <w:t xml:space="preserve">7 %</w:t>
            </w:r>
          </w:p>
        </w:tc>
      </w:tr>
      <w:tr>
        <w:tc>
          <w:tcPr>
            <w:tcW w:type="dxa" w:w="3766"/>
          </w:tcPr>
          <w:p>
            <w:pPr>
              <w:pStyle w:val="Compact"/>
              <w:spacing w:line="240" w:lineRule="auto" w:after="20"/>
              <w:jc w:val="left"/>
            </w:pPr>
            <w:r>
              <w:rPr>
                <w:sz w:val="20"/>
              </w:rPr>
              <w:t xml:space="preserve">Seawater lift pumps</w:t>
            </w:r>
          </w:p>
        </w:tc>
        <w:tc>
          <w:tcPr>
            <w:tcW w:type="dxa" w:w="1473"/>
          </w:tcPr>
          <w:p>
            <w:pPr>
              <w:pStyle w:val="Compact"/>
              <w:spacing w:line="240" w:lineRule="auto" w:after="20"/>
              <w:jc w:val="left"/>
            </w:pPr>
            <w:r>
              <w:rPr>
                <w:sz w:val="20"/>
              </w:rPr>
              <w:t xml:space="preserve">mixed</w:t>
            </w:r>
          </w:p>
        </w:tc>
        <w:tc>
          <w:tcPr>
            <w:tcW w:type="dxa" w:w="1473"/>
          </w:tcPr>
          <w:p>
            <w:pPr>
              <w:pStyle w:val="Compact"/>
              <w:spacing w:line="240" w:lineRule="auto" w:after="20"/>
              <w:jc w:val="left"/>
            </w:pPr>
            <w:r>
              <w:rPr>
                <w:sz w:val="20"/>
              </w:rPr>
              <w:t xml:space="preserve">3 × 33 %</w:t>
            </w:r>
          </w:p>
        </w:tc>
        <w:tc>
          <w:tcPr>
            <w:tcW w:type="dxa" w:w="1637"/>
          </w:tcPr>
          <w:p>
            <w:pPr>
              <w:pStyle w:val="Compact"/>
              <w:spacing w:line="240" w:lineRule="auto" w:after="20"/>
              <w:jc w:val="left"/>
            </w:pPr>
            <w:r>
              <w:rPr>
                <w:sz w:val="20"/>
              </w:rPr>
              <w:t xml:space="preserve">0.44</w:t>
            </w:r>
          </w:p>
        </w:tc>
        <w:tc>
          <w:tcPr>
            <w:tcW w:type="dxa" w:w="1008"/>
          </w:tcPr>
          <w:p>
            <w:pPr>
              <w:pStyle w:val="Compact"/>
              <w:spacing w:line="240" w:lineRule="auto" w:after="20"/>
              <w:jc w:val="left"/>
            </w:pPr>
            <w:r>
              <w:rPr>
                <w:sz w:val="20"/>
              </w:rPr>
              <w:t xml:space="preserve">2 %</w:t>
            </w:r>
          </w:p>
        </w:tc>
      </w:tr>
      <w:tr>
        <w:tc>
          <w:tcPr>
            <w:tcW w:type="dxa" w:w="3766"/>
          </w:tcPr>
          <w:p>
            <w:pPr>
              <w:pStyle w:val="Compact"/>
              <w:spacing w:line="240" w:lineRule="auto" w:after="20"/>
              <w:jc w:val="left"/>
            </w:pPr>
            <w:r>
              <w:rPr>
                <w:bCs/>
                <w:b/>
                <w:sz w:val="20"/>
              </w:rPr>
              <w:t xml:space="preserve">Total</w:t>
            </w:r>
          </w:p>
        </w:tc>
        <w:tc>
          <w:tcPr>
            <w:tcW w:type="dxa" w:w="1473"/>
          </w:tcPr>
          <w:p>
            <w:pPr>
              <w:pStyle w:val="Compact"/>
              <w:spacing w:line="240" w:lineRule="auto" w:after="20"/>
              <w:jc w:val="left"/>
            </w:pPr>
          </w:p>
        </w:tc>
        <w:tc>
          <w:tcPr>
            <w:tcW w:type="dxa" w:w="1473"/>
          </w:tcPr>
          <w:p>
            <w:pPr>
              <w:pStyle w:val="Compact"/>
              <w:spacing w:line="240" w:lineRule="auto" w:after="20"/>
              <w:jc w:val="left"/>
            </w:pPr>
          </w:p>
        </w:tc>
        <w:tc>
          <w:tcPr>
            <w:tcW w:type="dxa" w:w="1637"/>
          </w:tcPr>
          <w:p>
            <w:pPr>
              <w:pStyle w:val="Compact"/>
              <w:spacing w:line="240" w:lineRule="auto" w:after="20"/>
              <w:jc w:val="left"/>
            </w:pPr>
            <w:r>
              <w:rPr>
                <w:bCs/>
                <w:b/>
                <w:sz w:val="20"/>
              </w:rPr>
              <w:t xml:space="preserve">20.29</w:t>
            </w:r>
          </w:p>
        </w:tc>
        <w:tc>
          <w:tcPr>
            <w:tcW w:type="dxa" w:w="1008"/>
          </w:tcPr>
          <w:p>
            <w:pPr>
              <w:pStyle w:val="Compact"/>
              <w:spacing w:line="240" w:lineRule="auto" w:after="20"/>
              <w:jc w:val="left"/>
            </w:pPr>
          </w:p>
        </w:tc>
      </w:tr>
    </w:tbl>
    <w:p>
      <w:pPr>
        <w:pStyle w:val="BodyText"/>
        <w:spacing w:before="200"/>
      </w:pPr>
      <w:r>
        <w:t xml:space="preserve">At fixed pressures and efficiencies, steady-state power is proportional to</w:t>
      </w:r>
      <w:r>
        <w:t xml:space="preserve"> </w:t>
      </w:r>
      <w:r>
        <w:t xml:space="preserve">flow, so a simple flow-scaled power curve would make every consumer</w:t>
      </w:r>
      <w:r>
        <w:t xml:space="preserve"> </w:t>
      </w:r>
      <w:r>
        <w:t xml:space="preserve">perfectly flexible. Real equipment is not, so each consumer is</w:t>
      </w:r>
      <w:r>
        <w:t xml:space="preserve"> </w:t>
      </w:r>
      <w:r>
        <w:t xml:space="preserve">represented by</w:t>
      </w:r>
      <w:r>
        <w:t xml:space="preserve"> </w:t>
      </w:r>
      <m:oMath>
        <m:r>
          <m:t>n</m:t>
        </m:r>
      </m:oMath>
      <w:r>
        <w:t xml:space="preserve"> </w:t>
      </w:r>
      <w:r>
        <w:t xml:space="preserve">identical parallel trains, of which the smallest number</w:t>
      </w:r>
      <w:r>
        <w:t xml:space="preserve"> </w:t>
      </w:r>
      <w:r>
        <w:t xml:space="preserve">that can carry the flow is running, and by a minimum flow per train,</w:t>
      </w:r>
      <w:r>
        <w:t xml:space="preserve"> </w:t>
      </w:r>
      <m:oMath>
        <m:sSub>
          <m:e>
            <m:r>
              <m:t>f</m:t>
            </m:r>
          </m:e>
          <m:sub>
            <m:r>
              <m:t>m</m:t>
            </m:r>
            <m:r>
              <m:t>i</m:t>
            </m:r>
            <m:r>
              <m:t>n</m:t>
            </m:r>
          </m:sub>
        </m:sSub>
      </m:oMath>
      <w:r>
        <w:t xml:space="preserve">, below which the train recycles. For a flow fraction</w:t>
      </w:r>
      <w:r>
        <w:t xml:space="preserve"> </w:t>
      </w:r>
      <m:oMath>
        <m:r>
          <m:t>f</m:t>
        </m:r>
      </m:oMath>
      <w:r>
        <w:t xml:space="preserve"> </w:t>
      </w:r>
      <w:r>
        <w:t xml:space="preserve">the</w:t>
      </w:r>
      <w:r>
        <w:t xml:space="preserve"> </w:t>
      </w:r>
      <w:r>
        <w:t xml:space="preserve">power is</w:t>
      </w:r>
    </w:p>
    <w:tbl>
      <w:tblPr>
        <w:tblW w:type="auto" w:w="0"/>
        <w:tblLook w:firstColumn="0" w:firstRow="0" w:lastColumn="0" w:lastRow="0" w:noHBand="0" w:noVBand="1" w:val="0000"/>
        <w:tblBorders>
          <w:top w:val="nil" w:sz="4" w:space="0" w:color="000000"/>
          <w:left w:val="nil" w:sz="4" w:space="0" w:color="000000"/>
          <w:bottom w:val="nil" w:sz="4" w:space="0" w:color="000000"/>
          <w:right w:val="nil" w:sz="4" w:space="0" w:color="000000"/>
          <w:insideH w:val="nil" w:sz="4" w:space="0" w:color="000000"/>
          <w:insideV w:val="nil" w:sz="4" w:space="0" w:color="000000"/>
        </w:tblBorders>
      </w:tblPr>
      <w:tblGrid>
        <w:gridCol w:w="680"/>
        <w:gridCol w:w="7540"/>
        <w:gridCol w:w="850"/>
      </w:tblGrid>
      <w:tr>
        <w:tc>
          <w:tcPr>
            <w:tcW w:type="dxa" w:w="680"/>
            <w:tcBorders>
              <w:top w:val="nil" w:sz="4" w:space="0" w:color="000000"/>
              <w:left w:val="nil" w:sz="4" w:space="0" w:color="000000"/>
              <w:bottom w:val="nil" w:sz="4" w:space="0" w:color="000000"/>
              <w:right w:val="nil" w:sz="4" w:space="0" w:color="000000"/>
            </w:tcBorders>
          </w:tcPr>
          <w:p/>
        </w:tc>
        <w:tc>
          <w:tcPr>
            <w:tcW w:type="dxa" w:w="7540"/>
            <w:tcBorders>
              <w:top w:val="nil" w:sz="4" w:space="0" w:color="000000"/>
              <w:left w:val="nil" w:sz="4" w:space="0" w:color="000000"/>
              <w:bottom w:val="nil" w:sz="4" w:space="0" w:color="000000"/>
              <w:right w:val="nil" w:sz="4" w:space="0" w:color="000000"/>
            </w:tcBorders>
          </w:tcPr>
          <w:p>
            <w:pPr>
              <w:spacing w:before="60" w:after="60"/>
              <w:jc w:val="center"/>
            </w:pPr>
            <m:oMathPara>
              <m:oMathParaPr>
                <m:jc m:val="center"/>
              </m:oMathParaPr>
              <m:oMath>
                <m:r>
                  <m:t>P</m:t>
                </m:r>
                <m:d>
                  <m:dPr>
                    <m:begChr m:val="("/>
                    <m:endChr m:val=")"/>
                    <m:sepChr m:val=""/>
                    <m:grow/>
                  </m:dPr>
                  <m:e>
                    <m:r>
                      <m:t>f</m:t>
                    </m:r>
                  </m:e>
                </m:d>
                <m:r>
                  <m:rPr>
                    <m:sty m:val="p"/>
                  </m:rPr>
                  <m:t>=</m:t>
                </m:r>
                <m:sSub>
                  <m:e>
                    <m:r>
                      <m:t>P</m:t>
                    </m:r>
                  </m:e>
                  <m:sub>
                    <m:r>
                      <m:t>d</m:t>
                    </m:r>
                    <m:r>
                      <m:t>e</m:t>
                    </m:r>
                    <m:r>
                      <m:t>s</m:t>
                    </m:r>
                    <m:r>
                      <m:t>i</m:t>
                    </m:r>
                    <m:r>
                      <m:t>g</m:t>
                    </m:r>
                    <m:r>
                      <m:t>n</m:t>
                    </m:r>
                  </m:sub>
                </m:sSub>
                <m:r>
                  <m:t> </m:t>
                </m:r>
                <m:f>
                  <m:fPr>
                    <m:type m:val="bar"/>
                  </m:fPr>
                  <m:num>
                    <m:sSub>
                      <m:e>
                        <m:r>
                          <m:t>n</m:t>
                        </m:r>
                      </m:e>
                      <m:sub>
                        <m:r>
                          <m:t>r</m:t>
                        </m:r>
                        <m:r>
                          <m:t>u</m:t>
                        </m:r>
                        <m:r>
                          <m:t>n</m:t>
                        </m:r>
                      </m:sub>
                    </m:sSub>
                  </m:num>
                  <m:den>
                    <m:r>
                      <m:t>n</m:t>
                    </m:r>
                  </m:den>
                </m:f>
                <m:r>
                  <m:t> </m:t>
                </m:r>
                <m:r>
                  <m:rPr>
                    <m:sty m:val="p"/>
                  </m:rPr>
                  <m:t>max</m:t>
                </m:r>
                <m:r>
                  <m:t>​</m:t>
                </m:r>
                <m:d>
                  <m:dPr>
                    <m:begChr m:val="("/>
                    <m:endChr m:val=")"/>
                    <m:sepChr m:val=""/>
                    <m:grow/>
                  </m:dPr>
                  <m:e>
                    <m:f>
                      <m:fPr>
                        <m:type m:val="bar"/>
                      </m:fPr>
                      <m:num>
                        <m:r>
                          <m:t>f</m:t>
                        </m:r>
                        <m:r>
                          <m:t> </m:t>
                        </m:r>
                        <m:r>
                          <m:t>n</m:t>
                        </m:r>
                      </m:num>
                      <m:den>
                        <m:sSub>
                          <m:e>
                            <m:r>
                              <m:t>n</m:t>
                            </m:r>
                          </m:e>
                          <m:sub>
                            <m:r>
                              <m:t>r</m:t>
                            </m:r>
                            <m:r>
                              <m:t>u</m:t>
                            </m:r>
                            <m:r>
                              <m:t>n</m:t>
                            </m:r>
                          </m:sub>
                        </m:sSub>
                      </m:den>
                    </m:f>
                    <m:r>
                      <m:rPr>
                        <m:sty m:val="p"/>
                      </m:rPr>
                      <m:t>,</m:t>
                    </m:r>
                    <m:r>
                      <m:t> </m:t>
                    </m:r>
                    <m:sSub>
                      <m:e>
                        <m:r>
                          <m:t>f</m:t>
                        </m:r>
                      </m:e>
                      <m:sub>
                        <m:r>
                          <m:t>m</m:t>
                        </m:r>
                        <m:r>
                          <m:t>i</m:t>
                        </m:r>
                        <m:r>
                          <m:t>n</m:t>
                        </m:r>
                      </m:sub>
                    </m:sSub>
                  </m:e>
                </m:d>
                <m:r>
                  <m:rPr>
                    <m:sty m:val="p"/>
                  </m:rPr>
                  <m:t>,</m:t>
                </m:r>
                <m:r>
                  <m:t>  </m:t>
                </m:r>
                <m:sSub>
                  <m:e>
                    <m:r>
                      <m:t>n</m:t>
                    </m:r>
                  </m:e>
                  <m:sub>
                    <m:r>
                      <m:t>r</m:t>
                    </m:r>
                    <m:r>
                      <m:t>u</m:t>
                    </m:r>
                    <m:r>
                      <m:t>n</m:t>
                    </m:r>
                  </m:sub>
                </m:sSub>
                <m:r>
                  <m:rPr>
                    <m:sty m:val="p"/>
                  </m:rPr>
                  <m:t>=</m:t>
                </m:r>
                <m:d>
                  <m:dPr>
                    <m:begChr m:val="⌈"/>
                    <m:endChr m:val="⌉"/>
                    <m:sepChr m:val=""/>
                    <m:grow/>
                  </m:dPr>
                  <m:e>
                    <m:r>
                      <m:t>f</m:t>
                    </m:r>
                    <m:r>
                      <m:t> </m:t>
                    </m:r>
                    <m:r>
                      <m:t>n</m:t>
                    </m:r>
                  </m:e>
                </m:d>
                <m:r>
                  <m:rPr>
                    <m:sty m:val="p"/>
                  </m:rPr>
                  <m:t>,</m:t>
                </m:r>
              </m:oMath>
            </m:oMathPara>
          </w:p>
        </w:tc>
        <w:tc>
          <w:tcPr>
            <w:tcW w:type="dxa" w:w="850"/>
            <w:tcBorders>
              <w:top w:val="nil" w:sz="4" w:space="0" w:color="000000"/>
              <w:left w:val="nil" w:sz="4" w:space="0" w:color="000000"/>
              <w:bottom w:val="nil" w:sz="4" w:space="0" w:color="000000"/>
              <w:right w:val="nil" w:sz="4" w:space="0" w:color="000000"/>
            </w:tcBorders>
          </w:tcPr>
          <w:p>
            <w:pPr>
              <w:spacing w:before="60" w:after="60"/>
              <w:jc w:val="right"/>
            </w:pPr>
            <w:r>
              <w:rPr>
                <w:sz w:val="20"/>
              </w:rPr>
              <w:t>(3)</w:t>
            </w:r>
          </w:p>
        </w:tc>
      </w:tr>
    </w:tbl>
    <w:p>
      <w:pPr>
        <w:pStyle w:val="FirstParagraph"/>
      </w:pPr>
      <w:r>
        <w:t xml:space="preserve">and zero when</w:t>
      </w:r>
      <w:r>
        <w:t xml:space="preserve"> </w:t>
      </w:r>
      <m:oMath>
        <m:r>
          <m:t>f</m:t>
        </m:r>
        <m:r>
          <m:rPr>
            <m:sty m:val="p"/>
          </m:rPr>
          <m:t>=</m:t>
        </m:r>
        <m:r>
          <m:t>0</m:t>
        </m:r>
      </m:oMath>
      <w:r>
        <w:t xml:space="preserve">. Recycle represents anti-surge recycle for compressors</w:t>
      </w:r>
      <w:r>
        <w:t xml:space="preserve"> </w:t>
      </w:r>
      <w:r>
        <w:t xml:space="preserve">and minimum-flow recirculation for pumps. The minimum flow is 70 % for</w:t>
      </w:r>
      <w:r>
        <w:t xml:space="preserve"> </w:t>
      </w:r>
      <w:r>
        <w:t xml:space="preserve">compressors and 30 % for pumps. These values are assumptions; anti-surge</w:t>
      </w:r>
      <w:r>
        <w:t xml:space="preserve"> </w:t>
      </w:r>
      <w:r>
        <w:t xml:space="preserve">recycle rates between 4 % and 92 % of compressor flow have been reported on</w:t>
      </w:r>
      <w:r>
        <w:t xml:space="preserve"> </w:t>
      </w:r>
      <w:r>
        <w:t xml:space="preserve">real North Sea platforms (Voldsund et al. 2014), which shows that recycle is common</w:t>
      </w:r>
      <w:r>
        <w:t xml:space="preserve"> </w:t>
      </w:r>
      <w:r>
        <w:t xml:space="preserve">in practice.</w:t>
      </w:r>
    </w:p>
    <w:bookmarkEnd w:id="27"/>
    <w:bookmarkStart w:id="28" w:name="consumer-classes-and-levers"/>
    <w:p>
      <w:pPr>
        <w:pStyle w:val="Heading2"/>
      </w:pPr>
      <w:r>
        <w:t xml:space="preserve">2.5 Consumer classes and levers</w:t>
      </w:r>
    </w:p>
    <w:p>
      <w:pPr>
        <w:pStyle w:val="FirstParagraph"/>
      </w:pPr>
      <w:r>
        <w:t xml:space="preserve">Each consumer is assigned to one class and one operating lever (Figure 1):</w:t>
      </w:r>
    </w:p>
    <w:p>
      <w:pPr>
        <w:numPr>
          <w:ilvl w:val="0"/>
          <w:numId w:val="1004"/>
        </w:numPr>
        <w:pStyle w:val="Compact"/>
      </w:pPr>
      <w:r>
        <w:rPr>
          <w:bCs/>
          <w:b/>
        </w:rPr>
        <w:t xml:space="preserve">Must-run</w:t>
      </w:r>
      <w:r>
        <w:t xml:space="preserve">: utilities and base load, never reduced.</w:t>
      </w:r>
    </w:p>
    <w:p>
      <w:pPr>
        <w:numPr>
          <w:ilvl w:val="0"/>
          <w:numId w:val="1004"/>
        </w:numPr>
        <w:pStyle w:val="Compact"/>
      </w:pPr>
      <w:r>
        <w:rPr>
          <w:bCs/>
          <w:b/>
        </w:rPr>
        <w:t xml:space="preserve">Flexible (deferrable)</w:t>
      </w:r>
      <w:r>
        <w:t xml:space="preserve">: water injection pumps. The lever is the</w:t>
      </w:r>
      <w:r>
        <w:t xml:space="preserve"> </w:t>
      </w:r>
      <w:r>
        <w:t xml:space="preserve">injection rate</w:t>
      </w:r>
      <w:r>
        <w:t xml:space="preserve"> </w:t>
      </w:r>
      <m:oMath>
        <m:sSub>
          <m:e>
            <m:r>
              <m:t>f</m:t>
            </m:r>
          </m:e>
          <m:sub>
            <m:r>
              <m:t>w</m:t>
            </m:r>
            <m:r>
              <m:t>i</m:t>
            </m:r>
          </m:sub>
        </m:sSub>
      </m:oMath>
      <w:r>
        <w:t xml:space="preserve">. Postponed injection is not lost but must be</w:t>
      </w:r>
      <w:r>
        <w:t xml:space="preserve"> </w:t>
      </w:r>
      <w:r>
        <w:t xml:space="preserve">caught up.</w:t>
      </w:r>
    </w:p>
    <w:p>
      <w:pPr>
        <w:numPr>
          <w:ilvl w:val="0"/>
          <w:numId w:val="1004"/>
        </w:numPr>
        <w:pStyle w:val="Compact"/>
      </w:pPr>
      <w:r>
        <w:rPr>
          <w:bCs/>
          <w:b/>
        </w:rPr>
        <w:t xml:space="preserve">Sheddable</w:t>
      </w:r>
      <w:r>
        <w:t xml:space="preserve">: recompression, gas export compression and oil export pumps.</w:t>
      </w:r>
      <w:r>
        <w:t xml:space="preserve"> </w:t>
      </w:r>
      <w:r>
        <w:t xml:space="preserve">The lever is the production rate</w:t>
      </w:r>
      <w:r>
        <w:t xml:space="preserve"> </w:t>
      </w:r>
      <m:oMath>
        <m:sSub>
          <m:e>
            <m:r>
              <m:t>f</m:t>
            </m:r>
          </m:e>
          <m:sub>
            <m:r>
              <m:t>p</m:t>
            </m:r>
          </m:sub>
        </m:sSub>
      </m:oMath>
      <w:r>
        <w:t xml:space="preserve">; any reduction is lost production.</w:t>
      </w:r>
    </w:p>
    <w:p>
      <w:pPr>
        <w:numPr>
          <w:ilvl w:val="0"/>
          <w:numId w:val="1004"/>
        </w:numPr>
        <w:pStyle w:val="Compact"/>
      </w:pPr>
      <w:r>
        <w:rPr>
          <w:bCs/>
          <w:b/>
        </w:rPr>
        <w:t xml:space="preserve">Mixed</w:t>
      </w:r>
      <w:r>
        <w:t xml:space="preserve">: seawater lift pumps, whose cooling part follows</w:t>
      </w:r>
      <w:r>
        <w:t xml:space="preserve"> </w:t>
      </w:r>
      <m:oMath>
        <m:sSub>
          <m:e>
            <m:r>
              <m:t>f</m:t>
            </m:r>
          </m:e>
          <m:sub>
            <m:r>
              <m:t>p</m:t>
            </m:r>
          </m:sub>
        </m:sSub>
      </m:oMath>
      <w:r>
        <w:t xml:space="preserve"> </w:t>
      </w:r>
      <w:r>
        <w:t xml:space="preserve">and</w:t>
      </w:r>
      <w:r>
        <w:t xml:space="preserve"> </w:t>
      </w:r>
      <w:r>
        <w:t xml:space="preserve">make-up part follows</w:t>
      </w:r>
      <w:r>
        <w:t xml:space="preserve"> </w:t>
      </w:r>
      <m:oMath>
        <m:sSub>
          <m:e>
            <m:r>
              <m:t>f</m:t>
            </m:r>
          </m:e>
          <m:sub>
            <m:r>
              <m:t>w</m:t>
            </m:r>
            <m:r>
              <m:t>i</m:t>
            </m:r>
          </m:sub>
        </m:sSub>
      </m:oMath>
      <w:r>
        <w:t xml:space="preserve">.</w:t>
      </w:r>
    </w:p>
    <w:p>
      <w:pPr>
        <w:pStyle w:val="FirstParagraph"/>
      </w:pPr>
      <w:r>
        <w:t xml:space="preserve">The power of each lever group is the sum of the train curves of its</w:t>
      </w:r>
      <w:r>
        <w:t xml:space="preserve"> </w:t>
      </w:r>
      <w:r>
        <w:t xml:space="preserve">consumers. It is a piecewise-linear function of the lever with steps where</w:t>
      </w:r>
      <w:r>
        <w:t xml:space="preserve"> </w:t>
      </w:r>
      <w:r>
        <w:t xml:space="preserve">a train starts at its minimum flow (Figure 2), and it enters the scheduling</w:t>
      </w:r>
      <w:r>
        <w:t xml:space="preserve"> </w:t>
      </w:r>
      <w:r>
        <w:t xml:space="preserve">model through incremental binary variables, one per segment. Production can</w:t>
      </w:r>
      <w:r>
        <w:t xml:space="preserve"> </w:t>
      </w:r>
      <w:r>
        <w:t xml:space="preserve">be turned down to 50 % of design and changed by at most 10 % of design per</w:t>
      </w:r>
      <w:r>
        <w:t xml:space="preserve"> </w:t>
      </w:r>
      <w:r>
        <w:t xml:space="preserve">hour, which represents the speed at which well chokes and the separation</w:t>
      </w:r>
      <w:r>
        <w:t xml:space="preserve"> </w:t>
      </w:r>
      <w:r>
        <w:t xml:space="preserve">process can be adjusted. Injection can vary between 0 and 100 % of pump</w:t>
      </w:r>
      <w:r>
        <w:t xml:space="preserve"> </w:t>
      </w:r>
      <w:r>
        <w:t xml:space="preserve">capacity, by at most 34 % per hour, about one pump started or stopped.</w:t>
      </w:r>
    </w:p>
    <w:p>
      <w:pPr>
        <w:pStyle w:val="BodyText"/>
      </w:pPr>
      <w:r>
        <w:t xml:space="preserve">The average injection must meet a voidage-replacement target, set here to</w:t>
      </w:r>
      <w:r>
        <w:t xml:space="preserve"> </w:t>
      </w:r>
      <w:r>
        <w:t xml:space="preserve">85 % of capacity. This is modeled as a virtual storage: postponing</w:t>
      </w:r>
      <w:r>
        <w:t xml:space="preserve"> </w:t>
      </w:r>
      <w:r>
        <w:t xml:space="preserve">injection builds a deficit, measured in hours of full-rate injection,</w:t>
      </w:r>
    </w:p>
    <w:tbl>
      <w:tblPr>
        <w:tblW w:type="auto" w:w="0"/>
        <w:tblLook w:firstColumn="0" w:firstRow="0" w:lastColumn="0" w:lastRow="0" w:noHBand="0" w:noVBand="1" w:val="0000"/>
        <w:tblBorders>
          <w:top w:val="nil" w:sz="4" w:space="0" w:color="000000"/>
          <w:left w:val="nil" w:sz="4" w:space="0" w:color="000000"/>
          <w:bottom w:val="nil" w:sz="4" w:space="0" w:color="000000"/>
          <w:right w:val="nil" w:sz="4" w:space="0" w:color="000000"/>
          <w:insideH w:val="nil" w:sz="4" w:space="0" w:color="000000"/>
          <w:insideV w:val="nil" w:sz="4" w:space="0" w:color="000000"/>
        </w:tblBorders>
      </w:tblPr>
      <w:tblGrid>
        <w:gridCol w:w="680"/>
        <w:gridCol w:w="7540"/>
        <w:gridCol w:w="850"/>
      </w:tblGrid>
      <w:tr>
        <w:tc>
          <w:tcPr>
            <w:tcW w:type="dxa" w:w="680"/>
            <w:tcBorders>
              <w:top w:val="nil" w:sz="4" w:space="0" w:color="000000"/>
              <w:left w:val="nil" w:sz="4" w:space="0" w:color="000000"/>
              <w:bottom w:val="nil" w:sz="4" w:space="0" w:color="000000"/>
              <w:right w:val="nil" w:sz="4" w:space="0" w:color="000000"/>
            </w:tcBorders>
          </w:tcPr>
          <w:p/>
        </w:tc>
        <w:tc>
          <w:tcPr>
            <w:tcW w:type="dxa" w:w="7540"/>
            <w:tcBorders>
              <w:top w:val="nil" w:sz="4" w:space="0" w:color="000000"/>
              <w:left w:val="nil" w:sz="4" w:space="0" w:color="000000"/>
              <w:bottom w:val="nil" w:sz="4" w:space="0" w:color="000000"/>
              <w:right w:val="nil" w:sz="4" w:space="0" w:color="000000"/>
            </w:tcBorders>
          </w:tcPr>
          <w:p>
            <w:pPr>
              <w:spacing w:before="60" w:after="60"/>
              <w:jc w:val="center"/>
            </w:pPr>
            <m:oMathPara>
              <m:oMathParaPr>
                <m:jc m:val="center"/>
              </m:oMathParaPr>
              <m:oMath>
                <m:sSub>
                  <m:e>
                    <m:r>
                      <m:t>D</m:t>
                    </m:r>
                  </m:e>
                  <m:sub>
                    <m:r>
                      <m:t>t</m:t>
                    </m:r>
                  </m:sub>
                </m:sSub>
                <m:r>
                  <m:rPr>
                    <m:sty m:val="p"/>
                  </m:rPr>
                  <m:t>=</m:t>
                </m:r>
                <m:sSub>
                  <m:e>
                    <m:r>
                      <m:t>D</m:t>
                    </m:r>
                  </m:e>
                  <m:sub>
                    <m:r>
                      <m:t>t</m:t>
                    </m:r>
                    <m:r>
                      <m:rPr>
                        <m:sty m:val="p"/>
                      </m:rPr>
                      <m:t>−</m:t>
                    </m:r>
                    <m:r>
                      <m:t>1</m:t>
                    </m:r>
                  </m:sub>
                </m:sSub>
                <m:r>
                  <m:rPr>
                    <m:sty m:val="p"/>
                  </m:rPr>
                  <m:t>+</m:t>
                </m:r>
                <m:d>
                  <m:dPr>
                    <m:begChr m:val="("/>
                    <m:endChr m:val=")"/>
                    <m:sepChr m:val=""/>
                    <m:grow/>
                  </m:dPr>
                  <m:e>
                    <m:sSubSup>
                      <m:e>
                        <m:r>
                          <m:t>f</m:t>
                        </m:r>
                      </m:e>
                      <m:sub>
                        <m:r>
                          <m:t>w</m:t>
                        </m:r>
                        <m:r>
                          <m:t>i</m:t>
                        </m:r>
                      </m:sub>
                      <m:sup>
                        <m:r>
                          <m:t>t</m:t>
                        </m:r>
                        <m:r>
                          <m:t>a</m:t>
                        </m:r>
                        <m:r>
                          <m:t>r</m:t>
                        </m:r>
                        <m:r>
                          <m:t>g</m:t>
                        </m:r>
                        <m:r>
                          <m:t>e</m:t>
                        </m:r>
                        <m:r>
                          <m:t>t</m:t>
                        </m:r>
                      </m:sup>
                    </m:sSubSup>
                    <m:r>
                      <m:rPr>
                        <m:sty m:val="p"/>
                      </m:rPr>
                      <m:t>−</m:t>
                    </m:r>
                    <m:sSub>
                      <m:e>
                        <m:r>
                          <m:t>f</m:t>
                        </m:r>
                      </m:e>
                      <m:sub>
                        <m:r>
                          <m:t>w</m:t>
                        </m:r>
                        <m:r>
                          <m:t>i</m:t>
                        </m:r>
                        <m:r>
                          <m:rPr>
                            <m:sty m:val="p"/>
                          </m:rPr>
                          <m:t>,</m:t>
                        </m:r>
                        <m:r>
                          <m:t>t</m:t>
                        </m:r>
                      </m:sub>
                    </m:sSub>
                  </m:e>
                </m:d>
                <m:r>
                  <m:t>Δ</m:t>
                </m:r>
                <m:r>
                  <m:t>t</m:t>
                </m:r>
                <m:r>
                  <m:rPr>
                    <m:sty m:val="p"/>
                  </m:rPr>
                  <m:t>,</m:t>
                </m:r>
                <m:r>
                  <m:t>  </m:t>
                </m:r>
                <m:r>
                  <m:t>0</m:t>
                </m:r>
                <m:r>
                  <m:rPr>
                    <m:sty m:val="p"/>
                  </m:rPr>
                  <m:t>≤</m:t>
                </m:r>
                <m:sSub>
                  <m:e>
                    <m:r>
                      <m:t>D</m:t>
                    </m:r>
                  </m:e>
                  <m:sub>
                    <m:r>
                      <m:t>t</m:t>
                    </m:r>
                  </m:sub>
                </m:sSub>
                <m:r>
                  <m:rPr>
                    <m:sty m:val="p"/>
                  </m:rPr>
                  <m:t>≤</m:t>
                </m:r>
                <m:sSub>
                  <m:e>
                    <m:r>
                      <m:t>D</m:t>
                    </m:r>
                  </m:e>
                  <m:sub>
                    <m:r>
                      <m:t>m</m:t>
                    </m:r>
                    <m:r>
                      <m:t>a</m:t>
                    </m:r>
                    <m:r>
                      <m:t>x</m:t>
                    </m:r>
                  </m:sub>
                </m:sSub>
                <m:r>
                  <m:rPr>
                    <m:sty m:val="p"/>
                  </m:rPr>
                  <m:t>,</m:t>
                </m:r>
              </m:oMath>
            </m:oMathPara>
          </w:p>
        </w:tc>
        <w:tc>
          <w:tcPr>
            <w:tcW w:type="dxa" w:w="850"/>
            <w:tcBorders>
              <w:top w:val="nil" w:sz="4" w:space="0" w:color="000000"/>
              <w:left w:val="nil" w:sz="4" w:space="0" w:color="000000"/>
              <w:bottom w:val="nil" w:sz="4" w:space="0" w:color="000000"/>
              <w:right w:val="nil" w:sz="4" w:space="0" w:color="000000"/>
            </w:tcBorders>
          </w:tcPr>
          <w:p>
            <w:pPr>
              <w:spacing w:before="60" w:after="60"/>
              <w:jc w:val="right"/>
            </w:pPr>
            <w:r>
              <w:rPr>
                <w:sz w:val="20"/>
              </w:rPr>
              <w:t>(4)</w:t>
            </w:r>
          </w:p>
        </w:tc>
      </w:tr>
    </w:tbl>
    <w:p>
      <w:pPr>
        <w:pStyle w:val="FirstParagraph"/>
      </w:pPr>
      <w:r>
        <w:t xml:space="preserve">with</w:t>
      </w:r>
      <w:r>
        <w:t xml:space="preserve"> </w:t>
      </w:r>
      <m:oMath>
        <m:r>
          <m:t>Δ</m:t>
        </m:r>
        <m:r>
          <m:t>t</m:t>
        </m:r>
        <m:r>
          <m:rPr>
            <m:sty m:val="p"/>
          </m:rPr>
          <m:t>=</m:t>
        </m:r>
        <m:r>
          <m:t>1</m:t>
        </m:r>
      </m:oMath>
      <w:r>
        <w:t xml:space="preserve"> </w:t>
      </w:r>
      <w:r>
        <w:t xml:space="preserve">h and</w:t>
      </w:r>
      <w:r>
        <w:t xml:space="preserve"> </w:t>
      </w:r>
      <m:oMath>
        <m:sSub>
          <m:e>
            <m:r>
              <m:t>D</m:t>
            </m:r>
          </m:e>
          <m:sub>
            <m:r>
              <m:t>m</m:t>
            </m:r>
            <m:r>
              <m:t>a</m:t>
            </m:r>
            <m:r>
              <m:t>x</m:t>
            </m:r>
          </m:sub>
        </m:sSub>
        <m:r>
          <m:rPr>
            <m:sty m:val="p"/>
          </m:rPr>
          <m:t>=</m:t>
        </m:r>
        <m:r>
          <m:t>72</m:t>
        </m:r>
      </m:oMath>
      <w:r>
        <w:t xml:space="preserve"> </w:t>
      </w:r>
      <w:r>
        <w:t xml:space="preserve">h. The lower bound prevents</w:t>
      </w:r>
      <w:r>
        <w:t xml:space="preserve"> </w:t>
      </w:r>
      <w:r>
        <w:t xml:space="preserve">injection from being brought forward, which the reservoir may not tolerate</w:t>
      </w:r>
      <w:r>
        <w:t xml:space="preserve"> </w:t>
      </w:r>
      <w:r>
        <w:t xml:space="preserve">either. The upper bound represents how much injection the reservoir</w:t>
      </w:r>
      <w:r>
        <w:t xml:space="preserve"> </w:t>
      </w:r>
      <w:r>
        <w:t xml:space="preserve">tolerates being postponed. It depends on the reservoir and is uncertain, so</w:t>
      </w:r>
      <w:r>
        <w:t xml:space="preserve"> </w:t>
      </w:r>
      <w:r>
        <w:t xml:space="preserve">it is varied from 0 to 168 h in the sensitivity analysis.</w:t>
      </w:r>
    </w:p>
    <w:bookmarkEnd w:id="28"/>
    <w:bookmarkStart w:id="29" w:name="scheduling-model"/>
    <w:p>
      <w:pPr>
        <w:pStyle w:val="Heading2"/>
      </w:pPr>
      <w:r>
        <w:t xml:space="preserve">2.6 Scheduling model</w:t>
      </w:r>
    </w:p>
    <w:p>
      <w:pPr>
        <w:pStyle w:val="FirstParagraph"/>
      </w:pPr>
      <w:r>
        <w:t xml:space="preserve">The schedule is found with a mixed-integer linear program over each window</w:t>
      </w:r>
      <w:r>
        <w:t xml:space="preserve"> </w:t>
      </w:r>
      <w:r>
        <w:t xml:space="preserve">of hours</w:t>
      </w:r>
      <w:r>
        <w:t xml:space="preserve"> </w:t>
      </w:r>
      <m:oMath>
        <m:r>
          <m:t>T</m:t>
        </m:r>
      </m:oMath>
      <w:r>
        <w:t xml:space="preserve">. The objective minimizes the operating cost in NOK,</w:t>
      </w:r>
    </w:p>
    <w:tbl>
      <w:tblPr>
        <w:tblW w:type="auto" w:w="0"/>
        <w:tblLook w:firstColumn="0" w:firstRow="0" w:lastColumn="0" w:lastRow="0" w:noHBand="0" w:noVBand="1" w:val="0000"/>
        <w:tblBorders>
          <w:top w:val="nil" w:sz="4" w:space="0" w:color="000000"/>
          <w:left w:val="nil" w:sz="4" w:space="0" w:color="000000"/>
          <w:bottom w:val="nil" w:sz="4" w:space="0" w:color="000000"/>
          <w:right w:val="nil" w:sz="4" w:space="0" w:color="000000"/>
          <w:insideH w:val="nil" w:sz="4" w:space="0" w:color="000000"/>
          <w:insideV w:val="nil" w:sz="4" w:space="0" w:color="000000"/>
        </w:tblBorders>
      </w:tblPr>
      <w:tblGrid>
        <w:gridCol w:w="680"/>
        <w:gridCol w:w="7540"/>
        <w:gridCol w:w="850"/>
      </w:tblGrid>
      <w:tr>
        <w:tc>
          <w:tcPr>
            <w:tcW w:type="dxa" w:w="680"/>
            <w:tcBorders>
              <w:top w:val="nil" w:sz="4" w:space="0" w:color="000000"/>
              <w:left w:val="nil" w:sz="4" w:space="0" w:color="000000"/>
              <w:bottom w:val="nil" w:sz="4" w:space="0" w:color="000000"/>
              <w:right w:val="nil" w:sz="4" w:space="0" w:color="000000"/>
            </w:tcBorders>
          </w:tcPr>
          <w:p/>
        </w:tc>
        <w:tc>
          <w:tcPr>
            <w:tcW w:type="dxa" w:w="7540"/>
            <w:tcBorders>
              <w:top w:val="nil" w:sz="4" w:space="0" w:color="000000"/>
              <w:left w:val="nil" w:sz="4" w:space="0" w:color="000000"/>
              <w:bottom w:val="nil" w:sz="4" w:space="0" w:color="000000"/>
              <w:right w:val="nil" w:sz="4" w:space="0" w:color="000000"/>
            </w:tcBorders>
          </w:tcPr>
          <w:p>
            <w:pPr>
              <w:spacing w:before="60" w:after="60"/>
              <w:jc w:val="center"/>
            </w:pPr>
            <m:oMathPara>
              <m:oMathParaPr>
                <m:jc m:val="center"/>
              </m:oMathParaPr>
              <m:oMath>
                <m:r>
                  <m:rPr>
                    <m:sty m:val="p"/>
                  </m:rPr>
                  <m:t>min</m:t>
                </m:r>
                <m:nary>
                  <m:naryPr>
                    <m:chr m:val="∑"/>
                    <m:limLoc m:val="undOvr"/>
                    <m:subHide m:val="off"/>
                    <m:supHide m:val="on"/>
                  </m:naryPr>
                  <m:sub>
                    <m:r>
                      <m:t>t</m:t>
                    </m:r>
                    <m:r>
                      <m:rPr>
                        <m:sty m:val="p"/>
                      </m:rPr>
                      <m:t>∈</m:t>
                    </m:r>
                    <m:r>
                      <m:t>T</m:t>
                    </m:r>
                  </m:sub>
                  <m:sup>
                    <m:r>
                      <m:t>​</m:t>
                    </m:r>
                  </m:sup>
                  <m:e>
                    <m:d>
                      <m:dPr>
                        <m:begChr m:val="["/>
                        <m:endChr m:val="]"/>
                        <m:sepChr m:val=""/>
                        <m:grow/>
                      </m:dPr>
                      <m:e>
                        <m:d>
                          <m:dPr>
                            <m:begChr m:val="("/>
                            <m:endChr m:val=")"/>
                            <m:sepChr m:val=""/>
                            <m:grow/>
                          </m:dPr>
                          <m:e>
                            <m:sSub>
                              <m:e>
                                <m:r>
                                  <m:t>c</m:t>
                                </m:r>
                              </m:e>
                              <m:sub>
                                <m:r>
                                  <m:t>g</m:t>
                                </m:r>
                                <m:r>
                                  <m:t>a</m:t>
                                </m:r>
                                <m:r>
                                  <m:t>s</m:t>
                                </m:r>
                              </m:sub>
                            </m:sSub>
                            <m:r>
                              <m:rPr>
                                <m:sty m:val="p"/>
                              </m:rPr>
                              <m:t>+</m:t>
                            </m:r>
                            <m:sSub>
                              <m:e>
                                <m:r>
                                  <m:t>c</m:t>
                                </m:r>
                              </m:e>
                              <m:sub>
                                <m:r>
                                  <m:t>C</m:t>
                                </m:r>
                                <m:r>
                                  <m:t>O</m:t>
                                </m:r>
                                <m:r>
                                  <m:t>2</m:t>
                                </m:r>
                              </m:sub>
                            </m:sSub>
                            <m:r>
                              <m:t> </m:t>
                            </m:r>
                            <m:sSub>
                              <m:e>
                                <m:r>
                                  <m:t>e</m:t>
                                </m:r>
                              </m:e>
                              <m:sub>
                                <m:r>
                                  <m:t>C</m:t>
                                </m:r>
                                <m:r>
                                  <m:t>O</m:t>
                                </m:r>
                                <m:r>
                                  <m:t>2</m:t>
                                </m:r>
                              </m:sub>
                            </m:sSub>
                          </m:e>
                        </m:d>
                        <m:nary>
                          <m:naryPr>
                            <m:chr m:val="∑"/>
                            <m:limLoc m:val="undOvr"/>
                            <m:subHide m:val="off"/>
                            <m:supHide m:val="on"/>
                          </m:naryPr>
                          <m:sub>
                            <m:r>
                              <m:t>g</m:t>
                            </m:r>
                          </m:sub>
                          <m:sup>
                            <m:r>
                              <m:t>​</m:t>
                            </m:r>
                          </m:sup>
                          <m:e>
                            <m:f>
                              <m:fPr>
                                <m:type m:val="bar"/>
                              </m:fPr>
                              <m:num>
                                <m:sSub>
                                  <m:e>
                                    <m:r>
                                      <m:t>Q</m:t>
                                    </m:r>
                                  </m:e>
                                  <m:sub>
                                    <m:r>
                                      <m:t>g</m:t>
                                    </m:r>
                                    <m:r>
                                      <m:rPr>
                                        <m:sty m:val="p"/>
                                      </m:rPr>
                                      <m:t>,</m:t>
                                    </m:r>
                                    <m:r>
                                      <m:t>t</m:t>
                                    </m:r>
                                  </m:sub>
                                </m:sSub>
                              </m:num>
                              <m:den>
                                <m:r>
                                  <m:t>L</m:t>
                                </m:r>
                                <m:r>
                                  <m:t>H</m:t>
                                </m:r>
                                <m:r>
                                  <m:t>V</m:t>
                                </m:r>
                              </m:den>
                            </m:f>
                          </m:e>
                        </m:nary>
                        <m:r>
                          <m:rPr>
                            <m:sty m:val="p"/>
                          </m:rPr>
                          <m:t>+</m:t>
                        </m:r>
                        <m:sSub>
                          <m:e>
                            <m:r>
                              <m:t>c</m:t>
                            </m:r>
                          </m:e>
                          <m:sub>
                            <m:r>
                              <m:t>p</m:t>
                            </m:r>
                            <m:r>
                              <m:t>r</m:t>
                            </m:r>
                            <m:r>
                              <m:t>o</m:t>
                            </m:r>
                            <m:r>
                              <m:t>d</m:t>
                            </m:r>
                          </m:sub>
                        </m:sSub>
                        <m:r>
                          <m:t> </m:t>
                        </m:r>
                        <m:d>
                          <m:dPr>
                            <m:begChr m:val="("/>
                            <m:endChr m:val=")"/>
                            <m:sepChr m:val=""/>
                            <m:grow/>
                          </m:dPr>
                          <m:e>
                            <m:r>
                              <m:t>1</m:t>
                            </m:r>
                            <m:r>
                              <m:rPr>
                                <m:sty m:val="p"/>
                              </m:rPr>
                              <m:t>−</m:t>
                            </m:r>
                            <m:sSub>
                              <m:e>
                                <m:r>
                                  <m:t>f</m:t>
                                </m:r>
                              </m:e>
                              <m:sub>
                                <m:r>
                                  <m:t>p</m:t>
                                </m:r>
                                <m:r>
                                  <m:rPr>
                                    <m:sty m:val="p"/>
                                  </m:rPr>
                                  <m:t>,</m:t>
                                </m:r>
                                <m:r>
                                  <m:t>t</m:t>
                                </m:r>
                              </m:sub>
                            </m:sSub>
                          </m:e>
                        </m:d>
                        <m:r>
                          <m:rPr>
                            <m:sty m:val="p"/>
                          </m:rPr>
                          <m:t>+</m:t>
                        </m:r>
                        <m:sSub>
                          <m:e>
                            <m:r>
                              <m:t>c</m:t>
                            </m:r>
                          </m:e>
                          <m:sub>
                            <m:r>
                              <m:t>s</m:t>
                            </m:r>
                            <m:r>
                              <m:t>t</m:t>
                            </m:r>
                            <m:r>
                              <m:t>a</m:t>
                            </m:r>
                            <m:r>
                              <m:t>r</m:t>
                            </m:r>
                            <m:r>
                              <m:t>t</m:t>
                            </m:r>
                          </m:sub>
                        </m:sSub>
                        <m:nary>
                          <m:naryPr>
                            <m:chr m:val="∑"/>
                            <m:limLoc m:val="undOvr"/>
                            <m:subHide m:val="off"/>
                            <m:supHide m:val="on"/>
                          </m:naryPr>
                          <m:sub>
                            <m:r>
                              <m:t>g</m:t>
                            </m:r>
                          </m:sub>
                          <m:sup>
                            <m:r>
                              <m:t>​</m:t>
                            </m:r>
                          </m:sup>
                          <m:e>
                            <m:sSub>
                              <m:e>
                                <m:r>
                                  <m:t>s</m:t>
                                </m:r>
                              </m:e>
                              <m:sub>
                                <m:r>
                                  <m:t>g</m:t>
                                </m:r>
                                <m:r>
                                  <m:rPr>
                                    <m:sty m:val="p"/>
                                  </m:rPr>
                                  <m:t>,</m:t>
                                </m:r>
                                <m:r>
                                  <m:t>t</m:t>
                                </m:r>
                              </m:sub>
                            </m:sSub>
                          </m:e>
                        </m:nary>
                        <m:r>
                          <m:rPr>
                            <m:sty m:val="p"/>
                          </m:rPr>
                          <m:t>+</m:t>
                        </m:r>
                        <m:sSub>
                          <m:e>
                            <m:r>
                              <m:t>c</m:t>
                            </m:r>
                          </m:e>
                          <m:sub>
                            <m:r>
                              <m:t>p</m:t>
                            </m:r>
                            <m:r>
                              <m:t>e</m:t>
                            </m:r>
                            <m:r>
                              <m:t>n</m:t>
                            </m:r>
                          </m:sub>
                        </m:sSub>
                        <m:r>
                          <m:t> </m:t>
                        </m:r>
                        <m:d>
                          <m:dPr>
                            <m:begChr m:val="("/>
                            <m:endChr m:val=")"/>
                            <m:sepChr m:val=""/>
                            <m:grow/>
                          </m:dPr>
                          <m:e>
                            <m:sSubSup>
                              <m:e>
                                <m:r>
                                  <m:t>P</m:t>
                                </m:r>
                              </m:e>
                              <m:sub>
                                <m:r>
                                  <m:t>t</m:t>
                                </m:r>
                              </m:sub>
                              <m:sup>
                                <m:r>
                                  <m:t>u</m:t>
                                </m:r>
                              </m:sup>
                            </m:sSubSup>
                            <m:r>
                              <m:rPr>
                                <m:sty m:val="p"/>
                              </m:rPr>
                              <m:t>+</m:t>
                            </m:r>
                            <m:sSubSup>
                              <m:e>
                                <m:r>
                                  <m:t>R</m:t>
                                </m:r>
                              </m:e>
                              <m:sub>
                                <m:r>
                                  <m:t>t</m:t>
                                </m:r>
                              </m:sub>
                              <m:sup>
                                <m:r>
                                  <m:t>u</m:t>
                                </m:r>
                              </m:sup>
                            </m:sSubSup>
                          </m:e>
                        </m:d>
                      </m:e>
                    </m:d>
                  </m:e>
                </m:nary>
                <m:r>
                  <m:t>Δ</m:t>
                </m:r>
                <m:r>
                  <m:t>t</m:t>
                </m:r>
                <m:r>
                  <m:rPr>
                    <m:sty m:val="p"/>
                  </m:rPr>
                  <m:t>,</m:t>
                </m:r>
              </m:oMath>
            </m:oMathPara>
          </w:p>
        </w:tc>
        <w:tc>
          <w:tcPr>
            <w:tcW w:type="dxa" w:w="850"/>
            <w:tcBorders>
              <w:top w:val="nil" w:sz="4" w:space="0" w:color="000000"/>
              <w:left w:val="nil" w:sz="4" w:space="0" w:color="000000"/>
              <w:bottom w:val="nil" w:sz="4" w:space="0" w:color="000000"/>
              <w:right w:val="nil" w:sz="4" w:space="0" w:color="000000"/>
            </w:tcBorders>
          </w:tcPr>
          <w:p>
            <w:pPr>
              <w:spacing w:before="60" w:after="60"/>
              <w:jc w:val="right"/>
            </w:pPr>
            <w:r>
              <w:rPr>
                <w:sz w:val="20"/>
              </w:rPr>
              <w:t>(5)</w:t>
            </w:r>
          </w:p>
        </w:tc>
      </w:tr>
    </w:tbl>
    <w:p>
      <w:pPr>
        <w:pStyle w:val="FirstParagraph"/>
      </w:pPr>
      <w:r>
        <w:t xml:space="preserve">where</w:t>
      </w:r>
      <w:r>
        <w:t xml:space="preserve"> </w:t>
      </w:r>
      <m:oMath>
        <m:sSub>
          <m:e>
            <m:r>
              <m:t>c</m:t>
            </m:r>
          </m:e>
          <m:sub>
            <m:r>
              <m:t>g</m:t>
            </m:r>
            <m:r>
              <m:t>a</m:t>
            </m:r>
            <m:r>
              <m:t>s</m:t>
            </m:r>
          </m:sub>
        </m:sSub>
        <m:r>
          <m:rPr>
            <m:sty m:val="p"/>
          </m:rPr>
          <m:t>=</m:t>
        </m:r>
        <m:r>
          <m:t>4.19</m:t>
        </m:r>
      </m:oMath>
      <w:r>
        <w:t xml:space="preserve"> </w:t>
      </w:r>
      <w:r>
        <w:t xml:space="preserve">NOK/Sm³ is the value of fuel gas, which could</w:t>
      </w:r>
      <w:r>
        <w:t xml:space="preserve"> </w:t>
      </w:r>
      <w:r>
        <w:t xml:space="preserve">otherwise be sold,</w:t>
      </w:r>
      <w:r>
        <w:t xml:space="preserve"> </w:t>
      </w:r>
      <m:oMath>
        <m:sSub>
          <m:e>
            <m:r>
              <m:t>c</m:t>
            </m:r>
          </m:e>
          <m:sub>
            <m:r>
              <m:t>C</m:t>
            </m:r>
            <m:r>
              <m:t>O</m:t>
            </m:r>
            <m:r>
              <m:t>2</m:t>
            </m:r>
          </m:sub>
        </m:sSub>
        <m:r>
          <m:rPr>
            <m:sty m:val="p"/>
          </m:rPr>
          <m:t>=</m:t>
        </m:r>
        <m:r>
          <m:t>2.0</m:t>
        </m:r>
      </m:oMath>
      <w:r>
        <w:t xml:space="preserve"> </w:t>
      </w:r>
      <w:r>
        <w:t xml:space="preserve">NOK/kg is the Norwegian target for the</w:t>
      </w:r>
      <w:r>
        <w:t xml:space="preserve"> </w:t>
      </w:r>
      <w:r>
        <w:t xml:space="preserve">total CO</w:t>
      </w:r>
      <w:r>
        <w:rPr>
          <w:vertAlign w:val="subscript"/>
        </w:rPr>
        <w:t xml:space="preserve">2</w:t>
      </w:r>
      <w:r>
        <w:t xml:space="preserve"> </w:t>
      </w:r>
      <w:r>
        <w:t xml:space="preserve">price in 2030 (Norwegian Ministry of Climate and Environment 2021),</w:t>
      </w:r>
      <w:r>
        <w:t xml:space="preserve"> </w:t>
      </w:r>
      <m:oMath>
        <m:sSub>
          <m:e>
            <m:r>
              <m:t>e</m:t>
            </m:r>
          </m:e>
          <m:sub>
            <m:r>
              <m:t>C</m:t>
            </m:r>
            <m:r>
              <m:t>O</m:t>
            </m:r>
            <m:r>
              <m:t>2</m:t>
            </m:r>
          </m:sub>
        </m:sSub>
      </m:oMath>
      <w:r>
        <w:t xml:space="preserve"> </w:t>
      </w:r>
      <w:r>
        <w:t xml:space="preserve">is the emission factor,</w:t>
      </w:r>
      <w:r>
        <w:t xml:space="preserve"> </w:t>
      </w:r>
      <m:oMath>
        <m:sSub>
          <m:e>
            <m:r>
              <m:t>c</m:t>
            </m:r>
          </m:e>
          <m:sub>
            <m:r>
              <m:t>p</m:t>
            </m:r>
            <m:r>
              <m:t>r</m:t>
            </m:r>
            <m:r>
              <m:t>o</m:t>
            </m:r>
            <m:r>
              <m:t>d</m:t>
            </m:r>
          </m:sub>
        </m:sSub>
      </m:oMath>
      <w:r>
        <w:t xml:space="preserve"> </w:t>
      </w:r>
      <w:r>
        <w:t xml:space="preserve">is the hourly value of design production (oil at 4,190 NOK/Sm³</w:t>
      </w:r>
      <w:r>
        <w:t xml:space="preserve"> </w:t>
      </w:r>
      <w:r>
        <w:t xml:space="preserve">and gas at the gas price) and</w:t>
      </w:r>
      <w:r>
        <w:t xml:space="preserve"> </w:t>
      </w:r>
      <m:oMath>
        <m:sSub>
          <m:e>
            <m:r>
              <m:t>c</m:t>
            </m:r>
          </m:e>
          <m:sub>
            <m:r>
              <m:t>s</m:t>
            </m:r>
            <m:r>
              <m:t>t</m:t>
            </m:r>
            <m:r>
              <m:t>a</m:t>
            </m:r>
            <m:r>
              <m:t>r</m:t>
            </m:r>
            <m:r>
              <m:t>t</m:t>
            </m:r>
          </m:sub>
        </m:sSub>
        <m:r>
          <m:rPr>
            <m:sty m:val="p"/>
          </m:rPr>
          <m:t>=</m:t>
        </m:r>
        <m:r>
          <m:t>2</m:t>
        </m:r>
        <m:r>
          <m:rPr>
            <m:sty m:val="p"/>
          </m:rPr>
          <m:t>,</m:t>
        </m:r>
        <m:r>
          <m:t>000</m:t>
        </m:r>
      </m:oMath>
      <w:r>
        <w:t xml:space="preserve"> </w:t>
      </w:r>
      <w:r>
        <w:t xml:space="preserve">NOK per GT start</w:t>
      </w:r>
      <w:r>
        <w:t xml:space="preserve"> </w:t>
      </w:r>
      <w:r>
        <w:t xml:space="preserve">(Svendsen et al. 2023). Unserved energy</w:t>
      </w:r>
      <w:r>
        <w:t xml:space="preserve"> </w:t>
      </w:r>
      <m:oMath>
        <m:sSubSup>
          <m:e>
            <m:r>
              <m:t>P</m:t>
            </m:r>
          </m:e>
          <m:sub>
            <m:r>
              <m:t>t</m:t>
            </m:r>
          </m:sub>
          <m:sup>
            <m:r>
              <m:t>u</m:t>
            </m:r>
          </m:sup>
        </m:sSubSup>
      </m:oMath>
      <w:r>
        <w:t xml:space="preserve"> </w:t>
      </w:r>
      <w:r>
        <w:t xml:space="preserve">and missing reserve</w:t>
      </w:r>
      <w:r>
        <w:t xml:space="preserve"> </w:t>
      </w:r>
      <m:oMath>
        <m:sSubSup>
          <m:e>
            <m:r>
              <m:t>R</m:t>
            </m:r>
          </m:e>
          <m:sub>
            <m:r>
              <m:t>t</m:t>
            </m:r>
          </m:sub>
          <m:sup>
            <m:r>
              <m:t>u</m:t>
            </m:r>
          </m:sup>
        </m:sSubSup>
      </m:oMath>
      <w:r>
        <w:t xml:space="preserve"> </w:t>
      </w:r>
      <w:r>
        <w:t xml:space="preserve">are</w:t>
      </w:r>
      <w:r>
        <w:t xml:space="preserve"> </w:t>
      </w:r>
      <w:r>
        <w:t xml:space="preserve">allowed only at a penalty</w:t>
      </w:r>
      <w:r>
        <w:t xml:space="preserve"> </w:t>
      </w:r>
      <m:oMath>
        <m:sSub>
          <m:e>
            <m:r>
              <m:t>c</m:t>
            </m:r>
          </m:e>
          <m:sub>
            <m:r>
              <m:t>p</m:t>
            </m:r>
            <m:r>
              <m:t>e</m:t>
            </m:r>
            <m:r>
              <m:t>n</m:t>
            </m:r>
          </m:sub>
        </m:sSub>
        <m:r>
          <m:rPr>
            <m:sty m:val="p"/>
          </m:rPr>
          <m:t>=</m:t>
        </m:r>
        <m:sSup>
          <m:e>
            <m:r>
              <m:t>10</m:t>
            </m:r>
          </m:e>
          <m:sup>
            <m:r>
              <m:t>6</m:t>
            </m:r>
          </m:sup>
        </m:sSup>
      </m:oMath>
      <w:r>
        <w:t xml:space="preserve"> </w:t>
      </w:r>
      <w:r>
        <w:t xml:space="preserve">NOK/MWh to keep every window</w:t>
      </w:r>
      <w:r>
        <w:t xml:space="preserve"> </w:t>
      </w:r>
      <w:r>
        <w:t xml:space="preserve">feasible; in all reported runs they are below 0.03 MWh/yr.</w:t>
      </w:r>
    </w:p>
    <w:p>
      <w:pPr>
        <w:pStyle w:val="BodyText"/>
      </w:pPr>
      <w:r>
        <w:t xml:space="preserve">The main constraints are:</w:t>
      </w:r>
    </w:p>
    <w:tbl>
      <w:tblPr>
        <w:tblW w:type="auto" w:w="0"/>
        <w:tblLook w:firstColumn="0" w:firstRow="0" w:lastColumn="0" w:lastRow="0" w:noHBand="0" w:noVBand="1" w:val="0000"/>
        <w:tblBorders>
          <w:top w:val="nil" w:sz="4" w:space="0" w:color="000000"/>
          <w:left w:val="nil" w:sz="4" w:space="0" w:color="000000"/>
          <w:bottom w:val="nil" w:sz="4" w:space="0" w:color="000000"/>
          <w:right w:val="nil" w:sz="4" w:space="0" w:color="000000"/>
          <w:insideH w:val="nil" w:sz="4" w:space="0" w:color="000000"/>
          <w:insideV w:val="nil" w:sz="4" w:space="0" w:color="000000"/>
        </w:tblBorders>
      </w:tblPr>
      <w:tblGrid>
        <w:gridCol w:w="680"/>
        <w:gridCol w:w="7540"/>
        <w:gridCol w:w="850"/>
      </w:tblGrid>
      <w:tr>
        <w:tc>
          <w:tcPr>
            <w:tcW w:type="dxa" w:w="680"/>
            <w:tcBorders>
              <w:top w:val="nil" w:sz="4" w:space="0" w:color="000000"/>
              <w:left w:val="nil" w:sz="4" w:space="0" w:color="000000"/>
              <w:bottom w:val="nil" w:sz="4" w:space="0" w:color="000000"/>
              <w:right w:val="nil" w:sz="4" w:space="0" w:color="000000"/>
            </w:tcBorders>
          </w:tcPr>
          <w:p/>
        </w:tc>
        <w:tc>
          <w:tcPr>
            <w:tcW w:type="dxa" w:w="7540"/>
            <w:tcBorders>
              <w:top w:val="nil" w:sz="4" w:space="0" w:color="000000"/>
              <w:left w:val="nil" w:sz="4" w:space="0" w:color="000000"/>
              <w:bottom w:val="nil" w:sz="4" w:space="0" w:color="000000"/>
              <w:right w:val="nil" w:sz="4" w:space="0" w:color="000000"/>
            </w:tcBorders>
          </w:tcPr>
          <w:p>
            <w:pPr>
              <w:spacing w:before="60" w:after="60"/>
              <w:jc w:val="center"/>
            </w:pPr>
            <m:oMathPara>
              <m:oMathParaPr>
                <m:jc m:val="center"/>
              </m:oMathParaPr>
              <m:oMath>
                <m:nary>
                  <m:naryPr>
                    <m:chr m:val="∑"/>
                    <m:limLoc m:val="undOvr"/>
                    <m:subHide m:val="off"/>
                    <m:supHide m:val="on"/>
                  </m:naryPr>
                  <m:sub>
                    <m:r>
                      <m:t>g</m:t>
                    </m:r>
                  </m:sub>
                  <m:sup>
                    <m:r>
                      <m:t>​</m:t>
                    </m:r>
                  </m:sup>
                  <m:e>
                    <m:sSub>
                      <m:e>
                        <m:r>
                          <m:t>P</m:t>
                        </m:r>
                      </m:e>
                      <m:sub>
                        <m:r>
                          <m:t>g</m:t>
                        </m:r>
                        <m:r>
                          <m:rPr>
                            <m:sty m:val="p"/>
                          </m:rPr>
                          <m:t>,</m:t>
                        </m:r>
                        <m:r>
                          <m:t>t</m:t>
                        </m:r>
                      </m:sub>
                    </m:sSub>
                  </m:e>
                </m:nary>
                <m:r>
                  <m:rPr>
                    <m:sty m:val="p"/>
                  </m:rPr>
                  <m:t>+</m:t>
                </m:r>
                <m:sSubSup>
                  <m:e>
                    <m:r>
                      <m:t>P</m:t>
                    </m:r>
                  </m:e>
                  <m:sub>
                    <m:r>
                      <m:t>t</m:t>
                    </m:r>
                  </m:sub>
                  <m:sup>
                    <m:r>
                      <m:t>w</m:t>
                    </m:r>
                  </m:sup>
                </m:sSubSup>
                <m:r>
                  <m:rPr>
                    <m:sty m:val="p"/>
                  </m:rPr>
                  <m:t>+</m:t>
                </m:r>
                <m:sSubSup>
                  <m:e>
                    <m:r>
                      <m:t>P</m:t>
                    </m:r>
                  </m:e>
                  <m:sub>
                    <m:r>
                      <m:t>t</m:t>
                    </m:r>
                  </m:sub>
                  <m:sup>
                    <m:r>
                      <m:t>d</m:t>
                    </m:r>
                    <m:r>
                      <m:t>i</m:t>
                    </m:r>
                    <m:r>
                      <m:t>s</m:t>
                    </m:r>
                  </m:sup>
                </m:sSubSup>
                <m:r>
                  <m:rPr>
                    <m:sty m:val="p"/>
                  </m:rPr>
                  <m:t>+</m:t>
                </m:r>
                <m:sSubSup>
                  <m:e>
                    <m:r>
                      <m:t>P</m:t>
                    </m:r>
                  </m:e>
                  <m:sub>
                    <m:r>
                      <m:t>t</m:t>
                    </m:r>
                  </m:sub>
                  <m:sup>
                    <m:r>
                      <m:t>u</m:t>
                    </m:r>
                  </m:sup>
                </m:sSubSup>
                <m:r>
                  <m:rPr>
                    <m:sty m:val="p"/>
                  </m:rPr>
                  <m:t>=</m:t>
                </m:r>
                <m:sSubSup>
                  <m:e>
                    <m:r>
                      <m:t>P</m:t>
                    </m:r>
                  </m:e>
                  <m:sub>
                    <m:r>
                      <m:t>t</m:t>
                    </m:r>
                  </m:sub>
                  <m:sup>
                    <m:r>
                      <m:t>d</m:t>
                    </m:r>
                    <m:r>
                      <m:t>e</m:t>
                    </m:r>
                    <m:r>
                      <m:t>m</m:t>
                    </m:r>
                  </m:sup>
                </m:sSubSup>
                <m:d>
                  <m:dPr>
                    <m:begChr m:val="("/>
                    <m:endChr m:val=")"/>
                    <m:sepChr m:val=""/>
                    <m:grow/>
                  </m:dPr>
                  <m:e>
                    <m:sSub>
                      <m:e>
                        <m:r>
                          <m:t>f</m:t>
                        </m:r>
                      </m:e>
                      <m:sub>
                        <m:r>
                          <m:t>p</m:t>
                        </m:r>
                        <m:r>
                          <m:rPr>
                            <m:sty m:val="p"/>
                          </m:rPr>
                          <m:t>,</m:t>
                        </m:r>
                        <m:r>
                          <m:t>t</m:t>
                        </m:r>
                      </m:sub>
                    </m:sSub>
                    <m:r>
                      <m:rPr>
                        <m:sty m:val="p"/>
                      </m:rPr>
                      <m:t>,</m:t>
                    </m:r>
                    <m:sSub>
                      <m:e>
                        <m:r>
                          <m:t>f</m:t>
                        </m:r>
                      </m:e>
                      <m:sub>
                        <m:r>
                          <m:t>w</m:t>
                        </m:r>
                        <m:r>
                          <m:t>i</m:t>
                        </m:r>
                        <m:r>
                          <m:rPr>
                            <m:sty m:val="p"/>
                          </m:rPr>
                          <m:t>,</m:t>
                        </m:r>
                        <m:r>
                          <m:t>t</m:t>
                        </m:r>
                      </m:sub>
                    </m:sSub>
                  </m:e>
                </m:d>
                <m:r>
                  <m:rPr>
                    <m:sty m:val="p"/>
                  </m:rPr>
                  <m:t>+</m:t>
                </m:r>
                <m:sSubSup>
                  <m:e>
                    <m:r>
                      <m:t>P</m:t>
                    </m:r>
                  </m:e>
                  <m:sub>
                    <m:r>
                      <m:t>t</m:t>
                    </m:r>
                  </m:sub>
                  <m:sup>
                    <m:r>
                      <m:t>h</m:t>
                    </m:r>
                  </m:sup>
                </m:sSubSup>
                <m:r>
                  <m:rPr>
                    <m:sty m:val="p"/>
                  </m:rPr>
                  <m:t>+</m:t>
                </m:r>
                <m:sSubSup>
                  <m:e>
                    <m:r>
                      <m:t>P</m:t>
                    </m:r>
                  </m:e>
                  <m:sub>
                    <m:r>
                      <m:t>t</m:t>
                    </m:r>
                  </m:sub>
                  <m:sup>
                    <m:r>
                      <m:t>c</m:t>
                    </m:r>
                    <m:r>
                      <m:t>h</m:t>
                    </m:r>
                  </m:sup>
                </m:sSubSup>
                <m:r>
                  <m:rPr>
                    <m:sty m:val="p"/>
                  </m:rPr>
                  <m:t>,</m:t>
                </m:r>
              </m:oMath>
            </m:oMathPara>
          </w:p>
        </w:tc>
        <w:tc>
          <w:tcPr>
            <w:tcW w:type="dxa" w:w="850"/>
            <w:tcBorders>
              <w:top w:val="nil" w:sz="4" w:space="0" w:color="000000"/>
              <w:left w:val="nil" w:sz="4" w:space="0" w:color="000000"/>
              <w:bottom w:val="nil" w:sz="4" w:space="0" w:color="000000"/>
              <w:right w:val="nil" w:sz="4" w:space="0" w:color="000000"/>
            </w:tcBorders>
          </w:tcPr>
          <w:p>
            <w:pPr>
              <w:spacing w:before="60" w:after="60"/>
              <w:jc w:val="right"/>
            </w:pPr>
            <w:r>
              <w:rPr>
                <w:sz w:val="20"/>
              </w:rPr>
              <w:t>(6)</w:t>
            </w:r>
          </w:p>
        </w:tc>
      </w:tr>
    </w:tbl>
    <w:tbl>
      <w:tblPr>
        <w:tblW w:type="auto" w:w="0"/>
        <w:tblLook w:firstColumn="0" w:firstRow="0" w:lastColumn="0" w:lastRow="0" w:noHBand="0" w:noVBand="1" w:val="0000"/>
        <w:tblBorders>
          <w:top w:val="nil" w:sz="4" w:space="0" w:color="000000"/>
          <w:left w:val="nil" w:sz="4" w:space="0" w:color="000000"/>
          <w:bottom w:val="nil" w:sz="4" w:space="0" w:color="000000"/>
          <w:right w:val="nil" w:sz="4" w:space="0" w:color="000000"/>
          <w:insideH w:val="nil" w:sz="4" w:space="0" w:color="000000"/>
          <w:insideV w:val="nil" w:sz="4" w:space="0" w:color="000000"/>
        </w:tblBorders>
      </w:tblPr>
      <w:tblGrid>
        <w:gridCol w:w="680"/>
        <w:gridCol w:w="7540"/>
        <w:gridCol w:w="850"/>
      </w:tblGrid>
      <w:tr>
        <w:tc>
          <w:tcPr>
            <w:tcW w:type="dxa" w:w="680"/>
            <w:tcBorders>
              <w:top w:val="nil" w:sz="4" w:space="0" w:color="000000"/>
              <w:left w:val="nil" w:sz="4" w:space="0" w:color="000000"/>
              <w:bottom w:val="nil" w:sz="4" w:space="0" w:color="000000"/>
              <w:right w:val="nil" w:sz="4" w:space="0" w:color="000000"/>
            </w:tcBorders>
          </w:tcPr>
          <w:p/>
        </w:tc>
        <w:tc>
          <w:tcPr>
            <w:tcW w:type="dxa" w:w="7540"/>
            <w:tcBorders>
              <w:top w:val="nil" w:sz="4" w:space="0" w:color="000000"/>
              <w:left w:val="nil" w:sz="4" w:space="0" w:color="000000"/>
              <w:bottom w:val="nil" w:sz="4" w:space="0" w:color="000000"/>
              <w:right w:val="nil" w:sz="4" w:space="0" w:color="000000"/>
            </w:tcBorders>
          </w:tcPr>
          <w:p>
            <w:pPr>
              <w:spacing w:before="60" w:after="60"/>
              <w:jc w:val="center"/>
            </w:pPr>
            <m:oMathPara>
              <m:oMathParaPr>
                <m:jc m:val="center"/>
              </m:oMathParaPr>
              <m:oMath>
                <m:sSubSup>
                  <m:e>
                    <m:r>
                      <m:t>P</m:t>
                    </m:r>
                  </m:e>
                  <m:sub>
                    <m:r>
                      <m:t>t</m:t>
                    </m:r>
                  </m:sub>
                  <m:sup>
                    <m:r>
                      <m:t>w</m:t>
                    </m:r>
                  </m:sup>
                </m:sSubSup>
                <m:r>
                  <m:rPr>
                    <m:sty m:val="p"/>
                  </m:rPr>
                  <m:t>+</m:t>
                </m:r>
                <m:sSubSup>
                  <m:e>
                    <m:r>
                      <m:t>P</m:t>
                    </m:r>
                  </m:e>
                  <m:sub>
                    <m:r>
                      <m:t>t</m:t>
                    </m:r>
                  </m:sub>
                  <m:sup>
                    <m:r>
                      <m:t>c</m:t>
                    </m:r>
                  </m:sup>
                </m:sSubSup>
                <m:r>
                  <m:rPr>
                    <m:sty m:val="p"/>
                  </m:rPr>
                  <m:t>=</m:t>
                </m:r>
                <m:sSubSup>
                  <m:e>
                    <m:r>
                      <m:t>P</m:t>
                    </m:r>
                  </m:e>
                  <m:sub>
                    <m:r>
                      <m:t>t</m:t>
                    </m:r>
                  </m:sub>
                  <m:sup>
                    <m:r>
                      <m:t>a</m:t>
                    </m:r>
                    <m:r>
                      <m:t>v</m:t>
                    </m:r>
                    <m:r>
                      <m:t>a</m:t>
                    </m:r>
                    <m:r>
                      <m:t>i</m:t>
                    </m:r>
                    <m:r>
                      <m:t>l</m:t>
                    </m:r>
                  </m:sup>
                </m:sSubSup>
                <m:r>
                  <m:rPr>
                    <m:sty m:val="p"/>
                  </m:rPr>
                  <m:t>,</m:t>
                </m:r>
              </m:oMath>
            </m:oMathPara>
          </w:p>
        </w:tc>
        <w:tc>
          <w:tcPr>
            <w:tcW w:type="dxa" w:w="850"/>
            <w:tcBorders>
              <w:top w:val="nil" w:sz="4" w:space="0" w:color="000000"/>
              <w:left w:val="nil" w:sz="4" w:space="0" w:color="000000"/>
              <w:bottom w:val="nil" w:sz="4" w:space="0" w:color="000000"/>
              <w:right w:val="nil" w:sz="4" w:space="0" w:color="000000"/>
            </w:tcBorders>
          </w:tcPr>
          <w:p>
            <w:pPr>
              <w:spacing w:before="60" w:after="60"/>
              <w:jc w:val="right"/>
            </w:pPr>
            <w:r>
              <w:rPr>
                <w:sz w:val="20"/>
              </w:rPr>
              <w:t>(7)</w:t>
            </w:r>
          </w:p>
        </w:tc>
      </w:tr>
    </w:tbl>
    <w:tbl>
      <w:tblPr>
        <w:tblW w:type="auto" w:w="0"/>
        <w:tblLook w:firstColumn="0" w:firstRow="0" w:lastColumn="0" w:lastRow="0" w:noHBand="0" w:noVBand="1" w:val="0000"/>
        <w:tblBorders>
          <w:top w:val="nil" w:sz="4" w:space="0" w:color="000000"/>
          <w:left w:val="nil" w:sz="4" w:space="0" w:color="000000"/>
          <w:bottom w:val="nil" w:sz="4" w:space="0" w:color="000000"/>
          <w:right w:val="nil" w:sz="4" w:space="0" w:color="000000"/>
          <w:insideH w:val="nil" w:sz="4" w:space="0" w:color="000000"/>
          <w:insideV w:val="nil" w:sz="4" w:space="0" w:color="000000"/>
        </w:tblBorders>
      </w:tblPr>
      <w:tblGrid>
        <w:gridCol w:w="680"/>
        <w:gridCol w:w="7540"/>
        <w:gridCol w:w="850"/>
      </w:tblGrid>
      <w:tr>
        <w:tc>
          <w:tcPr>
            <w:tcW w:type="dxa" w:w="680"/>
            <w:tcBorders>
              <w:top w:val="nil" w:sz="4" w:space="0" w:color="000000"/>
              <w:left w:val="nil" w:sz="4" w:space="0" w:color="000000"/>
              <w:bottom w:val="nil" w:sz="4" w:space="0" w:color="000000"/>
              <w:right w:val="nil" w:sz="4" w:space="0" w:color="000000"/>
            </w:tcBorders>
          </w:tcPr>
          <w:p/>
        </w:tc>
        <w:tc>
          <w:tcPr>
            <w:tcW w:type="dxa" w:w="7540"/>
            <w:tcBorders>
              <w:top w:val="nil" w:sz="4" w:space="0" w:color="000000"/>
              <w:left w:val="nil" w:sz="4" w:space="0" w:color="000000"/>
              <w:bottom w:val="nil" w:sz="4" w:space="0" w:color="000000"/>
              <w:right w:val="nil" w:sz="4" w:space="0" w:color="000000"/>
            </w:tcBorders>
          </w:tcPr>
          <w:p>
            <w:pPr>
              <w:spacing w:before="60" w:after="60"/>
              <w:jc w:val="center"/>
            </w:pPr>
            <m:oMathPara>
              <m:oMathParaPr>
                <m:jc m:val="center"/>
              </m:oMathParaPr>
              <m:oMath>
                <m:r>
                  <m:t>ϕ</m:t>
                </m:r>
                <m:nary>
                  <m:naryPr>
                    <m:chr m:val="∑"/>
                    <m:limLoc m:val="undOvr"/>
                    <m:subHide m:val="off"/>
                    <m:supHide m:val="on"/>
                  </m:naryPr>
                  <m:sub>
                    <m:r>
                      <m:t>g</m:t>
                    </m:r>
                  </m:sub>
                  <m:sup>
                    <m:r>
                      <m:t>​</m:t>
                    </m:r>
                  </m:sup>
                  <m:e>
                    <m:d>
                      <m:dPr>
                        <m:begChr m:val="("/>
                        <m:endChr m:val=")"/>
                        <m:sepChr m:val=""/>
                        <m:grow/>
                      </m:dPr>
                      <m:e>
                        <m:sSub>
                          <m:e>
                            <m:r>
                              <m:t>Q</m:t>
                            </m:r>
                          </m:e>
                          <m:sub>
                            <m:r>
                              <m:t>g</m:t>
                            </m:r>
                            <m:r>
                              <m:rPr>
                                <m:sty m:val="p"/>
                              </m:rPr>
                              <m:t>,</m:t>
                            </m:r>
                            <m:r>
                              <m:t>t</m:t>
                            </m:r>
                          </m:sub>
                        </m:sSub>
                        <m:r>
                          <m:rPr>
                            <m:sty m:val="p"/>
                          </m:rPr>
                          <m:t>−</m:t>
                        </m:r>
                        <m:sSub>
                          <m:e>
                            <m:r>
                              <m:t>P</m:t>
                            </m:r>
                          </m:e>
                          <m:sub>
                            <m:r>
                              <m:t>g</m:t>
                            </m:r>
                            <m:r>
                              <m:rPr>
                                <m:sty m:val="p"/>
                              </m:rPr>
                              <m:t>,</m:t>
                            </m:r>
                            <m:r>
                              <m:t>t</m:t>
                            </m:r>
                          </m:sub>
                        </m:sSub>
                      </m:e>
                    </m:d>
                  </m:e>
                </m:nary>
                <m:r>
                  <m:rPr>
                    <m:sty m:val="p"/>
                  </m:rPr>
                  <m:t>+</m:t>
                </m:r>
                <m:sSub>
                  <m:e>
                    <m:r>
                      <m:t>η</m:t>
                    </m:r>
                  </m:e>
                  <m:sub>
                    <m:r>
                      <m:t>h</m:t>
                    </m:r>
                  </m:sub>
                </m:sSub>
                <m:sSubSup>
                  <m:e>
                    <m:r>
                      <m:t>P</m:t>
                    </m:r>
                  </m:e>
                  <m:sub>
                    <m:r>
                      <m:t>t</m:t>
                    </m:r>
                  </m:sub>
                  <m:sup>
                    <m:r>
                      <m:t>h</m:t>
                    </m:r>
                  </m:sup>
                </m:sSubSup>
                <m:r>
                  <m:rPr>
                    <m:sty m:val="p"/>
                  </m:rPr>
                  <m:t>≥</m:t>
                </m:r>
                <m:r>
                  <m:t>H</m:t>
                </m:r>
                <m:r>
                  <m:rPr>
                    <m:sty m:val="p"/>
                  </m:rPr>
                  <m:t>,</m:t>
                </m:r>
              </m:oMath>
            </m:oMathPara>
          </w:p>
        </w:tc>
        <w:tc>
          <w:tcPr>
            <w:tcW w:type="dxa" w:w="850"/>
            <w:tcBorders>
              <w:top w:val="nil" w:sz="4" w:space="0" w:color="000000"/>
              <w:left w:val="nil" w:sz="4" w:space="0" w:color="000000"/>
              <w:bottom w:val="nil" w:sz="4" w:space="0" w:color="000000"/>
              <w:right w:val="nil" w:sz="4" w:space="0" w:color="000000"/>
            </w:tcBorders>
          </w:tcPr>
          <w:p>
            <w:pPr>
              <w:spacing w:before="60" w:after="60"/>
              <w:jc w:val="right"/>
            </w:pPr>
            <w:r>
              <w:rPr>
                <w:sz w:val="20"/>
              </w:rPr>
              <w:t>(8)</w:t>
            </w:r>
          </w:p>
        </w:tc>
      </w:tr>
    </w:tbl>
    <w:tbl>
      <w:tblPr>
        <w:tblW w:type="auto" w:w="0"/>
        <w:tblLook w:firstColumn="0" w:firstRow="0" w:lastColumn="0" w:lastRow="0" w:noHBand="0" w:noVBand="1" w:val="0000"/>
        <w:tblBorders>
          <w:top w:val="nil" w:sz="4" w:space="0" w:color="000000"/>
          <w:left w:val="nil" w:sz="4" w:space="0" w:color="000000"/>
          <w:bottom w:val="nil" w:sz="4" w:space="0" w:color="000000"/>
          <w:right w:val="nil" w:sz="4" w:space="0" w:color="000000"/>
          <w:insideH w:val="nil" w:sz="4" w:space="0" w:color="000000"/>
          <w:insideV w:val="nil" w:sz="4" w:space="0" w:color="000000"/>
        </w:tblBorders>
      </w:tblPr>
      <w:tblGrid>
        <w:gridCol w:w="680"/>
        <w:gridCol w:w="7540"/>
        <w:gridCol w:w="850"/>
      </w:tblGrid>
      <w:tr>
        <w:tc>
          <w:tcPr>
            <w:tcW w:type="dxa" w:w="680"/>
            <w:tcBorders>
              <w:top w:val="nil" w:sz="4" w:space="0" w:color="000000"/>
              <w:left w:val="nil" w:sz="4" w:space="0" w:color="000000"/>
              <w:bottom w:val="nil" w:sz="4" w:space="0" w:color="000000"/>
              <w:right w:val="nil" w:sz="4" w:space="0" w:color="000000"/>
            </w:tcBorders>
          </w:tcPr>
          <w:p/>
        </w:tc>
        <w:tc>
          <w:tcPr>
            <w:tcW w:type="dxa" w:w="7540"/>
            <w:tcBorders>
              <w:top w:val="nil" w:sz="4" w:space="0" w:color="000000"/>
              <w:left w:val="nil" w:sz="4" w:space="0" w:color="000000"/>
              <w:bottom w:val="nil" w:sz="4" w:space="0" w:color="000000"/>
              <w:right w:val="nil" w:sz="4" w:space="0" w:color="000000"/>
            </w:tcBorders>
          </w:tcPr>
          <w:p>
            <w:pPr>
              <w:spacing w:before="60" w:after="60"/>
              <w:jc w:val="center"/>
            </w:pPr>
            <m:oMathPara>
              <m:oMathParaPr>
                <m:jc m:val="center"/>
              </m:oMathParaPr>
              <m:oMath>
                <m:sSub>
                  <m:e>
                    <m:r>
                      <m:t>P</m:t>
                    </m:r>
                  </m:e>
                  <m:sub>
                    <m:r>
                      <m:t>m</m:t>
                    </m:r>
                    <m:r>
                      <m:t>i</m:t>
                    </m:r>
                    <m:r>
                      <m:t>n</m:t>
                    </m:r>
                  </m:sub>
                </m:sSub>
                <m:r>
                  <m:t> </m:t>
                </m:r>
                <m:sSub>
                  <m:e>
                    <m:r>
                      <m:t>u</m:t>
                    </m:r>
                  </m:e>
                  <m:sub>
                    <m:r>
                      <m:t>g</m:t>
                    </m:r>
                    <m:r>
                      <m:rPr>
                        <m:sty m:val="p"/>
                      </m:rPr>
                      <m:t>,</m:t>
                    </m:r>
                    <m:r>
                      <m:t>t</m:t>
                    </m:r>
                  </m:sub>
                </m:sSub>
                <m:r>
                  <m:rPr>
                    <m:sty m:val="p"/>
                  </m:rPr>
                  <m:t>≤</m:t>
                </m:r>
                <m:sSub>
                  <m:e>
                    <m:r>
                      <m:t>P</m:t>
                    </m:r>
                  </m:e>
                  <m:sub>
                    <m:r>
                      <m:t>g</m:t>
                    </m:r>
                    <m:r>
                      <m:rPr>
                        <m:sty m:val="p"/>
                      </m:rPr>
                      <m:t>,</m:t>
                    </m:r>
                    <m:r>
                      <m:t>t</m:t>
                    </m:r>
                  </m:sub>
                </m:sSub>
                <m:r>
                  <m:rPr>
                    <m:sty m:val="p"/>
                  </m:rPr>
                  <m:t>≤</m:t>
                </m:r>
                <m:sSub>
                  <m:e>
                    <m:r>
                      <m:t>P</m:t>
                    </m:r>
                  </m:e>
                  <m:sub>
                    <m:r>
                      <m:t>r</m:t>
                    </m:r>
                    <m:r>
                      <m:t>a</m:t>
                    </m:r>
                    <m:r>
                      <m:t>t</m:t>
                    </m:r>
                    <m:r>
                      <m:t>e</m:t>
                    </m:r>
                    <m:r>
                      <m:t>d</m:t>
                    </m:r>
                  </m:sub>
                </m:sSub>
                <m:r>
                  <m:t> </m:t>
                </m:r>
                <m:sSub>
                  <m:e>
                    <m:r>
                      <m:t>u</m:t>
                    </m:r>
                  </m:e>
                  <m:sub>
                    <m:r>
                      <m:t>g</m:t>
                    </m:r>
                    <m:r>
                      <m:rPr>
                        <m:sty m:val="p"/>
                      </m:rPr>
                      <m:t>,</m:t>
                    </m:r>
                    <m:r>
                      <m:t>t</m:t>
                    </m:r>
                  </m:sub>
                </m:sSub>
                <m:r>
                  <m:rPr>
                    <m:sty m:val="p"/>
                  </m:rPr>
                  <m:t>,</m:t>
                </m:r>
                <m:r>
                  <m:t>  </m:t>
                </m:r>
                <m:sSub>
                  <m:e>
                    <m:r>
                      <m:t>s</m:t>
                    </m:r>
                  </m:e>
                  <m:sub>
                    <m:r>
                      <m:t>g</m:t>
                    </m:r>
                    <m:r>
                      <m:rPr>
                        <m:sty m:val="p"/>
                      </m:rPr>
                      <m:t>,</m:t>
                    </m:r>
                    <m:r>
                      <m:t>t</m:t>
                    </m:r>
                  </m:sub>
                </m:sSub>
                <m:r>
                  <m:rPr>
                    <m:sty m:val="p"/>
                  </m:rPr>
                  <m:t>≥</m:t>
                </m:r>
                <m:sSub>
                  <m:e>
                    <m:r>
                      <m:t>u</m:t>
                    </m:r>
                  </m:e>
                  <m:sub>
                    <m:r>
                      <m:t>g</m:t>
                    </m:r>
                    <m:r>
                      <m:rPr>
                        <m:sty m:val="p"/>
                      </m:rPr>
                      <m:t>,</m:t>
                    </m:r>
                    <m:r>
                      <m:t>t</m:t>
                    </m:r>
                  </m:sub>
                </m:sSub>
                <m:r>
                  <m:rPr>
                    <m:sty m:val="p"/>
                  </m:rPr>
                  <m:t>−</m:t>
                </m:r>
                <m:sSub>
                  <m:e>
                    <m:r>
                      <m:t>u</m:t>
                    </m:r>
                  </m:e>
                  <m:sub>
                    <m:r>
                      <m:t>g</m:t>
                    </m:r>
                    <m:r>
                      <m:rPr>
                        <m:sty m:val="p"/>
                      </m:rPr>
                      <m:t>,</m:t>
                    </m:r>
                    <m:r>
                      <m:t>t</m:t>
                    </m:r>
                    <m:r>
                      <m:rPr>
                        <m:sty m:val="p"/>
                      </m:rPr>
                      <m:t>−</m:t>
                    </m:r>
                    <m:r>
                      <m:t>1</m:t>
                    </m:r>
                  </m:sub>
                </m:sSub>
                <m:r>
                  <m:rPr>
                    <m:sty m:val="p"/>
                  </m:rPr>
                  <m:t>,</m:t>
                </m:r>
              </m:oMath>
            </m:oMathPara>
          </w:p>
        </w:tc>
        <w:tc>
          <w:tcPr>
            <w:tcW w:type="dxa" w:w="850"/>
            <w:tcBorders>
              <w:top w:val="nil" w:sz="4" w:space="0" w:color="000000"/>
              <w:left w:val="nil" w:sz="4" w:space="0" w:color="000000"/>
              <w:bottom w:val="nil" w:sz="4" w:space="0" w:color="000000"/>
              <w:right w:val="nil" w:sz="4" w:space="0" w:color="000000"/>
            </w:tcBorders>
          </w:tcPr>
          <w:p>
            <w:pPr>
              <w:spacing w:before="60" w:after="60"/>
              <w:jc w:val="right"/>
            </w:pPr>
            <w:r>
              <w:rPr>
                <w:sz w:val="20"/>
              </w:rPr>
              <w:t>(9)</w:t>
            </w:r>
          </w:p>
        </w:tc>
      </w:tr>
    </w:tbl>
    <w:tbl>
      <w:tblPr>
        <w:tblW w:type="auto" w:w="0"/>
        <w:tblLook w:firstColumn="0" w:firstRow="0" w:lastColumn="0" w:lastRow="0" w:noHBand="0" w:noVBand="1" w:val="0000"/>
        <w:tblBorders>
          <w:top w:val="nil" w:sz="4" w:space="0" w:color="000000"/>
          <w:left w:val="nil" w:sz="4" w:space="0" w:color="000000"/>
          <w:bottom w:val="nil" w:sz="4" w:space="0" w:color="000000"/>
          <w:right w:val="nil" w:sz="4" w:space="0" w:color="000000"/>
          <w:insideH w:val="nil" w:sz="4" w:space="0" w:color="000000"/>
          <w:insideV w:val="nil" w:sz="4" w:space="0" w:color="000000"/>
        </w:tblBorders>
      </w:tblPr>
      <w:tblGrid>
        <w:gridCol w:w="680"/>
        <w:gridCol w:w="7540"/>
        <w:gridCol w:w="850"/>
      </w:tblGrid>
      <w:tr>
        <w:tc>
          <w:tcPr>
            <w:tcW w:type="dxa" w:w="680"/>
            <w:tcBorders>
              <w:top w:val="nil" w:sz="4" w:space="0" w:color="000000"/>
              <w:left w:val="nil" w:sz="4" w:space="0" w:color="000000"/>
              <w:bottom w:val="nil" w:sz="4" w:space="0" w:color="000000"/>
              <w:right w:val="nil" w:sz="4" w:space="0" w:color="000000"/>
            </w:tcBorders>
          </w:tcPr>
          <w:p/>
        </w:tc>
        <w:tc>
          <w:tcPr>
            <w:tcW w:type="dxa" w:w="7540"/>
            <w:tcBorders>
              <w:top w:val="nil" w:sz="4" w:space="0" w:color="000000"/>
              <w:left w:val="nil" w:sz="4" w:space="0" w:color="000000"/>
              <w:bottom w:val="nil" w:sz="4" w:space="0" w:color="000000"/>
              <w:right w:val="nil" w:sz="4" w:space="0" w:color="000000"/>
            </w:tcBorders>
          </w:tcPr>
          <w:p>
            <w:pPr>
              <w:spacing w:before="60" w:after="60"/>
              <w:jc w:val="center"/>
            </w:pPr>
            <m:oMathPara>
              <m:oMathParaPr>
                <m:jc m:val="center"/>
              </m:oMathParaPr>
              <m:oMath>
                <m:nary>
                  <m:naryPr>
                    <m:chr m:val="∑"/>
                    <m:limLoc m:val="undOvr"/>
                    <m:subHide m:val="off"/>
                    <m:supHide m:val="on"/>
                  </m:naryPr>
                  <m:sub>
                    <m:r>
                      <m:t>g</m:t>
                    </m:r>
                  </m:sub>
                  <m:sup>
                    <m:r>
                      <m:t>​</m:t>
                    </m:r>
                  </m:sup>
                  <m:e>
                    <m:d>
                      <m:dPr>
                        <m:begChr m:val="("/>
                        <m:endChr m:val=")"/>
                        <m:sepChr m:val=""/>
                        <m:grow/>
                      </m:dPr>
                      <m:e>
                        <m:sSub>
                          <m:e>
                            <m:r>
                              <m:t>P</m:t>
                            </m:r>
                          </m:e>
                          <m:sub>
                            <m:r>
                              <m:t>r</m:t>
                            </m:r>
                            <m:r>
                              <m:t>a</m:t>
                            </m:r>
                            <m:r>
                              <m:t>t</m:t>
                            </m:r>
                            <m:r>
                              <m:t>e</m:t>
                            </m:r>
                            <m:r>
                              <m:t>d</m:t>
                            </m:r>
                          </m:sub>
                        </m:sSub>
                        <m:r>
                          <m:t> </m:t>
                        </m:r>
                        <m:sSub>
                          <m:e>
                            <m:r>
                              <m:t>u</m:t>
                            </m:r>
                          </m:e>
                          <m:sub>
                            <m:r>
                              <m:t>g</m:t>
                            </m:r>
                            <m:r>
                              <m:rPr>
                                <m:sty m:val="p"/>
                              </m:rPr>
                              <m:t>,</m:t>
                            </m:r>
                            <m:r>
                              <m:t>t</m:t>
                            </m:r>
                          </m:sub>
                        </m:sSub>
                        <m:r>
                          <m:rPr>
                            <m:sty m:val="p"/>
                          </m:rPr>
                          <m:t>−</m:t>
                        </m:r>
                        <m:sSub>
                          <m:e>
                            <m:r>
                              <m:t>P</m:t>
                            </m:r>
                          </m:e>
                          <m:sub>
                            <m:r>
                              <m:t>g</m:t>
                            </m:r>
                            <m:r>
                              <m:rPr>
                                <m:sty m:val="p"/>
                              </m:rPr>
                              <m:t>,</m:t>
                            </m:r>
                            <m:r>
                              <m:t>t</m:t>
                            </m:r>
                          </m:sub>
                        </m:sSub>
                      </m:e>
                    </m:d>
                  </m:e>
                </m:nary>
                <m:r>
                  <m:rPr>
                    <m:sty m:val="p"/>
                  </m:rPr>
                  <m:t>+</m:t>
                </m:r>
                <m:sSubSup>
                  <m:e>
                    <m:r>
                      <m:t>P</m:t>
                    </m:r>
                  </m:e>
                  <m:sub>
                    <m:r>
                      <m:t>t</m:t>
                    </m:r>
                  </m:sub>
                  <m:sup>
                    <m:r>
                      <m:t>r</m:t>
                    </m:r>
                    <m:r>
                      <m:t>e</m:t>
                    </m:r>
                    <m:r>
                      <m:t>s</m:t>
                    </m:r>
                  </m:sup>
                </m:sSubSup>
                <m:r>
                  <m:rPr>
                    <m:sty m:val="p"/>
                  </m:rPr>
                  <m:t>+</m:t>
                </m:r>
                <m:sSubSup>
                  <m:e>
                    <m:r>
                      <m:t>R</m:t>
                    </m:r>
                  </m:e>
                  <m:sub>
                    <m:r>
                      <m:t>t</m:t>
                    </m:r>
                  </m:sub>
                  <m:sup>
                    <m:r>
                      <m:t>u</m:t>
                    </m:r>
                  </m:sup>
                </m:sSubSup>
                <m:r>
                  <m:rPr>
                    <m:sty m:val="p"/>
                  </m:rPr>
                  <m:t>≥</m:t>
                </m:r>
                <m:r>
                  <m:t>R</m:t>
                </m:r>
                <m:r>
                  <m:rPr>
                    <m:sty m:val="p"/>
                  </m:rPr>
                  <m:t>,</m:t>
                </m:r>
                <m:r>
                  <m:t>  </m:t>
                </m:r>
                <m:nary>
                  <m:naryPr>
                    <m:chr m:val="∑"/>
                    <m:limLoc m:val="undOvr"/>
                    <m:subHide m:val="off"/>
                    <m:supHide m:val="on"/>
                  </m:naryPr>
                  <m:sub>
                    <m:r>
                      <m:t>g</m:t>
                    </m:r>
                  </m:sub>
                  <m:sup>
                    <m:r>
                      <m:t>​</m:t>
                    </m:r>
                  </m:sup>
                  <m:e>
                    <m:sSub>
                      <m:e>
                        <m:r>
                          <m:t>u</m:t>
                        </m:r>
                      </m:e>
                      <m:sub>
                        <m:r>
                          <m:t>g</m:t>
                        </m:r>
                        <m:r>
                          <m:rPr>
                            <m:sty m:val="p"/>
                          </m:rPr>
                          <m:t>,</m:t>
                        </m:r>
                        <m:r>
                          <m:t>t</m:t>
                        </m:r>
                      </m:sub>
                    </m:sSub>
                  </m:e>
                </m:nary>
                <m:r>
                  <m:rPr>
                    <m:sty m:val="p"/>
                  </m:rPr>
                  <m:t>≥</m:t>
                </m:r>
                <m:r>
                  <m:t>1</m:t>
                </m:r>
                <m:r>
                  <m:rPr>
                    <m:sty m:val="p"/>
                  </m:rPr>
                  <m:t>,</m:t>
                </m:r>
              </m:oMath>
            </m:oMathPara>
          </w:p>
        </w:tc>
        <w:tc>
          <w:tcPr>
            <w:tcW w:type="dxa" w:w="850"/>
            <w:tcBorders>
              <w:top w:val="nil" w:sz="4" w:space="0" w:color="000000"/>
              <w:left w:val="nil" w:sz="4" w:space="0" w:color="000000"/>
              <w:bottom w:val="nil" w:sz="4" w:space="0" w:color="000000"/>
              <w:right w:val="nil" w:sz="4" w:space="0" w:color="000000"/>
            </w:tcBorders>
          </w:tcPr>
          <w:p>
            <w:pPr>
              <w:spacing w:before="60" w:after="60"/>
              <w:jc w:val="right"/>
            </w:pPr>
            <w:r>
              <w:rPr>
                <w:sz w:val="20"/>
              </w:rPr>
              <w:t>(10)</w:t>
            </w:r>
          </w:p>
        </w:tc>
      </w:tr>
    </w:tbl>
    <w:tbl>
      <w:tblPr>
        <w:tblW w:type="auto" w:w="0"/>
        <w:tblLook w:firstColumn="0" w:firstRow="0" w:lastColumn="0" w:lastRow="0" w:noHBand="0" w:noVBand="1" w:val="0000"/>
        <w:tblBorders>
          <w:top w:val="nil" w:sz="4" w:space="0" w:color="000000"/>
          <w:left w:val="nil" w:sz="4" w:space="0" w:color="000000"/>
          <w:bottom w:val="nil" w:sz="4" w:space="0" w:color="000000"/>
          <w:right w:val="nil" w:sz="4" w:space="0" w:color="000000"/>
          <w:insideH w:val="nil" w:sz="4" w:space="0" w:color="000000"/>
          <w:insideV w:val="nil" w:sz="4" w:space="0" w:color="000000"/>
        </w:tblBorders>
      </w:tblPr>
      <w:tblGrid>
        <w:gridCol w:w="680"/>
        <w:gridCol w:w="7540"/>
        <w:gridCol w:w="850"/>
      </w:tblGrid>
      <w:tr>
        <w:tc>
          <w:tcPr>
            <w:tcW w:type="dxa" w:w="680"/>
            <w:tcBorders>
              <w:top w:val="nil" w:sz="4" w:space="0" w:color="000000"/>
              <w:left w:val="nil" w:sz="4" w:space="0" w:color="000000"/>
              <w:bottom w:val="nil" w:sz="4" w:space="0" w:color="000000"/>
              <w:right w:val="nil" w:sz="4" w:space="0" w:color="000000"/>
            </w:tcBorders>
          </w:tcPr>
          <w:p/>
        </w:tc>
        <w:tc>
          <w:tcPr>
            <w:tcW w:type="dxa" w:w="7540"/>
            <w:tcBorders>
              <w:top w:val="nil" w:sz="4" w:space="0" w:color="000000"/>
              <w:left w:val="nil" w:sz="4" w:space="0" w:color="000000"/>
              <w:bottom w:val="nil" w:sz="4" w:space="0" w:color="000000"/>
              <w:right w:val="nil" w:sz="4" w:space="0" w:color="000000"/>
            </w:tcBorders>
          </w:tcPr>
          <w:p>
            <w:pPr>
              <w:spacing w:before="60" w:after="60"/>
              <w:jc w:val="center"/>
            </w:pPr>
            <m:oMathPara>
              <m:oMathParaPr>
                <m:jc m:val="center"/>
              </m:oMathParaPr>
              <m:oMath>
                <m:sSub>
                  <m:e>
                    <m:r>
                      <m:t>E</m:t>
                    </m:r>
                  </m:e>
                  <m:sub>
                    <m:r>
                      <m:t>t</m:t>
                    </m:r>
                  </m:sub>
                </m:sSub>
                <m:r>
                  <m:rPr>
                    <m:sty m:val="p"/>
                  </m:rPr>
                  <m:t>=</m:t>
                </m:r>
                <m:sSub>
                  <m:e>
                    <m:r>
                      <m:t>E</m:t>
                    </m:r>
                  </m:e>
                  <m:sub>
                    <m:r>
                      <m:t>t</m:t>
                    </m:r>
                    <m:r>
                      <m:rPr>
                        <m:sty m:val="p"/>
                      </m:rPr>
                      <m:t>−</m:t>
                    </m:r>
                    <m:r>
                      <m:t>1</m:t>
                    </m:r>
                  </m:sub>
                </m:sSub>
                <m:r>
                  <m:rPr>
                    <m:sty m:val="p"/>
                  </m:rPr>
                  <m:t>+</m:t>
                </m:r>
                <m:d>
                  <m:dPr>
                    <m:begChr m:val="("/>
                    <m:endChr m:val=")"/>
                    <m:sepChr m:val=""/>
                    <m:grow/>
                  </m:dPr>
                  <m:e>
                    <m:sSub>
                      <m:e>
                        <m:r>
                          <m:t>η</m:t>
                        </m:r>
                      </m:e>
                      <m:sub>
                        <m:r>
                          <m:t>c</m:t>
                        </m:r>
                      </m:sub>
                    </m:sSub>
                    <m:sSubSup>
                      <m:e>
                        <m:r>
                          <m:t>P</m:t>
                        </m:r>
                      </m:e>
                      <m:sub>
                        <m:r>
                          <m:t>t</m:t>
                        </m:r>
                      </m:sub>
                      <m:sup>
                        <m:r>
                          <m:t>c</m:t>
                        </m:r>
                        <m:r>
                          <m:t>h</m:t>
                        </m:r>
                      </m:sup>
                    </m:sSubSup>
                    <m:r>
                      <m:rPr>
                        <m:sty m:val="p"/>
                      </m:rPr>
                      <m:t>−</m:t>
                    </m:r>
                    <m:sSubSup>
                      <m:e>
                        <m:r>
                          <m:t>P</m:t>
                        </m:r>
                      </m:e>
                      <m:sub>
                        <m:r>
                          <m:t>t</m:t>
                        </m:r>
                      </m:sub>
                      <m:sup>
                        <m:r>
                          <m:t>d</m:t>
                        </m:r>
                        <m:r>
                          <m:t>i</m:t>
                        </m:r>
                        <m:r>
                          <m:t>s</m:t>
                        </m:r>
                      </m:sup>
                    </m:sSubSup>
                    <m:r>
                      <m:rPr>
                        <m:sty m:val="p"/>
                      </m:rPr>
                      <m:t>/</m:t>
                    </m:r>
                    <m:sSub>
                      <m:e>
                        <m:r>
                          <m:t>η</m:t>
                        </m:r>
                      </m:e>
                      <m:sub>
                        <m:r>
                          <m:t>d</m:t>
                        </m:r>
                      </m:sub>
                    </m:sSub>
                  </m:e>
                </m:d>
                <m:r>
                  <m:t>Δ</m:t>
                </m:r>
                <m:r>
                  <m:t>t</m:t>
                </m:r>
                <m:r>
                  <m:rPr>
                    <m:sty m:val="p"/>
                  </m:rPr>
                  <m:t>,</m:t>
                </m:r>
              </m:oMath>
            </m:oMathPara>
          </w:p>
        </w:tc>
        <w:tc>
          <w:tcPr>
            <w:tcW w:type="dxa" w:w="850"/>
            <w:tcBorders>
              <w:top w:val="nil" w:sz="4" w:space="0" w:color="000000"/>
              <w:left w:val="nil" w:sz="4" w:space="0" w:color="000000"/>
              <w:bottom w:val="nil" w:sz="4" w:space="0" w:color="000000"/>
              <w:right w:val="nil" w:sz="4" w:space="0" w:color="000000"/>
            </w:tcBorders>
          </w:tcPr>
          <w:p>
            <w:pPr>
              <w:spacing w:before="60" w:after="60"/>
              <w:jc w:val="right"/>
            </w:pPr>
            <w:r>
              <w:rPr>
                <w:sz w:val="20"/>
              </w:rPr>
              <w:t>(11)</w:t>
            </w:r>
          </w:p>
        </w:tc>
      </w:tr>
    </w:tbl>
    <w:p>
      <w:pPr>
        <w:pStyle w:val="FirstParagraph"/>
      </w:pPr>
      <w:r>
        <w:t xml:space="preserve">together with the deficit balance of Section 2.5, the ramp limits on</w:t>
      </w:r>
      <w:r>
        <w:t xml:space="preserve"> </w:t>
      </w:r>
      <m:oMath>
        <m:sSub>
          <m:e>
            <m:r>
              <m:t>f</m:t>
            </m:r>
          </m:e>
          <m:sub>
            <m:r>
              <m:t>p</m:t>
            </m:r>
            <m:r>
              <m:rPr>
                <m:sty m:val="p"/>
              </m:rPr>
              <m:t>,</m:t>
            </m:r>
            <m:r>
              <m:t>t</m:t>
            </m:r>
          </m:sub>
        </m:sSub>
      </m:oMath>
      <w:r>
        <w:t xml:space="preserve"> </w:t>
      </w:r>
      <w:r>
        <w:t xml:space="preserve">and</w:t>
      </w:r>
      <w:r>
        <w:t xml:space="preserve"> </w:t>
      </w:r>
      <m:oMath>
        <m:sSub>
          <m:e>
            <m:r>
              <m:t>f</m:t>
            </m:r>
          </m:e>
          <m:sub>
            <m:r>
              <m:t>w</m:t>
            </m:r>
            <m:r>
              <m:t>i</m:t>
            </m:r>
            <m:r>
              <m:rPr>
                <m:sty m:val="p"/>
              </m:rPr>
              <m:t>,</m:t>
            </m:r>
            <m:r>
              <m:t>t</m:t>
            </m:r>
          </m:sub>
        </m:sSub>
      </m:oMath>
      <w:r>
        <w:t xml:space="preserve">, and the piecewise-linear demand</w:t>
      </w:r>
      <w:r>
        <w:t xml:space="preserve"> </w:t>
      </w:r>
      <m:oMath>
        <m:sSubSup>
          <m:e>
            <m:r>
              <m:t>P</m:t>
            </m:r>
          </m:e>
          <m:sub>
            <m:r>
              <m:t>t</m:t>
            </m:r>
          </m:sub>
          <m:sup>
            <m:r>
              <m:t>d</m:t>
            </m:r>
            <m:r>
              <m:t>e</m:t>
            </m:r>
            <m:r>
              <m:t>m</m:t>
            </m:r>
          </m:sup>
        </m:sSubSup>
      </m:oMath>
      <w:r>
        <w:t xml:space="preserve"> </w:t>
      </w:r>
      <w:r>
        <w:t xml:space="preserve">of the</w:t>
      </w:r>
      <w:r>
        <w:t xml:space="preserve"> </w:t>
      </w:r>
      <w:r>
        <w:t xml:space="preserve">lever groups. The first equation is the power balance and the second splits</w:t>
      </w:r>
      <w:r>
        <w:t xml:space="preserve"> </w:t>
      </w:r>
      <w:r>
        <w:t xml:space="preserve">the available wind into used and curtailed power. The heat balance requires</w:t>
      </w:r>
      <w:r>
        <w:t xml:space="preserve"> </w:t>
      </w:r>
      <w:r>
        <w:t xml:space="preserve">recovered exhaust heat plus electric heating, with heater efficiency</w:t>
      </w:r>
      <w:r>
        <w:t xml:space="preserve"> </w:t>
      </w:r>
      <m:oMath>
        <m:sSub>
          <m:e>
            <m:r>
              <m:t>η</m:t>
            </m:r>
          </m:e>
          <m:sub>
            <m:r>
              <m:t>h</m:t>
            </m:r>
          </m:sub>
        </m:sSub>
        <m:r>
          <m:rPr>
            <m:sty m:val="p"/>
          </m:rPr>
          <m:t>=</m:t>
        </m:r>
        <m:r>
          <m:t>0.99</m:t>
        </m:r>
      </m:oMath>
      <w:r>
        <w:t xml:space="preserve">, to cover the heat demand</w:t>
      </w:r>
      <w:r>
        <w:t xml:space="preserve"> </w:t>
      </w:r>
      <m:oMath>
        <m:r>
          <m:t>H</m:t>
        </m:r>
        <m:r>
          <m:rPr>
            <m:sty m:val="p"/>
          </m:rPr>
          <m:t>=</m:t>
        </m:r>
        <m:r>
          <m:t>3</m:t>
        </m:r>
      </m:oMath>
      <w:r>
        <w:t xml:space="preserve"> </w:t>
      </w:r>
      <w:r>
        <w:t xml:space="preserve">MW. The reserve</w:t>
      </w:r>
      <w:r>
        <w:t xml:space="preserve"> </w:t>
      </w:r>
      <w:r>
        <w:t xml:space="preserve">requirement</w:t>
      </w:r>
      <w:r>
        <w:t xml:space="preserve"> </w:t>
      </w:r>
      <m:oMath>
        <m:r>
          <m:t>R</m:t>
        </m:r>
        <m:r>
          <m:rPr>
            <m:sty m:val="p"/>
          </m:rPr>
          <m:t>=</m:t>
        </m:r>
        <m:r>
          <m:t>5</m:t>
        </m:r>
      </m:oMath>
      <w:r>
        <w:t xml:space="preserve"> </w:t>
      </w:r>
      <w:r>
        <w:t xml:space="preserve">MW follows LEOGO (Svendsen et al. 2023). A battery contributes</w:t>
      </w:r>
      <w:r>
        <w:t xml:space="preserve"> </w:t>
      </w:r>
      <w:r>
        <w:t xml:space="preserve">reserve</w:t>
      </w:r>
      <w:r>
        <w:t xml:space="preserve"> </w:t>
      </w:r>
      <m:oMath>
        <m:sSubSup>
          <m:e>
            <m:r>
              <m:t>P</m:t>
            </m:r>
          </m:e>
          <m:sub>
            <m:r>
              <m:t>t</m:t>
            </m:r>
          </m:sub>
          <m:sup>
            <m:r>
              <m:t>r</m:t>
            </m:r>
            <m:r>
              <m:t>e</m:t>
            </m:r>
            <m:r>
              <m:t>s</m:t>
            </m:r>
          </m:sup>
        </m:sSubSup>
      </m:oMath>
      <w:r>
        <w:t xml:space="preserve"> </w:t>
      </w:r>
      <w:r>
        <w:t xml:space="preserve">only up to its unused discharge power and only if its</w:t>
      </w:r>
      <w:r>
        <w:t xml:space="preserve"> </w:t>
      </w:r>
      <w:r>
        <w:t xml:space="preserve">stored energy can sustain that power for 30 min. The round-trip efficiency</w:t>
      </w:r>
      <w:r>
        <w:t xml:space="preserve"> </w:t>
      </w:r>
      <w:r>
        <w:t xml:space="preserve">of the battery is 0.9. At least one GT must be online because the wind</w:t>
      </w:r>
      <w:r>
        <w:t xml:space="preserve"> </w:t>
      </w:r>
      <w:r>
        <w:t xml:space="preserve">turbines are grid-following and a synchronous machine is needed for</w:t>
      </w:r>
      <w:r>
        <w:t xml:space="preserve"> </w:t>
      </w:r>
      <w:r>
        <w:t xml:space="preserve">frequency and voltage control; this assumption is varied in the</w:t>
      </w:r>
      <w:r>
        <w:t xml:space="preserve"> </w:t>
      </w:r>
      <w:r>
        <w:t xml:space="preserve">sensitivity analysis.</w:t>
      </w:r>
    </w:p>
    <w:p>
      <w:pPr>
        <w:pStyle w:val="BodyText"/>
      </w:pPr>
      <w:r>
        <w:t xml:space="preserve">The year is solved as 52 rolling one-week windows, each with an uncommitted</w:t>
      </w:r>
      <w:r>
        <w:t xml:space="preserve"> </w:t>
      </w:r>
      <w:r>
        <w:t xml:space="preserve">24 h look-ahead, so that each window ends with a realistic state for the</w:t>
      </w:r>
      <w:r>
        <w:t xml:space="preserve"> </w:t>
      </w:r>
      <w:r>
        <w:t xml:space="preserve">next. At the end of each look-ahead horizon the injection deficit may not</w:t>
      </w:r>
      <w:r>
        <w:t xml:space="preserve"> </w:t>
      </w:r>
      <w:r>
        <w:t xml:space="preserve">exceed, and the battery energy may not fall below, their values at the</w:t>
      </w:r>
      <w:r>
        <w:t xml:space="preserve"> </w:t>
      </w:r>
      <w:r>
        <w:t xml:space="preserve">start of the window, which prevents the optimizer from emptying the virtual</w:t>
      </w:r>
      <w:r>
        <w:t xml:space="preserve"> </w:t>
      </w:r>
      <w:r>
        <w:t xml:space="preserve">or real storage at the end of a window. Each window of 192 h has about 6,900</w:t>
      </w:r>
      <w:r>
        <w:t xml:space="preserve"> </w:t>
      </w:r>
      <w:r>
        <w:t xml:space="preserve">variables, of which 1,344 are binary, and 6,900 constraints, and HiGHS</w:t>
      </w:r>
      <w:r>
        <w:t xml:space="preserve"> </w:t>
      </w:r>
      <w:r>
        <w:t xml:space="preserve">solves it to within 0.5 % of the proven optimum. A full case-year takes 2–3 min on a</w:t>
      </w:r>
      <w:r>
        <w:t xml:space="preserve"> </w:t>
      </w:r>
      <w:r>
        <w:t xml:space="preserve">laptop-class processor.</w:t>
      </w:r>
    </w:p>
    <w:p>
      <w:pPr>
        <w:pStyle w:val="BodyText"/>
      </w:pPr>
      <w:r>
        <w:t xml:space="preserve">Because fuel is linear in power, the split of load between identical</w:t>
      </w:r>
      <w:r>
        <w:t xml:space="preserve"> </w:t>
      </w:r>
      <w:r>
        <w:t xml:space="preserve">running GTs does not change total fuel, and the solver’s split between them</w:t>
      </w:r>
      <w:r>
        <w:t xml:space="preserve"> </w:t>
      </w:r>
      <w:r>
        <w:t xml:space="preserve">is arbitrary. GT load is reported instead as shared in proportion to</w:t>
      </w:r>
      <w:r>
        <w:t xml:space="preserve"> </w:t>
      </w:r>
      <w:r>
        <w:t xml:space="preserve">rating, as with droop control in real operation, and an hour counts as a</w:t>
      </w:r>
      <w:r>
        <w:t xml:space="preserve"> </w:t>
      </w:r>
      <w:r>
        <w:t xml:space="preserve">low-load hour for a unit when this shared load is below 50 % of rating.</w:t>
      </w:r>
    </w:p>
    <w:bookmarkEnd w:id="29"/>
    <w:bookmarkStart w:id="30" w:name="Xaa908d93524e5850992bde4ff5ab044ac0fa324"/>
    <w:p>
      <w:pPr>
        <w:pStyle w:val="Heading2"/>
      </w:pPr>
      <w:r>
        <w:t xml:space="preserve">2.7 Weather years, sensitivity analysis and benchmark checks</w:t>
      </w:r>
    </w:p>
    <w:p>
      <w:pPr>
        <w:pStyle w:val="FirstParagraph"/>
      </w:pPr>
      <w:r>
        <w:t xml:space="preserve">To test whether 2023 is representative, Cases 1–4 were also run for each</w:t>
      </w:r>
      <w:r>
        <w:t xml:space="preserve"> </w:t>
      </w:r>
      <w:r>
        <w:t xml:space="preserve">weather year from 2014 to 2022 with ERA5 data at the same grid point and all</w:t>
      </w:r>
      <w:r>
        <w:t xml:space="preserve"> </w:t>
      </w:r>
      <w:r>
        <w:t xml:space="preserve">other inputs unchanged. The injection deficit limit was varied for 2016 and</w:t>
      </w:r>
      <w:r>
        <w:t xml:space="preserve"> </w:t>
      </w:r>
      <w:r>
        <w:t xml:space="preserve">2017 as well, the years in which the deficit reached its highest values.</w:t>
      </w:r>
    </w:p>
    <w:p>
      <w:pPr>
        <w:pStyle w:val="BodyText"/>
      </w:pPr>
      <w:r>
        <w:t xml:space="preserve">For the base year 2023, Cases 2–4 were rerun with one input changed at a</w:t>
      </w:r>
      <w:r>
        <w:t xml:space="preserve"> </w:t>
      </w:r>
      <w:r>
        <w:t xml:space="preserve">time:</w:t>
      </w:r>
    </w:p>
    <w:p>
      <w:pPr>
        <w:numPr>
          <w:ilvl w:val="0"/>
          <w:numId w:val="1005"/>
        </w:numPr>
        <w:pStyle w:val="Compact"/>
      </w:pPr>
      <w:r>
        <w:t xml:space="preserve">wind farm size (1–4 turbines, 15–60 MW);</w:t>
      </w:r>
    </w:p>
    <w:p>
      <w:pPr>
        <w:numPr>
          <w:ilvl w:val="0"/>
          <w:numId w:val="1005"/>
        </w:numPr>
        <w:pStyle w:val="Compact"/>
      </w:pPr>
      <w:r>
        <w:t xml:space="preserve">CO</w:t>
      </w:r>
      <w:r>
        <w:rPr>
          <w:vertAlign w:val="subscript"/>
        </w:rPr>
        <w:t xml:space="preserve">2</w:t>
      </w:r>
      <w:r>
        <w:t xml:space="preserve"> </w:t>
      </w:r>
      <w:r>
        <w:t xml:space="preserve">price (0.5–3.0 NOK/kg) and gas price (2–8 NOK/Sm³);</w:t>
      </w:r>
    </w:p>
    <w:p>
      <w:pPr>
        <w:numPr>
          <w:ilvl w:val="0"/>
          <w:numId w:val="1005"/>
        </w:numPr>
        <w:pStyle w:val="Compact"/>
      </w:pPr>
      <w:r>
        <w:t xml:space="preserve">battery size (up to 8 MW / 16 MWh);</w:t>
      </w:r>
    </w:p>
    <w:p>
      <w:pPr>
        <w:numPr>
          <w:ilvl w:val="0"/>
          <w:numId w:val="1005"/>
        </w:numPr>
        <w:pStyle w:val="Compact"/>
      </w:pPr>
      <w:r>
        <w:t xml:space="preserve">injection deficit limit (0, 24, 72 and 168 h);</w:t>
      </w:r>
    </w:p>
    <w:p>
      <w:pPr>
        <w:numPr>
          <w:ilvl w:val="0"/>
          <w:numId w:val="1005"/>
        </w:numPr>
        <w:pStyle w:val="Compact"/>
      </w:pPr>
      <w:r>
        <w:t xml:space="preserve">minimum number of GTs online (1 or 0, with an 8 MW / 8 MWh battery that</w:t>
      </w:r>
      <w:r>
        <w:t xml:space="preserve"> </w:t>
      </w:r>
      <w:r>
        <w:t xml:space="preserve">must then provide the reserve);</w:t>
      </w:r>
    </w:p>
    <w:p>
      <w:pPr>
        <w:numPr>
          <w:ilvl w:val="0"/>
          <w:numId w:val="1005"/>
        </w:numPr>
        <w:pStyle w:val="Compact"/>
      </w:pPr>
      <w:r>
        <w:t xml:space="preserve">GT fleet: three main units; two main units and one small unit, a Solar</w:t>
      </w:r>
      <w:r>
        <w:t xml:space="preserve"> </w:t>
      </w:r>
      <w:r>
        <w:t xml:space="preserve">Turbines Mars 100 rated 11.35 MW with 32.9 % ISO efficiency</w:t>
      </w:r>
      <w:r>
        <w:t xml:space="preserve"> </w:t>
      </w:r>
      <w:r>
        <w:t xml:space="preserve">(Solar Turbines n.d.) and the same relative part-load curve as the main units;</w:t>
      </w:r>
      <w:r>
        <w:t xml:space="preserve"> </w:t>
      </w:r>
      <w:r>
        <w:t xml:space="preserve">or the three main units with one small unit added;</w:t>
      </w:r>
    </w:p>
    <w:p>
      <w:pPr>
        <w:numPr>
          <w:ilvl w:val="0"/>
          <w:numId w:val="1005"/>
        </w:numPr>
        <w:pStyle w:val="Compact"/>
      </w:pPr>
      <w:r>
        <w:t xml:space="preserve">an operating practice that keeps two GTs online whatever the wind, as</w:t>
      </w:r>
      <w:r>
        <w:t xml:space="preserve"> </w:t>
      </w:r>
      <w:r>
        <w:t xml:space="preserve">some operators require for redundancy;</w:t>
      </w:r>
    </w:p>
    <w:p>
      <w:pPr>
        <w:numPr>
          <w:ilvl w:val="0"/>
          <w:numId w:val="1005"/>
        </w:numPr>
        <w:pStyle w:val="Compact"/>
      </w:pPr>
      <w:r>
        <w:t xml:space="preserve">GT minimum stable load (16, 30, 40 and 50 % of rating), since dry low-NOx</w:t>
      </w:r>
      <w:r>
        <w:t xml:space="preserve"> </w:t>
      </w:r>
      <w:r>
        <w:t xml:space="preserve">combustors often cannot keep their emissions within limits far below about</w:t>
      </w:r>
      <w:r>
        <w:t xml:space="preserve"> </w:t>
      </w:r>
      <w:r>
        <w:t xml:space="preserve">40–50 % load;</w:t>
      </w:r>
    </w:p>
    <w:p>
      <w:pPr>
        <w:numPr>
          <w:ilvl w:val="0"/>
          <w:numId w:val="1005"/>
        </w:numPr>
        <w:pStyle w:val="Compact"/>
      </w:pPr>
      <w:r>
        <w:t xml:space="preserve">a cost per injection pump start (0–20,000 NOK), with the number of running</w:t>
      </w:r>
      <w:r>
        <w:t xml:space="preserve"> </w:t>
      </w:r>
      <w:r>
        <w:t xml:space="preserve">pumps</w:t>
      </w:r>
      <w:r>
        <w:t xml:space="preserve"> </w:t>
      </w:r>
      <m:oMath>
        <m:sSub>
          <m:e>
            <m:r>
              <m:t>n</m:t>
            </m:r>
          </m:e>
          <m:sub>
            <m:r>
              <m:t>r</m:t>
            </m:r>
            <m:r>
              <m:t>u</m:t>
            </m:r>
            <m:r>
              <m:t>n</m:t>
            </m:r>
          </m:sub>
        </m:sSub>
        <m:r>
          <m:rPr>
            <m:sty m:val="p"/>
          </m:rPr>
          <m:t>=</m:t>
        </m:r>
        <m:r>
          <m:rPr>
            <m:sty m:val="p"/>
          </m:rPr>
          <m:t>⌈</m:t>
        </m:r>
        <m:sSub>
          <m:e>
            <m:r>
              <m:t>f</m:t>
            </m:r>
          </m:e>
          <m:sub>
            <m:r>
              <m:t>w</m:t>
            </m:r>
            <m:r>
              <m:t>i</m:t>
            </m:r>
          </m:sub>
        </m:sSub>
        <m:r>
          <m:t> </m:t>
        </m:r>
        <m:r>
          <m:t>n</m:t>
        </m:r>
        <m:r>
          <m:rPr>
            <m:sty m:val="p"/>
          </m:rPr>
          <m:t>⌉</m:t>
        </m:r>
      </m:oMath>
      <w:r>
        <w:t xml:space="preserve"> </w:t>
      </w:r>
      <w:r>
        <w:t xml:space="preserve">of Section 2.4 as an integer</w:t>
      </w:r>
      <w:r>
        <w:t xml:space="preserve"> </w:t>
      </w:r>
      <w:r>
        <w:t xml:space="preserve">variable;</w:t>
      </w:r>
    </w:p>
    <w:p>
      <w:pPr>
        <w:numPr>
          <w:ilvl w:val="0"/>
          <w:numId w:val="1005"/>
        </w:numPr>
        <w:pStyle w:val="Compact"/>
      </w:pPr>
      <w:r>
        <w:t xml:space="preserve">the reserve definition: a requirement that also covers 50 % or 100 % of the</w:t>
      </w:r>
      <w:r>
        <w:t xml:space="preserve"> </w:t>
      </w:r>
      <w:r>
        <w:t xml:space="preserve">wind power used,</w:t>
      </w:r>
      <w:r>
        <w:t xml:space="preserve"> </w:t>
      </w:r>
      <m:oMath>
        <m:sSub>
          <m:e>
            <m:r>
              <m:t>R</m:t>
            </m:r>
          </m:e>
          <m:sub>
            <m:r>
              <m:t>t</m:t>
            </m:r>
          </m:sub>
        </m:sSub>
        <m:r>
          <m:rPr>
            <m:sty m:val="p"/>
          </m:rPr>
          <m:t>=</m:t>
        </m:r>
        <m:r>
          <m:t>R</m:t>
        </m:r>
        <m:r>
          <m:rPr>
            <m:sty m:val="p"/>
          </m:rPr>
          <m:t>+</m:t>
        </m:r>
        <m:r>
          <m:t>k</m:t>
        </m:r>
        <m:r>
          <m:t> </m:t>
        </m:r>
        <m:sSubSup>
          <m:e>
            <m:r>
              <m:t>P</m:t>
            </m:r>
          </m:e>
          <m:sub>
            <m:r>
              <m:t>t</m:t>
            </m:r>
          </m:sub>
          <m:sup>
            <m:r>
              <m:t>w</m:t>
            </m:r>
          </m:sup>
        </m:sSubSup>
      </m:oMath>
      <w:r>
        <w:t xml:space="preserve">, and running injection pumps counted</w:t>
      </w:r>
      <w:r>
        <w:t xml:space="preserve"> </w:t>
      </w:r>
      <w:r>
        <w:t xml:space="preserve">as reserve because they can be tripped within seconds;</w:t>
      </w:r>
    </w:p>
    <w:p>
      <w:pPr>
        <w:numPr>
          <w:ilvl w:val="0"/>
          <w:numId w:val="1005"/>
        </w:numPr>
        <w:pStyle w:val="Compact"/>
      </w:pPr>
      <w:r>
        <w:t xml:space="preserve">the solver gap (0.1 % instead of 0.5 %), to check that the small battery</w:t>
      </w:r>
      <w:r>
        <w:t xml:space="preserve"> </w:t>
      </w:r>
      <w:r>
        <w:t xml:space="preserve">effect is not an artefact of the solver tolerance.</w:t>
      </w:r>
    </w:p>
    <w:p>
      <w:pPr>
        <w:pStyle w:val="FirstParagraph"/>
      </w:pPr>
      <w:r>
        <w:t xml:space="preserve">To test how far the results carry over to other platforms, Cases 2 and 3 were</w:t>
      </w:r>
      <w:r>
        <w:t xml:space="preserve"> </w:t>
      </w:r>
      <w:r>
        <w:t xml:space="preserve">also run with every electric consumer scaled by 0.6–1.2 (mean demand 11.3–22.6</w:t>
      </w:r>
      <w:r>
        <w:t xml:space="preserve"> </w:t>
      </w:r>
      <w:r>
        <w:t xml:space="preserve">MW), combined with a spinning reserve of 3, 5, 7 and 9 MW, 28 platforms in</w:t>
      </w:r>
      <w:r>
        <w:t xml:space="preserve"> </w:t>
      </w:r>
      <w:r>
        <w:t xml:space="preserve">total. Finally, the assumption of perfect wind foresight within each window</w:t>
      </w:r>
      <w:r>
        <w:t xml:space="preserve"> </w:t>
      </w:r>
      <w:r>
        <w:t xml:space="preserve">was tested with a schedule that is re-planned every hour over the next 24 h.</w:t>
      </w:r>
      <w:r>
        <w:t xml:space="preserve"> </w:t>
      </w:r>
      <w:r>
        <w:t xml:space="preserve">Only the wind of the current hour is known; every later hour is assumed equal</w:t>
      </w:r>
      <w:r>
        <w:t xml:space="preserve"> </w:t>
      </w:r>
      <w:r>
        <w:t xml:space="preserve">to it (persistence forecast). The same hourly re-planning with the actual wind isolates the effect of the forecast from that of the shorter horizon. Two rules for the injection deficit were compared: each plan must end with no more deficit than it started with, as in the weekly windows, or the deficit left at the end of the plan is valued at 25 % or 50 % of the GT fuel needed to catch it up later, 2,082 Sm³ per hour of full-rate injection. Deficit left at the end of the year is added to the fuel use at the full rate.</w:t>
      </w:r>
    </w:p>
    <w:p>
      <w:pPr>
        <w:pStyle w:val="BodyText"/>
      </w:pPr>
      <w:r>
        <w:t xml:space="preserve">The results were compared with independent values:</w:t>
      </w:r>
    </w:p>
    <w:p>
      <w:pPr>
        <w:numPr>
          <w:ilvl w:val="0"/>
          <w:numId w:val="1006"/>
        </w:numPr>
        <w:pStyle w:val="Compact"/>
      </w:pPr>
      <w:r>
        <w:rPr>
          <w:bCs/>
          <w:b/>
        </w:rPr>
        <w:t xml:space="preserve">platform power:</w:t>
      </w:r>
      <w:r>
        <w:t xml:space="preserve"> </w:t>
      </w:r>
      <w:r>
        <w:t xml:space="preserve">three real North Sea oil platforms</w:t>
      </w:r>
      <w:r>
        <w:t xml:space="preserve"> </w:t>
      </w:r>
      <w:r>
        <w:t xml:space="preserve">(Voldsund et al. 2013, 2014), six modeled platforms (Nguyen et al. 2013), the</w:t>
      </w:r>
      <w:r>
        <w:t xml:space="preserve"> </w:t>
      </w:r>
      <w:r>
        <w:t xml:space="preserve">Johan Castberg development plan (Statoil 2017), and the average demand</w:t>
      </w:r>
      <w:r>
        <w:t xml:space="preserve"> </w:t>
      </w:r>
      <w:r>
        <w:t xml:space="preserve">implied by Hywind Tampen (Equinor 2023);</w:t>
      </w:r>
    </w:p>
    <w:p>
      <w:pPr>
        <w:numPr>
          <w:ilvl w:val="0"/>
          <w:numId w:val="1006"/>
        </w:numPr>
        <w:pStyle w:val="Compact"/>
      </w:pPr>
      <w:r>
        <w:rPr>
          <w:bCs/>
          <w:b/>
        </w:rPr>
        <w:t xml:space="preserve">wind capacity factor:</w:t>
      </w:r>
      <w:r>
        <w:t xml:space="preserve"> </w:t>
      </w:r>
      <w:r>
        <w:t xml:space="preserve">Hywind Tampen (Equinor 2023; Norwegian Offshore Wind 2025);</w:t>
      </w:r>
    </w:p>
    <w:p>
      <w:pPr>
        <w:numPr>
          <w:ilvl w:val="0"/>
          <w:numId w:val="1006"/>
        </w:numPr>
        <w:pStyle w:val="Compact"/>
      </w:pPr>
      <w:r>
        <w:rPr>
          <w:bCs/>
          <w:b/>
        </w:rPr>
        <w:t xml:space="preserve">CO</w:t>
      </w:r>
      <w:r>
        <w:rPr>
          <w:vertAlign w:val="subscript"/>
          <w:bCs/>
          <w:b/>
        </w:rPr>
        <w:t xml:space="preserve">2</w:t>
      </w:r>
      <w:r>
        <w:rPr>
          <w:bCs/>
          <w:b/>
        </w:rPr>
        <w:t xml:space="preserve"> </w:t>
      </w:r>
      <w:r>
        <w:rPr>
          <w:bCs/>
          <w:b/>
        </w:rPr>
        <w:t xml:space="preserve">avoided per MWh of wind:</w:t>
      </w:r>
      <w:r>
        <w:t xml:space="preserve"> </w:t>
      </w:r>
      <w:r>
        <w:t xml:space="preserve">Hywind Tampen (Equinor 2023);</w:t>
      </w:r>
    </w:p>
    <w:p>
      <w:pPr>
        <w:numPr>
          <w:ilvl w:val="0"/>
          <w:numId w:val="1006"/>
        </w:numPr>
        <w:pStyle w:val="Compact"/>
      </w:pPr>
      <w:r>
        <w:rPr>
          <w:bCs/>
          <w:b/>
        </w:rPr>
        <w:t xml:space="preserve">water injection specific energy:</w:t>
      </w:r>
      <w:r>
        <w:t xml:space="preserve"> </w:t>
      </w:r>
      <w:r>
        <w:t xml:space="preserve">LEOGO (Svendsen et al. 2023);</w:t>
      </w:r>
    </w:p>
    <w:p>
      <w:pPr>
        <w:numPr>
          <w:ilvl w:val="0"/>
          <w:numId w:val="1006"/>
        </w:numPr>
        <w:pStyle w:val="Compact"/>
      </w:pPr>
      <w:r>
        <w:rPr>
          <w:bCs/>
          <w:b/>
        </w:rPr>
        <w:t xml:space="preserve">CO</w:t>
      </w:r>
      <w:r>
        <w:rPr>
          <w:vertAlign w:val="subscript"/>
          <w:bCs/>
          <w:b/>
        </w:rPr>
        <w:t xml:space="preserve">2</w:t>
      </w:r>
      <w:r>
        <w:rPr>
          <w:bCs/>
          <w:b/>
        </w:rPr>
        <w:t xml:space="preserve"> </w:t>
      </w:r>
      <w:r>
        <w:rPr>
          <w:bCs/>
          <w:b/>
        </w:rPr>
        <w:t xml:space="preserve">intensity:</w:t>
      </w:r>
      <w:r>
        <w:t xml:space="preserve"> </w:t>
      </w:r>
      <w:r>
        <w:t xml:space="preserve">the Norwegian shelf (Offshore Norge 2024) and</w:t>
      </w:r>
      <w:r>
        <w:t xml:space="preserve"> </w:t>
      </w:r>
      <w:r>
        <w:t xml:space="preserve">non-electrified hubs (Westwood Global Energy Group 2022);</w:t>
      </w:r>
    </w:p>
    <w:p>
      <w:pPr>
        <w:numPr>
          <w:ilvl w:val="0"/>
          <w:numId w:val="1006"/>
        </w:numPr>
        <w:pStyle w:val="Compact"/>
      </w:pPr>
      <w:r>
        <w:rPr>
          <w:bCs/>
          <w:b/>
        </w:rPr>
        <w:t xml:space="preserve">field data</w:t>
      </w:r>
      <w:r>
        <w:t xml:space="preserve"> </w:t>
      </w:r>
      <w:r>
        <w:t xml:space="preserve">for the Gullfaks, Snorre and Statfjord field centers,</w:t>
      </w:r>
      <w:r>
        <w:t xml:space="preserve"> </w:t>
      </w:r>
      <w:r>
        <w:t xml:space="preserve">2021–2024: CO</w:t>
      </w:r>
      <w:r>
        <w:rPr>
          <w:vertAlign w:val="subscript"/>
        </w:rPr>
        <w:t xml:space="preserve">2</w:t>
      </w:r>
      <w:r>
        <w:t xml:space="preserve"> </w:t>
      </w:r>
      <w:r>
        <w:t xml:space="preserve">to air, fuel gas and diesel use from Norskeutslipp</w:t>
      </w:r>
      <w:r>
        <w:t xml:space="preserve"> </w:t>
      </w:r>
      <w:r>
        <w:t xml:space="preserve">(Norwegian Environment Agency n.d.) and net production from the Norwegian Offshore</w:t>
      </w:r>
      <w:r>
        <w:t xml:space="preserve"> </w:t>
      </w:r>
      <w:r>
        <w:t xml:space="preserve">Directorate (n.d.a), summed over the fields processed at each</w:t>
      </w:r>
      <w:r>
        <w:t xml:space="preserve"> </w:t>
      </w:r>
      <w:r>
        <w:t xml:space="preserve">center.</w:t>
      </w:r>
    </w:p>
    <w:p>
      <w:pPr>
        <w:pStyle w:val="FirstParagraph"/>
      </w:pPr>
      <w:r>
        <w:t xml:space="preserve">The model components were verified by automated tests against hand</w:t>
      </w:r>
      <w:r>
        <w:t xml:space="preserve"> </w:t>
      </w:r>
      <w:r>
        <w:t xml:space="preserve">calculations and published values (Supplementary material, S5).</w:t>
      </w:r>
    </w:p>
    <w:p>
      <w:pPr>
        <w:pStyle w:val="BodyText"/>
      </w:pPr>
      <w:r>
        <w:t xml:space="preserve">The CO</w:t>
      </w:r>
      <w:r>
        <w:rPr>
          <w:vertAlign w:val="subscript"/>
        </w:rPr>
        <w:t xml:space="preserve">2</w:t>
      </w:r>
      <w:r>
        <w:t xml:space="preserve"> </w:t>
      </w:r>
      <w:r>
        <w:t xml:space="preserve">avoided per MWh of wind is computed as the difference in annual CO</w:t>
      </w:r>
      <w:r>
        <w:rPr>
          <w:vertAlign w:val="subscript"/>
        </w:rPr>
        <w:t xml:space="preserve">2</w:t>
      </w:r>
      <w:r>
        <w:t xml:space="preserve"> </w:t>
      </w:r>
      <w:r>
        <w:t xml:space="preserve">between Case 1 and a wind case, divided by the wind energy used in that</w:t>
      </w:r>
      <w:r>
        <w:t xml:space="preserve"> </w:t>
      </w:r>
      <w:r>
        <w:t xml:space="preserve">case. For the field data, the system boundary was checked by comparing the</w:t>
      </w:r>
      <w:r>
        <w:t xml:space="preserve"> </w:t>
      </w:r>
      <w:r>
        <w:t xml:space="preserve">reported oil volumes of the fields assigned to each center with the</w:t>
      </w:r>
      <w:r>
        <w:t xml:space="preserve"> </w:t>
      </w:r>
      <w:r>
        <w:t xml:space="preserve">center’s processing; they agree within 2 %. A single published value counts</w:t>
      </w:r>
      <w:r>
        <w:t xml:space="preserve"> </w:t>
      </w:r>
      <w:r>
        <w:t xml:space="preserve">as agreeing when the model is within ±20 %, and a published range when the</w:t>
      </w:r>
      <w:r>
        <w:t xml:space="preserve"> </w:t>
      </w:r>
      <w:r>
        <w:t xml:space="preserve">model lies inside it.</w:t>
      </w:r>
    </w:p>
    <w:bookmarkEnd w:id="30"/>
    <w:bookmarkStart w:id="31" w:name="economic-indicators"/>
    <w:p>
      <w:pPr>
        <w:pStyle w:val="Heading2"/>
      </w:pPr>
      <w:r>
        <w:t xml:space="preserve">2.8 Economic indicators</w:t>
      </w:r>
    </w:p>
    <w:p>
      <w:pPr>
        <w:pStyle w:val="FirstParagraph"/>
      </w:pPr>
      <w:r>
        <w:t xml:space="preserve">Two indicators are derived from the annual results, in real NOK. For the</w:t>
      </w:r>
      <w:r>
        <w:t xml:space="preserve"> </w:t>
      </w:r>
      <w:r>
        <w:t xml:space="preserve">wind farm, whose investment can be estimated, the abatement cost is</w:t>
      </w:r>
    </w:p>
    <w:tbl>
      <w:tblPr>
        <w:tblW w:type="auto" w:w="0"/>
        <w:tblLook w:firstColumn="0" w:firstRow="0" w:lastColumn="0" w:lastRow="0" w:noHBand="0" w:noVBand="1" w:val="0000"/>
        <w:tblBorders>
          <w:top w:val="nil" w:sz="4" w:space="0" w:color="000000"/>
          <w:left w:val="nil" w:sz="4" w:space="0" w:color="000000"/>
          <w:bottom w:val="nil" w:sz="4" w:space="0" w:color="000000"/>
          <w:right w:val="nil" w:sz="4" w:space="0" w:color="000000"/>
          <w:insideH w:val="nil" w:sz="4" w:space="0" w:color="000000"/>
          <w:insideV w:val="nil" w:sz="4" w:space="0" w:color="000000"/>
        </w:tblBorders>
      </w:tblPr>
      <w:tblGrid>
        <w:gridCol w:w="680"/>
        <w:gridCol w:w="7540"/>
        <w:gridCol w:w="850"/>
      </w:tblGrid>
      <w:tr>
        <w:tc>
          <w:tcPr>
            <w:tcW w:type="dxa" w:w="680"/>
            <w:tcBorders>
              <w:top w:val="nil" w:sz="4" w:space="0" w:color="000000"/>
              <w:left w:val="nil" w:sz="4" w:space="0" w:color="000000"/>
              <w:bottom w:val="nil" w:sz="4" w:space="0" w:color="000000"/>
              <w:right w:val="nil" w:sz="4" w:space="0" w:color="000000"/>
            </w:tcBorders>
          </w:tcPr>
          <w:p/>
        </w:tc>
        <w:tc>
          <w:tcPr>
            <w:tcW w:type="dxa" w:w="7540"/>
            <w:tcBorders>
              <w:top w:val="nil" w:sz="4" w:space="0" w:color="000000"/>
              <w:left w:val="nil" w:sz="4" w:space="0" w:color="000000"/>
              <w:bottom w:val="nil" w:sz="4" w:space="0" w:color="000000"/>
              <w:right w:val="nil" w:sz="4" w:space="0" w:color="000000"/>
            </w:tcBorders>
          </w:tcPr>
          <w:p>
            <w:pPr>
              <w:spacing w:before="60" w:after="60"/>
              <w:jc w:val="center"/>
            </w:pPr>
            <m:oMathPara>
              <m:oMathParaPr>
                <m:jc m:val="center"/>
              </m:oMathParaPr>
              <m:oMath>
                <m:sSub>
                  <m:e>
                    <m:r>
                      <m:t>c</m:t>
                    </m:r>
                  </m:e>
                  <m:sub>
                    <m:r>
                      <m:t>a</m:t>
                    </m:r>
                    <m:r>
                      <m:t>b</m:t>
                    </m:r>
                    <m:r>
                      <m:t>a</m:t>
                    </m:r>
                    <m:r>
                      <m:t>t</m:t>
                    </m:r>
                    <m:r>
                      <m:t>e</m:t>
                    </m:r>
                  </m:sub>
                </m:sSub>
                <m:r>
                  <m:rPr>
                    <m:sty m:val="p"/>
                  </m:rPr>
                  <m:t>=</m:t>
                </m:r>
                <m:f>
                  <m:fPr>
                    <m:type m:val="bar"/>
                  </m:fPr>
                  <m:num>
                    <m:r>
                      <m:t>I</m:t>
                    </m:r>
                    <m:r>
                      <m:t> </m:t>
                    </m:r>
                    <m:r>
                      <m:rPr>
                        <m:sty m:val="p"/>
                      </m:rPr>
                      <m:t>C</m:t>
                    </m:r>
                    <m:r>
                      <m:rPr>
                        <m:sty m:val="p"/>
                      </m:rPr>
                      <m:t>R</m:t>
                    </m:r>
                    <m:r>
                      <m:rPr>
                        <m:sty m:val="p"/>
                      </m:rPr>
                      <m:t>F</m:t>
                    </m:r>
                    <m:d>
                      <m:dPr>
                        <m:begChr m:val="("/>
                        <m:endChr m:val=")"/>
                        <m:sepChr m:val=""/>
                        <m:grow/>
                      </m:dPr>
                      <m:e>
                        <m:r>
                          <m:t>r</m:t>
                        </m:r>
                        <m:r>
                          <m:rPr>
                            <m:sty m:val="p"/>
                          </m:rPr>
                          <m:t>,</m:t>
                        </m:r>
                        <m:r>
                          <m:t>n</m:t>
                        </m:r>
                      </m:e>
                    </m:d>
                    <m:r>
                      <m:rPr>
                        <m:sty m:val="p"/>
                      </m:rPr>
                      <m:t>+</m:t>
                    </m:r>
                    <m:sSub>
                      <m:e>
                        <m:r>
                          <m:t>C</m:t>
                        </m:r>
                      </m:e>
                      <m:sub>
                        <m:r>
                          <m:t>O</m:t>
                        </m:r>
                        <m:r>
                          <m:rPr>
                            <m:sty m:val="p"/>
                          </m:rPr>
                          <m:t>&amp;</m:t>
                        </m:r>
                        <m:r>
                          <m:t>M</m:t>
                        </m:r>
                      </m:sub>
                    </m:sSub>
                    <m:r>
                      <m:rPr>
                        <m:sty m:val="p"/>
                      </m:rPr>
                      <m:t>−</m:t>
                    </m:r>
                    <m:r>
                      <m:t>Δ</m:t>
                    </m:r>
                    <m:sSub>
                      <m:e>
                        <m:r>
                          <m:t>C</m:t>
                        </m:r>
                      </m:e>
                      <m:sub>
                        <m:r>
                          <m:t>f</m:t>
                        </m:r>
                        <m:r>
                          <m:t>u</m:t>
                        </m:r>
                        <m:r>
                          <m:t>e</m:t>
                        </m:r>
                        <m:r>
                          <m:t>l</m:t>
                        </m:r>
                      </m:sub>
                    </m:sSub>
                  </m:num>
                  <m:den>
                    <m:r>
                      <m:t>Δ</m:t>
                    </m:r>
                    <m:sSub>
                      <m:e>
                        <m:r>
                          <m:t>m</m:t>
                        </m:r>
                      </m:e>
                      <m:sub>
                        <m:r>
                          <m:t>C</m:t>
                        </m:r>
                        <m:r>
                          <m:t>O</m:t>
                        </m:r>
                        <m:r>
                          <m:t>2</m:t>
                        </m:r>
                      </m:sub>
                    </m:sSub>
                  </m:den>
                </m:f>
                <m:r>
                  <m:rPr>
                    <m:sty m:val="p"/>
                  </m:rPr>
                  <m:t>,</m:t>
                </m:r>
                <m:r>
                  <m:t>  </m:t>
                </m:r>
                <m:r>
                  <m:rPr>
                    <m:sty m:val="p"/>
                  </m:rPr>
                  <m:t>C</m:t>
                </m:r>
                <m:r>
                  <m:rPr>
                    <m:sty m:val="p"/>
                  </m:rPr>
                  <m:t>R</m:t>
                </m:r>
                <m:r>
                  <m:rPr>
                    <m:sty m:val="p"/>
                  </m:rPr>
                  <m:t>F</m:t>
                </m:r>
                <m:d>
                  <m:dPr>
                    <m:begChr m:val="("/>
                    <m:endChr m:val=")"/>
                    <m:sepChr m:val=""/>
                    <m:grow/>
                  </m:dPr>
                  <m:e>
                    <m:r>
                      <m:t>r</m:t>
                    </m:r>
                    <m:r>
                      <m:rPr>
                        <m:sty m:val="p"/>
                      </m:rPr>
                      <m:t>,</m:t>
                    </m:r>
                    <m:r>
                      <m:t>n</m:t>
                    </m:r>
                  </m:e>
                </m:d>
                <m:r>
                  <m:rPr>
                    <m:sty m:val="p"/>
                  </m:rPr>
                  <m:t>=</m:t>
                </m:r>
                <m:f>
                  <m:fPr>
                    <m:type m:val="bar"/>
                  </m:fPr>
                  <m:num>
                    <m:r>
                      <m:t>r</m:t>
                    </m:r>
                  </m:num>
                  <m:den>
                    <m:r>
                      <m:t>1</m:t>
                    </m:r>
                    <m:r>
                      <m:rPr>
                        <m:sty m:val="p"/>
                      </m:rPr>
                      <m:t>−</m:t>
                    </m:r>
                    <m:sSup>
                      <m:e>
                        <m:d>
                          <m:dPr>
                            <m:begChr m:val="("/>
                            <m:endChr m:val=")"/>
                            <m:sepChr m:val=""/>
                            <m:grow/>
                          </m:dPr>
                          <m:e>
                            <m:r>
                              <m:t>1</m:t>
                            </m:r>
                            <m:r>
                              <m:rPr>
                                <m:sty m:val="p"/>
                              </m:rPr>
                              <m:t>+</m:t>
                            </m:r>
                            <m:r>
                              <m:t>r</m:t>
                            </m:r>
                          </m:e>
                        </m:d>
                      </m:e>
                      <m:sup>
                        <m:r>
                          <m:rPr>
                            <m:sty m:val="p"/>
                          </m:rPr>
                          <m:t>−</m:t>
                        </m:r>
                        <m:r>
                          <m:t>n</m:t>
                        </m:r>
                      </m:sup>
                    </m:sSup>
                  </m:den>
                </m:f>
                <m:r>
                  <m:rPr>
                    <m:sty m:val="p"/>
                  </m:rPr>
                  <m:t>,</m:t>
                </m:r>
              </m:oMath>
            </m:oMathPara>
          </w:p>
        </w:tc>
        <w:tc>
          <w:tcPr>
            <w:tcW w:type="dxa" w:w="850"/>
            <w:tcBorders>
              <w:top w:val="nil" w:sz="4" w:space="0" w:color="000000"/>
              <w:left w:val="nil" w:sz="4" w:space="0" w:color="000000"/>
              <w:bottom w:val="nil" w:sz="4" w:space="0" w:color="000000"/>
              <w:right w:val="nil" w:sz="4" w:space="0" w:color="000000"/>
            </w:tcBorders>
          </w:tcPr>
          <w:p>
            <w:pPr>
              <w:spacing w:before="60" w:after="60"/>
              <w:jc w:val="right"/>
            </w:pPr>
            <w:r>
              <w:rPr>
                <w:sz w:val="20"/>
              </w:rPr>
              <w:t>(12)</w:t>
            </w:r>
          </w:p>
        </w:tc>
      </w:tr>
    </w:tbl>
    <w:p>
      <w:pPr>
        <w:pStyle w:val="FirstParagraph"/>
      </w:pPr>
      <w:r>
        <w:t xml:space="preserve">where</w:t>
      </w:r>
      <w:r>
        <w:t xml:space="preserve"> </w:t>
      </w:r>
      <m:oMath>
        <m:r>
          <m:t>I</m:t>
        </m:r>
      </m:oMath>
      <w:r>
        <w:t xml:space="preserve"> </w:t>
      </w:r>
      <w:r>
        <w:t xml:space="preserve">is the investment,</w:t>
      </w:r>
      <w:r>
        <w:t xml:space="preserve"> </w:t>
      </w:r>
      <m:oMath>
        <m:sSub>
          <m:e>
            <m:r>
              <m:t>C</m:t>
            </m:r>
          </m:e>
          <m:sub>
            <m:r>
              <m:t>O</m:t>
            </m:r>
            <m:r>
              <m:rPr>
                <m:sty m:val="p"/>
              </m:rPr>
              <m:t>&amp;</m:t>
            </m:r>
            <m:r>
              <m:t>M</m:t>
            </m:r>
          </m:sub>
        </m:sSub>
      </m:oMath>
      <w:r>
        <w:t xml:space="preserve"> </w:t>
      </w:r>
      <w:r>
        <w:t xml:space="preserve">the annual operation and maintenance</w:t>
      </w:r>
      <w:r>
        <w:t xml:space="preserve"> </w:t>
      </w:r>
      <w:r>
        <w:t xml:space="preserve">cost,</w:t>
      </w:r>
      <w:r>
        <w:t xml:space="preserve"> </w:t>
      </w:r>
      <m:oMath>
        <m:r>
          <m:t>Δ</m:t>
        </m:r>
        <m:sSub>
          <m:e>
            <m:r>
              <m:t>C</m:t>
            </m:r>
          </m:e>
          <m:sub>
            <m:r>
              <m:t>f</m:t>
            </m:r>
            <m:r>
              <m:t>u</m:t>
            </m:r>
            <m:r>
              <m:t>e</m:t>
            </m:r>
            <m:r>
              <m:t>l</m:t>
            </m:r>
          </m:sub>
        </m:sSub>
      </m:oMath>
      <w:r>
        <w:t xml:space="preserve"> </w:t>
      </w:r>
      <w:r>
        <w:t xml:space="preserve">the annual value of the fuel saved and</w:t>
      </w:r>
      <w:r>
        <w:t xml:space="preserve"> </w:t>
      </w:r>
      <m:oMath>
        <m:r>
          <m:t>Δ</m:t>
        </m:r>
        <m:sSub>
          <m:e>
            <m:r>
              <m:t>m</m:t>
            </m:r>
          </m:e>
          <m:sub>
            <m:r>
              <m:t>C</m:t>
            </m:r>
            <m:r>
              <m:t>O</m:t>
            </m:r>
            <m:r>
              <m:t>2</m:t>
            </m:r>
          </m:sub>
        </m:sSub>
      </m:oMath>
      <w:r>
        <w:t xml:space="preserve"> </w:t>
      </w:r>
      <w:r>
        <w:t xml:space="preserve">the CO</w:t>
      </w:r>
      <w:r>
        <w:rPr>
          <w:vertAlign w:val="subscript"/>
        </w:rPr>
        <w:t xml:space="preserve">2</w:t>
      </w:r>
      <w:r>
        <w:t xml:space="preserve"> </w:t>
      </w:r>
      <w:r>
        <w:t xml:space="preserve">avoided per year. The CO</w:t>
      </w:r>
      <w:r>
        <w:rPr>
          <w:vertAlign w:val="subscript"/>
        </w:rPr>
        <w:t xml:space="preserve">2</w:t>
      </w:r>
      <w:r>
        <w:t xml:space="preserve"> </w:t>
      </w:r>
      <w:r>
        <w:t xml:space="preserve">price is not counted as a</w:t>
      </w:r>
      <w:r>
        <w:t xml:space="preserve"> </w:t>
      </w:r>
      <w:r>
        <w:t xml:space="preserve">saving, because the abatement cost is what is compared with the CO</w:t>
      </w:r>
      <w:r>
        <w:rPr>
          <w:vertAlign w:val="subscript"/>
        </w:rPr>
        <w:t xml:space="preserve">2</w:t>
      </w:r>
      <w:r>
        <w:t xml:space="preserve"> </w:t>
      </w:r>
      <w:r>
        <w:t xml:space="preserve">price.</w:t>
      </w:r>
      <w:r>
        <w:t xml:space="preserve"> </w:t>
      </w:r>
      <w:r>
        <w:t xml:space="preserve">The investment is scaled from Hywind Tampen, about NOK 7.4 billion for 88 MW</w:t>
      </w:r>
      <w:r>
        <w:t xml:space="preserve"> </w:t>
      </w:r>
      <w:r>
        <w:t xml:space="preserve">before public support (Equinor 2023), which gives 84 MNOK/MW for a</w:t>
      </w:r>
      <w:r>
        <w:t xml:space="preserve"> </w:t>
      </w:r>
      <w:r>
        <w:t xml:space="preserve">first-of-a-kind floating farm. Operation and maintenance cost 35–97 EUR/kW</w:t>
      </w:r>
      <w:r>
        <w:t xml:space="preserve"> </w:t>
      </w:r>
      <w:r>
        <w:t xml:space="preserve">per year, the range between the cheapest and the most expensive repair</w:t>
      </w:r>
      <w:r>
        <w:t xml:space="preserve"> </w:t>
      </w:r>
      <w:r>
        <w:t xml:space="preserve">strategy modeled for floating wind farms (Dighe et al. 2024). The real discount</w:t>
      </w:r>
      <w:r>
        <w:t xml:space="preserve"> </w:t>
      </w:r>
      <w:r>
        <w:t xml:space="preserve">rate is 7 %, with 4 % as an alternative, the two rates used in Norwegian</w:t>
      </w:r>
      <w:r>
        <w:t xml:space="preserve"> </w:t>
      </w:r>
      <w:r>
        <w:t xml:space="preserve">abatement-cost analyses of power from shore (Norwegian Petroleum Directorate n.d.), and the economic</w:t>
      </w:r>
      <w:r>
        <w:t xml:space="preserve"> </w:t>
      </w:r>
      <w:r>
        <w:t xml:space="preserve">life is 20 years. For flexibility, the battery and a small GT, whose</w:t>
      </w:r>
      <w:r>
        <w:t xml:space="preserve"> </w:t>
      </w:r>
      <w:r>
        <w:t xml:space="preserve">investment on an existing platform could not be estimated from published</w:t>
      </w:r>
      <w:r>
        <w:t xml:space="preserve"> </w:t>
      </w:r>
      <w:r>
        <w:t xml:space="preserve">data, the break-even investment is given instead: the present value over 20</w:t>
      </w:r>
      <w:r>
        <w:t xml:space="preserve"> </w:t>
      </w:r>
      <w:r>
        <w:t xml:space="preserve">years of the annual saving, for the fuel saved alone and for fuel plus CO</w:t>
      </w:r>
      <w:r>
        <w:rPr>
          <w:vertAlign w:val="subscript"/>
        </w:rPr>
        <w:t xml:space="preserve">2</w:t>
      </w:r>
      <w:r>
        <w:t xml:space="preserve"> </w:t>
      </w:r>
      <w:r>
        <w:t xml:space="preserve">cost.</w:t>
      </w:r>
    </w:p>
    <w:bookmarkEnd w:id="31"/>
    <w:bookmarkEnd w:id="32"/>
    <w:bookmarkStart w:id="68" w:name="results"/>
    <w:p>
      <w:pPr>
        <w:pStyle w:val="Heading1"/>
      </w:pPr>
      <w:r>
        <w:t xml:space="preserve">3. Results</w:t>
      </w:r>
    </w:p>
    <w:bookmarkStart w:id="36" w:name="demand-map-and-wind-resource"/>
    <w:p>
      <w:pPr>
        <w:pStyle w:val="Heading2"/>
      </w:pPr>
      <w:r>
        <w:t xml:space="preserve">3.1 Demand map and wind resource</w:t>
      </w:r>
    </w:p>
    <w:p>
      <w:pPr>
        <w:pStyle w:val="FirstParagraph"/>
      </w:pPr>
      <w:r>
        <w:t xml:space="preserve">The process model was first used to obtain the electric power of each consumer</w:t>
      </w:r>
      <w:r>
        <w:t xml:space="preserve"> </w:t>
      </w:r>
      <w:r>
        <w:t xml:space="preserve">at the design point (Table 1) and its variation with the lever positions (Fig.</w:t>
      </w:r>
      <w:r>
        <w:t xml:space="preserve"> </w:t>
      </w:r>
      <w:r>
        <w:t xml:space="preserve">2). Water injection is the largest consumer, with 9.2 MW or 45 % of the design</w:t>
      </w:r>
      <w:r>
        <w:t xml:space="preserve"> </w:t>
      </w:r>
      <w:r>
        <w:t xml:space="preserve">demand, and the only large deferrable one. Stopping injection at full</w:t>
      </w:r>
      <w:r>
        <w:t xml:space="preserve"> </w:t>
      </w:r>
      <w:r>
        <w:t xml:space="preserve">production lowers the demand from 20.3 MW to 10.7 MW, a swing of 9.6 MW that</w:t>
      </w:r>
      <w:r>
        <w:t xml:space="preserve"> </w:t>
      </w:r>
      <w:r>
        <w:t xml:space="preserve">costs no production as long as the injection is caught up. The sheddable</w:t>
      </w:r>
      <w:r>
        <w:t xml:space="preserve"> </w:t>
      </w:r>
      <w:r>
        <w:t xml:space="preserve">consumers tied to production and the must-run base load account for 7.2 MW and</w:t>
      </w:r>
      <w:r>
        <w:t xml:space="preserve"> </w:t>
      </w:r>
      <w:r>
        <w:t xml:space="preserve">3.5 MW, respectively. Neither lever curve is proportional to the lever</w:t>
      </w:r>
      <w:r>
        <w:t xml:space="preserve"> </w:t>
      </w:r>
      <w:r>
        <w:t xml:space="preserve">position. The power of the injection lever jumps to 0.9 MW as soon as one pump</w:t>
      </w:r>
      <w:r>
        <w:t xml:space="preserve"> </w:t>
      </w:r>
      <w:r>
        <w:t xml:space="preserve">runs, since the pump recycles below 30 % of its flow, and increases linearly</w:t>
      </w:r>
      <w:r>
        <w:t xml:space="preserve"> </w:t>
      </w:r>
      <w:r>
        <w:t xml:space="preserve">from there. The production lever shows a step just above a rate of 50 %, where</w:t>
      </w:r>
      <w:r>
        <w:t xml:space="preserve"> </w:t>
      </w:r>
      <w:r>
        <w:t xml:space="preserve">the second export compressor train must start at its surge limit and adds 0.75</w:t>
      </w:r>
      <w:r>
        <w:t xml:space="preserve"> </w:t>
      </w:r>
      <w:r>
        <w:t xml:space="preserve">MW. Reducing production from 100 % to 50 % therefore saves only 3.2 MW, about</w:t>
      </w:r>
      <w:r>
        <w:t xml:space="preserve"> </w:t>
      </w:r>
      <w:r>
        <w:t xml:space="preserve">a third of the reduction offered by the injection lever.</w:t>
      </w:r>
    </w:p>
    <w:p>
      <w:pPr>
        <w:pStyle w:val="Figure"/>
      </w:pPr>
      <w:r>
        <w:drawing>
          <wp:inline>
            <wp:extent cx="5759999" cy="2368386"/>
            <wp:effectExtent b="0" l="0" r="0" t="0"/>
            <wp:docPr descr="" title="" id="34" name="Picture"/>
            <a:graphic>
              <a:graphicData uri="http://schemas.openxmlformats.org/drawingml/2006/picture">
                <pic:pic>
                  <pic:nvPicPr>
                    <pic:cNvPr descr="results/paper/fig02_demand_map.png" id="35" name="Picture"/>
                    <pic:cNvPicPr>
                      <a:picLocks noChangeArrowheads="1" noChangeAspect="1"/>
                    </pic:cNvPicPr>
                  </pic:nvPicPr>
                  <pic:blipFill>
                    <a:blip r:embed="rId33"/>
                    <a:stretch>
                      <a:fillRect/>
                    </a:stretch>
                  </pic:blipFill>
                  <pic:spPr bwMode="auto">
                    <a:xfrm>
                      <a:off x="0" y="0"/>
                      <a:ext cx="5759999" cy="2368386"/>
                    </a:xfrm>
                    <a:prstGeom prst="rect">
                      <a:avLst/>
                    </a:prstGeom>
                    <a:noFill/>
                    <a:ln w="9525">
                      <a:noFill/>
                      <a:headEnd/>
                      <a:tailEnd/>
                    </a:ln>
                  </pic:spPr>
                </pic:pic>
              </a:graphicData>
            </a:graphic>
          </wp:inline>
        </w:drawing>
      </w:r>
    </w:p>
    <w:p>
      <w:pPr>
        <w:pStyle w:val="FigureCaption"/>
      </w:pPr>
      <w:r>
        <w:rPr>
          <w:bCs/>
          <w:b/>
        </w:rPr>
        <w:t xml:space="preserve">Figure 2.</w:t>
      </w:r>
      <w:r>
        <w:t xml:space="preserve"> </w:t>
      </w:r>
      <w:r>
        <w:t xml:space="preserve">Demand map. Left: electric power at design by consumer, colored by flexibility class. Right: power of the production (sheddable) and injection (flexible) levers against lever position.</w:t>
      </w:r>
    </w:p>
    <w:p>
      <w:pPr>
        <w:pStyle w:val="BodyText"/>
      </w:pPr>
      <w:r>
        <w:t xml:space="preserve">The ERA5 data give a mean wind speed of 9.4 m/s at 100 m and 9.8 m/s at hub</w:t>
      </w:r>
      <w:r>
        <w:t xml:space="preserve"> </w:t>
      </w:r>
      <w:r>
        <w:t xml:space="preserve">height, and a capacity factor of 50.9 % for the 30 MW farm in 2023 (Figure S1).</w:t>
      </w:r>
      <w:r>
        <w:t xml:space="preserve"> </w:t>
      </w:r>
      <w:r>
        <w:t xml:space="preserve">The output is seasonal, with monthly capacity factors of 63–68 % in January</w:t>
      </w:r>
      <w:r>
        <w:t xml:space="preserve"> </w:t>
      </w:r>
      <w:r>
        <w:t xml:space="preserve">and February and 36–37 % from June to August. The farm delivers its maximum of</w:t>
      </w:r>
      <w:r>
        <w:t xml:space="preserve"> </w:t>
      </w:r>
      <w:r>
        <w:t xml:space="preserve">26.5 MW in 40 % of the hours and nothing in 9.6 % of the hours, mainly during</w:t>
      </w:r>
      <w:r>
        <w:t xml:space="preserve"> </w:t>
      </w:r>
      <w:r>
        <w:t xml:space="preserve">calm periods, and the available wind power exceeds the design demand of 20.3</w:t>
      </w:r>
      <w:r>
        <w:t xml:space="preserve"> </w:t>
      </w:r>
      <w:r>
        <w:t xml:space="preserve">MW in 4,017 h. The farm can thus cover the whole platform demand for long</w:t>
      </w:r>
      <w:r>
        <w:t xml:space="preserve"> </w:t>
      </w:r>
      <w:r>
        <w:t xml:space="preserve">periods, but it also leaves frequent and sometimes long gaps that must be</w:t>
      </w:r>
      <w:r>
        <w:t xml:space="preserve"> </w:t>
      </w:r>
      <w:r>
        <w:t xml:space="preserve">filled by the GTs.</w:t>
      </w:r>
    </w:p>
    <w:bookmarkEnd w:id="36"/>
    <w:bookmarkStart w:id="40" w:name="comparison-of-the-four-cases"/>
    <w:p>
      <w:pPr>
        <w:pStyle w:val="Heading2"/>
      </w:pPr>
      <w:r>
        <w:t xml:space="preserve">3.2 Comparison of the four cases</w:t>
      </w:r>
    </w:p>
    <w:p>
      <w:pPr>
        <w:pStyle w:val="FirstParagraph"/>
        <w:keepNext/>
      </w:pPr>
      <w:r>
        <w:rPr>
          <w:bCs/>
          <w:b/>
        </w:rPr>
        <w:t xml:space="preserve">Table 2.</w:t>
      </w:r>
      <w:r>
        <w:t xml:space="preserve"> </w:t>
      </w:r>
      <w:r>
        <w:t xml:space="preserve">Annual results for the four cases (2023).</w:t>
      </w:r>
    </w:p>
    <w:tbl>
      <w:tblPr>
        <w:tblStyle w:val="Table"/>
        <w:tblW w:type="pct" w:w="5000"/>
        <w:tblLook w:firstRow="1" w:lastRow="0" w:firstColumn="0" w:lastColumn="0" w:noHBand="0" w:noVBand="0" w:val="0020"/>
        <w:jc w:val="start"/>
        <w:tblBorders>
          <w:top w:val="single" w:sz="4" w:space="0" w:color="000000"/>
          <w:bottom w:val="single" w:sz="4" w:space="0" w:color="000000"/>
          <w:left w:val="nil" w:sz="4" w:space="0" w:color="000000"/>
          <w:right w:val="nil" w:sz="4" w:space="0" w:color="000000"/>
          <w:insideH w:val="nil" w:sz="4" w:space="0" w:color="000000"/>
          <w:insideV w:val="nil" w:sz="4" w:space="0" w:color="000000"/>
        </w:tblBorders>
      </w:tblPr>
      <w:tblGrid>
        <w:gridCol w:w="3224"/>
        <w:gridCol w:w="1040"/>
        <w:gridCol w:w="1351"/>
        <w:gridCol w:w="1664"/>
        <w:gridCol w:w="2080"/>
      </w:tblGrid>
      <w:tr>
        <w:trPr>
          <w:tblHeader w:val="true"/>
          <w:tblHeader/>
        </w:trPr>
        <w:tc>
          <w:tcPr>
            <w:tcW w:type="dxa" w:w="3224"/>
            <w:tcBorders>
              <w:bottom w:val="single" w:sz="4" w:space="0" w:color="000000"/>
            </w:tcBorders>
          </w:tcPr>
          <w:p>
            <w:pPr>
              <w:pStyle w:val="Compact"/>
              <w:spacing w:line="240" w:lineRule="auto" w:after="20"/>
              <w:jc w:val="left"/>
            </w:pPr>
          </w:p>
        </w:tc>
        <w:tc>
          <w:tcPr>
            <w:tcW w:type="dxa" w:w="1040"/>
            <w:tcBorders>
              <w:bottom w:val="single" w:sz="4" w:space="0" w:color="000000"/>
            </w:tcBorders>
          </w:tcPr>
          <w:p>
            <w:pPr>
              <w:pStyle w:val="Compact"/>
              <w:spacing w:line="240" w:lineRule="auto" w:after="20"/>
              <w:jc w:val="left"/>
            </w:pPr>
            <w:r>
              <w:rPr>
                <w:b/>
                <w:sz w:val="20"/>
              </w:rPr>
              <w:t xml:space="preserve">1 GTs only</w:t>
            </w:r>
          </w:p>
        </w:tc>
        <w:tc>
          <w:tcPr>
            <w:tcW w:type="dxa" w:w="1351"/>
            <w:tcBorders>
              <w:bottom w:val="single" w:sz="4" w:space="0" w:color="000000"/>
            </w:tcBorders>
          </w:tcPr>
          <w:p>
            <w:pPr>
              <w:pStyle w:val="Compact"/>
              <w:spacing w:line="240" w:lineRule="auto" w:after="20"/>
              <w:jc w:val="left"/>
            </w:pPr>
            <w:r>
              <w:rPr>
                <w:b/>
                <w:sz w:val="20"/>
              </w:rPr>
              <w:t xml:space="preserve">2 Wind, fixed</w:t>
            </w:r>
          </w:p>
        </w:tc>
        <w:tc>
          <w:tcPr>
            <w:tcW w:type="dxa" w:w="1664"/>
            <w:tcBorders>
              <w:bottom w:val="single" w:sz="4" w:space="0" w:color="000000"/>
            </w:tcBorders>
          </w:tcPr>
          <w:p>
            <w:pPr>
              <w:pStyle w:val="Compact"/>
              <w:spacing w:line="240" w:lineRule="auto" w:after="20"/>
              <w:jc w:val="left"/>
            </w:pPr>
            <w:r>
              <w:rPr>
                <w:b/>
                <w:sz w:val="20"/>
              </w:rPr>
              <w:t xml:space="preserve">3 Wind, flexible</w:t>
            </w:r>
          </w:p>
        </w:tc>
        <w:tc>
          <w:tcPr>
            <w:tcW w:type="dxa" w:w="2080"/>
            <w:tcBorders>
              <w:bottom w:val="single" w:sz="4" w:space="0" w:color="000000"/>
            </w:tcBorders>
          </w:tcPr>
          <w:p>
            <w:pPr>
              <w:pStyle w:val="Compact"/>
              <w:spacing w:line="240" w:lineRule="auto" w:after="20"/>
              <w:jc w:val="left"/>
            </w:pPr>
            <w:r>
              <w:rPr>
                <w:b/>
                <w:sz w:val="20"/>
              </w:rPr>
              <w:t xml:space="preserve">4 Flexible + battery</w:t>
            </w:r>
          </w:p>
        </w:tc>
      </w:tr>
      <w:tr>
        <w:tc>
          <w:tcPr>
            <w:tcW w:type="dxa" w:w="3224"/>
          </w:tcPr>
          <w:p>
            <w:pPr>
              <w:pStyle w:val="Compact"/>
              <w:spacing w:line="240" w:lineRule="auto" w:after="20"/>
              <w:jc w:val="left"/>
            </w:pPr>
            <w:r>
              <w:rPr>
                <w:sz w:val="20"/>
              </w:rPr>
              <w:t xml:space="preserve">CO</w:t>
            </w:r>
            <w:r>
              <w:rPr>
                <w:sz w:val="20"/>
                <w:vertAlign w:val="subscript"/>
              </w:rPr>
              <w:t xml:space="preserve">2</w:t>
            </w:r>
            <w:r>
              <w:rPr>
                <w:sz w:val="20"/>
              </w:rPr>
              <w:t xml:space="preserve"> </w:t>
            </w:r>
            <w:r>
              <w:rPr>
                <w:sz w:val="20"/>
              </w:rPr>
              <w:t xml:space="preserve">[kt/yr]</w:t>
            </w:r>
          </w:p>
        </w:tc>
        <w:tc>
          <w:tcPr>
            <w:tcW w:type="dxa" w:w="1040"/>
          </w:tcPr>
          <w:p>
            <w:pPr>
              <w:pStyle w:val="Compact"/>
              <w:spacing w:line="240" w:lineRule="auto" w:after="20"/>
              <w:jc w:val="left"/>
            </w:pPr>
            <w:r>
              <w:rPr>
                <w:sz w:val="20"/>
              </w:rPr>
              <w:t xml:space="preserve">127.7</w:t>
            </w:r>
          </w:p>
        </w:tc>
        <w:tc>
          <w:tcPr>
            <w:tcW w:type="dxa" w:w="1351"/>
          </w:tcPr>
          <w:p>
            <w:pPr>
              <w:pStyle w:val="Compact"/>
              <w:spacing w:line="240" w:lineRule="auto" w:after="20"/>
              <w:jc w:val="left"/>
            </w:pPr>
            <w:r>
              <w:rPr>
                <w:sz w:val="20"/>
              </w:rPr>
              <w:t xml:space="preserve">64.7</w:t>
            </w:r>
          </w:p>
        </w:tc>
        <w:tc>
          <w:tcPr>
            <w:tcW w:type="dxa" w:w="1664"/>
          </w:tcPr>
          <w:p>
            <w:pPr>
              <w:pStyle w:val="Compact"/>
              <w:spacing w:line="240" w:lineRule="auto" w:after="20"/>
              <w:jc w:val="left"/>
            </w:pPr>
            <w:r>
              <w:rPr>
                <w:sz w:val="20"/>
              </w:rPr>
              <w:t xml:space="preserve">57.5</w:t>
            </w:r>
          </w:p>
        </w:tc>
        <w:tc>
          <w:tcPr>
            <w:tcW w:type="dxa" w:w="2080"/>
          </w:tcPr>
          <w:p>
            <w:pPr>
              <w:pStyle w:val="Compact"/>
              <w:spacing w:line="240" w:lineRule="auto" w:after="20"/>
              <w:jc w:val="left"/>
            </w:pPr>
            <w:r>
              <w:rPr>
                <w:sz w:val="20"/>
              </w:rPr>
              <w:t xml:space="preserve">57.2</w:t>
            </w:r>
          </w:p>
        </w:tc>
      </w:tr>
      <w:tr>
        <w:tc>
          <w:tcPr>
            <w:tcW w:type="dxa" w:w="3224"/>
          </w:tcPr>
          <w:p>
            <w:pPr>
              <w:pStyle w:val="Compact"/>
              <w:spacing w:line="240" w:lineRule="auto" w:after="20"/>
              <w:jc w:val="left"/>
            </w:pPr>
            <w:r>
              <w:rPr>
                <w:sz w:val="20"/>
              </w:rPr>
              <w:t xml:space="preserve">Reduction vs Case 1</w:t>
            </w:r>
          </w:p>
        </w:tc>
        <w:tc>
          <w:tcPr>
            <w:tcW w:type="dxa" w:w="1040"/>
          </w:tcPr>
          <w:p>
            <w:pPr>
              <w:pStyle w:val="Compact"/>
              <w:spacing w:line="240" w:lineRule="auto" w:after="20"/>
              <w:jc w:val="left"/>
            </w:pPr>
            <w:r>
              <w:rPr>
                <w:sz w:val="20"/>
              </w:rPr>
              <w:t xml:space="preserve">–</w:t>
            </w:r>
          </w:p>
        </w:tc>
        <w:tc>
          <w:tcPr>
            <w:tcW w:type="dxa" w:w="1351"/>
          </w:tcPr>
          <w:p>
            <w:pPr>
              <w:pStyle w:val="Compact"/>
              <w:spacing w:line="240" w:lineRule="auto" w:after="20"/>
              <w:jc w:val="left"/>
            </w:pPr>
            <w:r>
              <w:rPr>
                <w:sz w:val="20"/>
              </w:rPr>
              <w:t xml:space="preserve">49.4 %</w:t>
            </w:r>
          </w:p>
        </w:tc>
        <w:tc>
          <w:tcPr>
            <w:tcW w:type="dxa" w:w="1664"/>
          </w:tcPr>
          <w:p>
            <w:pPr>
              <w:pStyle w:val="Compact"/>
              <w:spacing w:line="240" w:lineRule="auto" w:after="20"/>
              <w:jc w:val="left"/>
            </w:pPr>
            <w:r>
              <w:rPr>
                <w:sz w:val="20"/>
              </w:rPr>
              <w:t xml:space="preserve">55.0 %</w:t>
            </w:r>
          </w:p>
        </w:tc>
        <w:tc>
          <w:tcPr>
            <w:tcW w:type="dxa" w:w="2080"/>
          </w:tcPr>
          <w:p>
            <w:pPr>
              <w:pStyle w:val="Compact"/>
              <w:spacing w:line="240" w:lineRule="auto" w:after="20"/>
              <w:jc w:val="left"/>
            </w:pPr>
            <w:r>
              <w:rPr>
                <w:sz w:val="20"/>
              </w:rPr>
              <w:t xml:space="preserve">55.2 %</w:t>
            </w:r>
          </w:p>
        </w:tc>
      </w:tr>
      <w:tr>
        <w:tc>
          <w:tcPr>
            <w:tcW w:type="dxa" w:w="3224"/>
          </w:tcPr>
          <w:p>
            <w:pPr>
              <w:pStyle w:val="Compact"/>
              <w:spacing w:line="240" w:lineRule="auto" w:after="20"/>
              <w:jc w:val="left"/>
            </w:pPr>
            <w:r>
              <w:rPr>
                <w:sz w:val="20"/>
              </w:rPr>
              <w:t xml:space="preserve">Fuel gas [MSm³/yr]</w:t>
            </w:r>
          </w:p>
        </w:tc>
        <w:tc>
          <w:tcPr>
            <w:tcW w:type="dxa" w:w="1040"/>
          </w:tcPr>
          <w:p>
            <w:pPr>
              <w:pStyle w:val="Compact"/>
              <w:spacing w:line="240" w:lineRule="auto" w:after="20"/>
              <w:jc w:val="left"/>
            </w:pPr>
            <w:r>
              <w:rPr>
                <w:sz w:val="20"/>
              </w:rPr>
              <w:t xml:space="preserve">54.6</w:t>
            </w:r>
          </w:p>
        </w:tc>
        <w:tc>
          <w:tcPr>
            <w:tcW w:type="dxa" w:w="1351"/>
          </w:tcPr>
          <w:p>
            <w:pPr>
              <w:pStyle w:val="Compact"/>
              <w:spacing w:line="240" w:lineRule="auto" w:after="20"/>
              <w:jc w:val="left"/>
            </w:pPr>
            <w:r>
              <w:rPr>
                <w:sz w:val="20"/>
              </w:rPr>
              <w:t xml:space="preserve">27.6</w:t>
            </w:r>
          </w:p>
        </w:tc>
        <w:tc>
          <w:tcPr>
            <w:tcW w:type="dxa" w:w="1664"/>
          </w:tcPr>
          <w:p>
            <w:pPr>
              <w:pStyle w:val="Compact"/>
              <w:spacing w:line="240" w:lineRule="auto" w:after="20"/>
              <w:jc w:val="left"/>
            </w:pPr>
            <w:r>
              <w:rPr>
                <w:sz w:val="20"/>
              </w:rPr>
              <w:t xml:space="preserve">24.6</w:t>
            </w:r>
          </w:p>
        </w:tc>
        <w:tc>
          <w:tcPr>
            <w:tcW w:type="dxa" w:w="2080"/>
          </w:tcPr>
          <w:p>
            <w:pPr>
              <w:pStyle w:val="Compact"/>
              <w:spacing w:line="240" w:lineRule="auto" w:after="20"/>
              <w:jc w:val="left"/>
            </w:pPr>
            <w:r>
              <w:rPr>
                <w:sz w:val="20"/>
              </w:rPr>
              <w:t xml:space="preserve">24.4</w:t>
            </w:r>
          </w:p>
        </w:tc>
      </w:tr>
      <w:tr>
        <w:tc>
          <w:tcPr>
            <w:tcW w:type="dxa" w:w="3224"/>
          </w:tcPr>
          <w:p>
            <w:pPr>
              <w:pStyle w:val="Compact"/>
              <w:spacing w:line="240" w:lineRule="auto" w:after="20"/>
              <w:jc w:val="left"/>
            </w:pPr>
            <w:r>
              <w:rPr>
                <w:sz w:val="20"/>
              </w:rPr>
              <w:t xml:space="preserve">GT running [unit-h/yr]</w:t>
            </w:r>
          </w:p>
        </w:tc>
        <w:tc>
          <w:tcPr>
            <w:tcW w:type="dxa" w:w="1040"/>
          </w:tcPr>
          <w:p>
            <w:pPr>
              <w:pStyle w:val="Compact"/>
              <w:spacing w:line="240" w:lineRule="auto" w:after="20"/>
              <w:jc w:val="left"/>
            </w:pPr>
            <w:r>
              <w:rPr>
                <w:sz w:val="20"/>
              </w:rPr>
              <w:t xml:space="preserve">17,520</w:t>
            </w:r>
          </w:p>
        </w:tc>
        <w:tc>
          <w:tcPr>
            <w:tcW w:type="dxa" w:w="1351"/>
          </w:tcPr>
          <w:p>
            <w:pPr>
              <w:pStyle w:val="Compact"/>
              <w:spacing w:line="240" w:lineRule="auto" w:after="20"/>
              <w:jc w:val="left"/>
            </w:pPr>
            <w:r>
              <w:rPr>
                <w:sz w:val="20"/>
              </w:rPr>
              <w:t xml:space="preserve">10,462</w:t>
            </w:r>
          </w:p>
        </w:tc>
        <w:tc>
          <w:tcPr>
            <w:tcW w:type="dxa" w:w="1664"/>
          </w:tcPr>
          <w:p>
            <w:pPr>
              <w:pStyle w:val="Compact"/>
              <w:spacing w:line="240" w:lineRule="auto" w:after="20"/>
              <w:jc w:val="left"/>
            </w:pPr>
            <w:r>
              <w:rPr>
                <w:sz w:val="20"/>
              </w:rPr>
              <w:t xml:space="preserve">8,788</w:t>
            </w:r>
          </w:p>
        </w:tc>
        <w:tc>
          <w:tcPr>
            <w:tcW w:type="dxa" w:w="2080"/>
          </w:tcPr>
          <w:p>
            <w:pPr>
              <w:pStyle w:val="Compact"/>
              <w:spacing w:line="240" w:lineRule="auto" w:after="20"/>
              <w:jc w:val="left"/>
            </w:pPr>
            <w:r>
              <w:rPr>
                <w:sz w:val="20"/>
              </w:rPr>
              <w:t xml:space="preserve">8,760</w:t>
            </w:r>
          </w:p>
        </w:tc>
      </w:tr>
      <w:tr>
        <w:tc>
          <w:tcPr>
            <w:tcW w:type="dxa" w:w="3224"/>
          </w:tcPr>
          <w:p>
            <w:pPr>
              <w:pStyle w:val="Compact"/>
              <w:spacing w:line="240" w:lineRule="auto" w:after="20"/>
              <w:jc w:val="left"/>
            </w:pPr>
            <w:r>
              <w:rPr>
                <w:sz w:val="20"/>
              </w:rPr>
              <w:t xml:space="preserve">GT below 50 % load [unit-h/yr]</w:t>
            </w:r>
          </w:p>
        </w:tc>
        <w:tc>
          <w:tcPr>
            <w:tcW w:type="dxa" w:w="1040"/>
          </w:tcPr>
          <w:p>
            <w:pPr>
              <w:pStyle w:val="Compact"/>
              <w:spacing w:line="240" w:lineRule="auto" w:after="20"/>
              <w:jc w:val="left"/>
            </w:pPr>
            <w:r>
              <w:rPr>
                <w:sz w:val="20"/>
              </w:rPr>
              <w:t xml:space="preserve">17,520</w:t>
            </w:r>
          </w:p>
        </w:tc>
        <w:tc>
          <w:tcPr>
            <w:tcW w:type="dxa" w:w="1351"/>
          </w:tcPr>
          <w:p>
            <w:pPr>
              <w:pStyle w:val="Compact"/>
              <w:spacing w:line="240" w:lineRule="auto" w:after="20"/>
              <w:jc w:val="left"/>
            </w:pPr>
            <w:r>
              <w:rPr>
                <w:sz w:val="20"/>
              </w:rPr>
              <w:t xml:space="preserve">9,005</w:t>
            </w:r>
          </w:p>
        </w:tc>
        <w:tc>
          <w:tcPr>
            <w:tcW w:type="dxa" w:w="1664"/>
          </w:tcPr>
          <w:p>
            <w:pPr>
              <w:pStyle w:val="Compact"/>
              <w:spacing w:line="240" w:lineRule="auto" w:after="20"/>
              <w:jc w:val="left"/>
            </w:pPr>
            <w:r>
              <w:rPr>
                <w:sz w:val="20"/>
              </w:rPr>
              <w:t xml:space="preserve">5,932</w:t>
            </w:r>
          </w:p>
        </w:tc>
        <w:tc>
          <w:tcPr>
            <w:tcW w:type="dxa" w:w="2080"/>
          </w:tcPr>
          <w:p>
            <w:pPr>
              <w:pStyle w:val="Compact"/>
              <w:spacing w:line="240" w:lineRule="auto" w:after="20"/>
              <w:jc w:val="left"/>
            </w:pPr>
            <w:r>
              <w:rPr>
                <w:sz w:val="20"/>
              </w:rPr>
              <w:t xml:space="preserve">6,242</w:t>
            </w:r>
          </w:p>
        </w:tc>
      </w:tr>
      <w:tr>
        <w:tc>
          <w:tcPr>
            <w:tcW w:type="dxa" w:w="3224"/>
          </w:tcPr>
          <w:p>
            <w:pPr>
              <w:pStyle w:val="Compact"/>
              <w:spacing w:line="240" w:lineRule="auto" w:after="20"/>
              <w:jc w:val="left"/>
            </w:pPr>
            <w:r>
              <w:rPr>
                <w:sz w:val="20"/>
              </w:rPr>
              <w:t xml:space="preserve">GT starts [–/yr]</w:t>
            </w:r>
          </w:p>
        </w:tc>
        <w:tc>
          <w:tcPr>
            <w:tcW w:type="dxa" w:w="1040"/>
          </w:tcPr>
          <w:p>
            <w:pPr>
              <w:pStyle w:val="Compact"/>
              <w:spacing w:line="240" w:lineRule="auto" w:after="20"/>
              <w:jc w:val="left"/>
            </w:pPr>
            <w:r>
              <w:rPr>
                <w:sz w:val="20"/>
              </w:rPr>
              <w:t xml:space="preserve">0</w:t>
            </w:r>
          </w:p>
        </w:tc>
        <w:tc>
          <w:tcPr>
            <w:tcW w:type="dxa" w:w="1351"/>
          </w:tcPr>
          <w:p>
            <w:pPr>
              <w:pStyle w:val="Compact"/>
              <w:spacing w:line="240" w:lineRule="auto" w:after="20"/>
              <w:jc w:val="left"/>
            </w:pPr>
            <w:r>
              <w:rPr>
                <w:sz w:val="20"/>
              </w:rPr>
              <w:t xml:space="preserve">149</w:t>
            </w:r>
          </w:p>
        </w:tc>
        <w:tc>
          <w:tcPr>
            <w:tcW w:type="dxa" w:w="1664"/>
          </w:tcPr>
          <w:p>
            <w:pPr>
              <w:pStyle w:val="Compact"/>
              <w:spacing w:line="240" w:lineRule="auto" w:after="20"/>
              <w:jc w:val="left"/>
            </w:pPr>
            <w:r>
              <w:rPr>
                <w:sz w:val="20"/>
              </w:rPr>
              <w:t xml:space="preserve">3</w:t>
            </w:r>
          </w:p>
        </w:tc>
        <w:tc>
          <w:tcPr>
            <w:tcW w:type="dxa" w:w="2080"/>
          </w:tcPr>
          <w:p>
            <w:pPr>
              <w:pStyle w:val="Compact"/>
              <w:spacing w:line="240" w:lineRule="auto" w:after="20"/>
              <w:jc w:val="left"/>
            </w:pPr>
            <w:r>
              <w:rPr>
                <w:sz w:val="20"/>
              </w:rPr>
              <w:t xml:space="preserve">0</w:t>
            </w:r>
          </w:p>
        </w:tc>
      </w:tr>
      <w:tr>
        <w:tc>
          <w:tcPr>
            <w:tcW w:type="dxa" w:w="3224"/>
          </w:tcPr>
          <w:p>
            <w:pPr>
              <w:pStyle w:val="Compact"/>
              <w:spacing w:line="240" w:lineRule="auto" w:after="20"/>
              <w:jc w:val="left"/>
            </w:pPr>
            <w:r>
              <w:rPr>
                <w:sz w:val="20"/>
              </w:rPr>
              <w:t xml:space="preserve">Wind used [GWh/yr]</w:t>
            </w:r>
          </w:p>
        </w:tc>
        <w:tc>
          <w:tcPr>
            <w:tcW w:type="dxa" w:w="1040"/>
          </w:tcPr>
          <w:p>
            <w:pPr>
              <w:pStyle w:val="Compact"/>
              <w:spacing w:line="240" w:lineRule="auto" w:after="20"/>
              <w:jc w:val="left"/>
            </w:pPr>
            <w:r>
              <w:rPr>
                <w:sz w:val="20"/>
              </w:rPr>
              <w:t xml:space="preserve">0</w:t>
            </w:r>
          </w:p>
        </w:tc>
        <w:tc>
          <w:tcPr>
            <w:tcW w:type="dxa" w:w="1351"/>
          </w:tcPr>
          <w:p>
            <w:pPr>
              <w:pStyle w:val="Compact"/>
              <w:spacing w:line="240" w:lineRule="auto" w:after="20"/>
              <w:jc w:val="left"/>
            </w:pPr>
            <w:r>
              <w:rPr>
                <w:sz w:val="20"/>
              </w:rPr>
              <w:t xml:space="preserve">89.3</w:t>
            </w:r>
          </w:p>
        </w:tc>
        <w:tc>
          <w:tcPr>
            <w:tcW w:type="dxa" w:w="1664"/>
          </w:tcPr>
          <w:p>
            <w:pPr>
              <w:pStyle w:val="Compact"/>
              <w:spacing w:line="240" w:lineRule="auto" w:after="20"/>
              <w:jc w:val="left"/>
            </w:pPr>
            <w:r>
              <w:rPr>
                <w:sz w:val="20"/>
              </w:rPr>
              <w:t xml:space="preserve">95.1</w:t>
            </w:r>
          </w:p>
        </w:tc>
        <w:tc>
          <w:tcPr>
            <w:tcW w:type="dxa" w:w="2080"/>
          </w:tcPr>
          <w:p>
            <w:pPr>
              <w:pStyle w:val="Compact"/>
              <w:spacing w:line="240" w:lineRule="auto" w:after="20"/>
              <w:jc w:val="left"/>
            </w:pPr>
            <w:r>
              <w:rPr>
                <w:sz w:val="20"/>
              </w:rPr>
              <w:t xml:space="preserve">95.7</w:t>
            </w:r>
          </w:p>
        </w:tc>
      </w:tr>
      <w:tr>
        <w:tc>
          <w:tcPr>
            <w:tcW w:type="dxa" w:w="3224"/>
          </w:tcPr>
          <w:p>
            <w:pPr>
              <w:pStyle w:val="Compact"/>
              <w:spacing w:line="240" w:lineRule="auto" w:after="20"/>
              <w:jc w:val="left"/>
            </w:pPr>
            <w:r>
              <w:rPr>
                <w:sz w:val="20"/>
              </w:rPr>
              <w:t xml:space="preserve">Wind curtailed [GWh/yr]</w:t>
            </w:r>
          </w:p>
        </w:tc>
        <w:tc>
          <w:tcPr>
            <w:tcW w:type="dxa" w:w="1040"/>
          </w:tcPr>
          <w:p>
            <w:pPr>
              <w:pStyle w:val="Compact"/>
              <w:spacing w:line="240" w:lineRule="auto" w:after="20"/>
              <w:jc w:val="left"/>
            </w:pPr>
            <w:r>
              <w:rPr>
                <w:sz w:val="20"/>
              </w:rPr>
              <w:t xml:space="preserve">0</w:t>
            </w:r>
          </w:p>
        </w:tc>
        <w:tc>
          <w:tcPr>
            <w:tcW w:type="dxa" w:w="1351"/>
          </w:tcPr>
          <w:p>
            <w:pPr>
              <w:pStyle w:val="Compact"/>
              <w:spacing w:line="240" w:lineRule="auto" w:after="20"/>
              <w:jc w:val="left"/>
            </w:pPr>
            <w:r>
              <w:rPr>
                <w:sz w:val="20"/>
              </w:rPr>
              <w:t xml:space="preserve">44.5</w:t>
            </w:r>
          </w:p>
        </w:tc>
        <w:tc>
          <w:tcPr>
            <w:tcW w:type="dxa" w:w="1664"/>
          </w:tcPr>
          <w:p>
            <w:pPr>
              <w:pStyle w:val="Compact"/>
              <w:spacing w:line="240" w:lineRule="auto" w:after="20"/>
              <w:jc w:val="left"/>
            </w:pPr>
            <w:r>
              <w:rPr>
                <w:sz w:val="20"/>
              </w:rPr>
              <w:t xml:space="preserve">38.7</w:t>
            </w:r>
          </w:p>
        </w:tc>
        <w:tc>
          <w:tcPr>
            <w:tcW w:type="dxa" w:w="2080"/>
          </w:tcPr>
          <w:p>
            <w:pPr>
              <w:pStyle w:val="Compact"/>
              <w:spacing w:line="240" w:lineRule="auto" w:after="20"/>
              <w:jc w:val="left"/>
            </w:pPr>
            <w:r>
              <w:rPr>
                <w:sz w:val="20"/>
              </w:rPr>
              <w:t xml:space="preserve">38.1</w:t>
            </w:r>
          </w:p>
        </w:tc>
      </w:tr>
      <w:tr>
        <w:tc>
          <w:tcPr>
            <w:tcW w:type="dxa" w:w="3224"/>
          </w:tcPr>
          <w:p>
            <w:pPr>
              <w:pStyle w:val="Compact"/>
              <w:spacing w:line="240" w:lineRule="auto" w:after="20"/>
              <w:jc w:val="left"/>
            </w:pPr>
            <w:r>
              <w:rPr>
                <w:sz w:val="20"/>
              </w:rPr>
              <w:t xml:space="preserve">Lost production</w:t>
            </w:r>
          </w:p>
        </w:tc>
        <w:tc>
          <w:tcPr>
            <w:tcW w:type="dxa" w:w="1040"/>
          </w:tcPr>
          <w:p>
            <w:pPr>
              <w:pStyle w:val="Compact"/>
              <w:spacing w:line="240" w:lineRule="auto" w:after="20"/>
              <w:jc w:val="left"/>
            </w:pPr>
            <w:r>
              <w:rPr>
                <w:sz w:val="20"/>
              </w:rPr>
              <w:t xml:space="preserve">0</w:t>
            </w:r>
          </w:p>
        </w:tc>
        <w:tc>
          <w:tcPr>
            <w:tcW w:type="dxa" w:w="1351"/>
          </w:tcPr>
          <w:p>
            <w:pPr>
              <w:pStyle w:val="Compact"/>
              <w:spacing w:line="240" w:lineRule="auto" w:after="20"/>
              <w:jc w:val="left"/>
            </w:pPr>
            <w:r>
              <w:rPr>
                <w:sz w:val="20"/>
              </w:rPr>
              <w:t xml:space="preserve">0</w:t>
            </w:r>
          </w:p>
        </w:tc>
        <w:tc>
          <w:tcPr>
            <w:tcW w:type="dxa" w:w="1664"/>
          </w:tcPr>
          <w:p>
            <w:pPr>
              <w:pStyle w:val="Compact"/>
              <w:spacing w:line="240" w:lineRule="auto" w:after="20"/>
              <w:jc w:val="left"/>
            </w:pPr>
            <w:r>
              <w:rPr>
                <w:sz w:val="20"/>
              </w:rPr>
              <w:t xml:space="preserve">0</w:t>
            </w:r>
          </w:p>
        </w:tc>
        <w:tc>
          <w:tcPr>
            <w:tcW w:type="dxa" w:w="2080"/>
          </w:tcPr>
          <w:p>
            <w:pPr>
              <w:pStyle w:val="Compact"/>
              <w:spacing w:line="240" w:lineRule="auto" w:after="20"/>
              <w:jc w:val="left"/>
            </w:pPr>
            <w:r>
              <w:rPr>
                <w:sz w:val="20"/>
              </w:rPr>
              <w:t xml:space="preserve">0</w:t>
            </w:r>
          </w:p>
        </w:tc>
      </w:tr>
      <w:tr>
        <w:tc>
          <w:tcPr>
            <w:tcW w:type="dxa" w:w="3224"/>
          </w:tcPr>
          <w:p>
            <w:pPr>
              <w:pStyle w:val="Compact"/>
              <w:spacing w:line="240" w:lineRule="auto" w:after="20"/>
              <w:jc w:val="left"/>
            </w:pPr>
            <w:r>
              <w:rPr>
                <w:sz w:val="20"/>
              </w:rPr>
              <w:t xml:space="preserve">Fuel value + CO</w:t>
            </w:r>
            <w:r>
              <w:rPr>
                <w:sz w:val="20"/>
                <w:vertAlign w:val="subscript"/>
              </w:rPr>
              <w:t xml:space="preserve">2</w:t>
            </w:r>
            <w:r>
              <w:rPr>
                <w:sz w:val="20"/>
              </w:rPr>
              <w:t xml:space="preserve"> </w:t>
            </w:r>
            <w:r>
              <w:rPr>
                <w:sz w:val="20"/>
              </w:rPr>
              <w:t xml:space="preserve">cost [MNOK/yr]</w:t>
            </w:r>
          </w:p>
        </w:tc>
        <w:tc>
          <w:tcPr>
            <w:tcW w:type="dxa" w:w="1040"/>
          </w:tcPr>
          <w:p>
            <w:pPr>
              <w:pStyle w:val="Compact"/>
              <w:spacing w:line="240" w:lineRule="auto" w:after="20"/>
              <w:jc w:val="left"/>
            </w:pPr>
            <w:r>
              <w:rPr>
                <w:sz w:val="20"/>
              </w:rPr>
              <w:t xml:space="preserve">484.0</w:t>
            </w:r>
          </w:p>
        </w:tc>
        <w:tc>
          <w:tcPr>
            <w:tcW w:type="dxa" w:w="1351"/>
          </w:tcPr>
          <w:p>
            <w:pPr>
              <w:pStyle w:val="Compact"/>
              <w:spacing w:line="240" w:lineRule="auto" w:after="20"/>
              <w:jc w:val="left"/>
            </w:pPr>
            <w:r>
              <w:rPr>
                <w:sz w:val="20"/>
              </w:rPr>
              <w:t xml:space="preserve">245.1</w:t>
            </w:r>
          </w:p>
        </w:tc>
        <w:tc>
          <w:tcPr>
            <w:tcW w:type="dxa" w:w="1664"/>
          </w:tcPr>
          <w:p>
            <w:pPr>
              <w:pStyle w:val="Compact"/>
              <w:spacing w:line="240" w:lineRule="auto" w:after="20"/>
              <w:jc w:val="left"/>
            </w:pPr>
            <w:r>
              <w:rPr>
                <w:sz w:val="20"/>
              </w:rPr>
              <w:t xml:space="preserve">217.9</w:t>
            </w:r>
          </w:p>
        </w:tc>
        <w:tc>
          <w:tcPr>
            <w:tcW w:type="dxa" w:w="2080"/>
          </w:tcPr>
          <w:p>
            <w:pPr>
              <w:pStyle w:val="Compact"/>
              <w:spacing w:line="240" w:lineRule="auto" w:after="20"/>
              <w:jc w:val="left"/>
            </w:pPr>
            <w:r>
              <w:rPr>
                <w:sz w:val="20"/>
              </w:rPr>
              <w:t xml:space="preserve">216.7</w:t>
            </w:r>
          </w:p>
        </w:tc>
      </w:tr>
    </w:tbl>
    <w:p>
      <w:pPr>
        <w:pStyle w:val="BodyText"/>
        <w:spacing w:before="200"/>
      </w:pPr>
      <w:r>
        <w:t xml:space="preserve">The annual results of the four cases are summarized in Table 2 and Figure 3.</w:t>
      </w:r>
      <w:r>
        <w:t xml:space="preserve"> </w:t>
      </w:r>
      <w:r>
        <w:t xml:space="preserve">With GTs only (Case 1), two turbines run in every hour to carry the average</w:t>
      </w:r>
      <w:r>
        <w:t xml:space="preserve"> </w:t>
      </w:r>
      <w:r>
        <w:t xml:space="preserve">load of 18.8 MW and the 5 MW reserve, each at about 43 % load, so all 17,520</w:t>
      </w:r>
      <w:r>
        <w:t xml:space="preserve"> </w:t>
      </w:r>
      <w:r>
        <w:t xml:space="preserve">GT unit-hours are low-load hours. Even without wind, the reserve keeps the</w:t>
      </w:r>
      <w:r>
        <w:t xml:space="preserve"> </w:t>
      </w:r>
      <w:r>
        <w:t xml:space="preserve">turbines far from their best efficiency.</w:t>
      </w:r>
    </w:p>
    <w:p>
      <w:pPr>
        <w:pStyle w:val="BodyText"/>
      </w:pPr>
      <w:r>
        <w:t xml:space="preserve">A 30 MW wind farm with fixed demand (Case 2) halves the emissions, to 64.7 kt</w:t>
      </w:r>
      <w:r>
        <w:t xml:space="preserve"> </w:t>
      </w:r>
      <w:r>
        <w:t xml:space="preserve">(−49.4 %). Wind covers 54 % of the demand, and one GT is sufficient in 7,058</w:t>
      </w:r>
      <w:r>
        <w:t xml:space="preserve"> </w:t>
      </w:r>
      <w:r>
        <w:t xml:space="preserve">h. Since the demand cannot follow the wind, 33 % of the available wind energy</w:t>
      </w:r>
      <w:r>
        <w:t xml:space="preserve"> </w:t>
      </w:r>
      <w:r>
        <w:t xml:space="preserve">is curtailed, and a second GT is still required in 1,702 h.</w:t>
      </w:r>
    </w:p>
    <w:p>
      <w:pPr>
        <w:pStyle w:val="BodyText"/>
      </w:pPr>
      <w:r>
        <w:t xml:space="preserve">Flexible scheduling (Case 3) reduces the CO</w:t>
      </w:r>
      <w:r>
        <w:rPr>
          <w:vertAlign w:val="subscript"/>
        </w:rPr>
        <w:t xml:space="preserve">2</w:t>
      </w:r>
      <w:r>
        <w:t xml:space="preserve"> </w:t>
      </w:r>
      <w:r>
        <w:t xml:space="preserve">emissions by a further 7.2</w:t>
      </w:r>
      <w:r>
        <w:t xml:space="preserve"> </w:t>
      </w:r>
      <w:r>
        <w:t xml:space="preserve">kt/yr, or 11.1 % relative to Case 2, without any loss of production. The GT</w:t>
      </w:r>
      <w:r>
        <w:t xml:space="preserve"> </w:t>
      </w:r>
      <w:r>
        <w:t xml:space="preserve">running hours fall from 10,462 to 8,788 unit-h, the low-load unit-hours by 34</w:t>
      </w:r>
      <w:r>
        <w:t xml:space="preserve"> </w:t>
      </w:r>
      <w:r>
        <w:t xml:space="preserve">% and the GT starts from 149 to 3, and the curtailment decreases by 13 %. The</w:t>
      </w:r>
      <w:r>
        <w:t xml:space="preserve"> </w:t>
      </w:r>
      <w:r>
        <w:t xml:space="preserve">combined fuel value and CO</w:t>
      </w:r>
      <w:r>
        <w:rPr>
          <w:vertAlign w:val="subscript"/>
        </w:rPr>
        <w:t xml:space="preserve">2</w:t>
      </w:r>
      <w:r>
        <w:t xml:space="preserve"> </w:t>
      </w:r>
      <w:r>
        <w:t xml:space="preserve">cost is reduced by 27 MNOK/yr, of which 12.9</w:t>
      </w:r>
      <w:r>
        <w:t xml:space="preserve"> </w:t>
      </w:r>
      <w:r>
        <w:t xml:space="preserve">MNOK is the value of the fuel saved.</w:t>
      </w:r>
    </w:p>
    <w:p>
      <w:pPr>
        <w:pStyle w:val="BodyText"/>
      </w:pPr>
      <w:r>
        <w:t xml:space="preserve">The 4 MW / 4 MWh battery (Case 4) adds only 0.3 kt (0.6 %). It removes the</w:t>
      </w:r>
      <w:r>
        <w:t xml:space="preserve"> </w:t>
      </w:r>
      <w:r>
        <w:t xml:space="preserve">last starts and hours with a second GT, but with one GT always online it</w:t>
      </w:r>
      <w:r>
        <w:t xml:space="preserve"> </w:t>
      </w:r>
      <w:r>
        <w:t xml:space="preserve">cannot remove the main remaining loss, one turbine idling near minimum load</w:t>
      </w:r>
      <w:r>
        <w:t xml:space="preserve"> </w:t>
      </w:r>
      <w:r>
        <w:t xml:space="preserve">whenever the wind covers the demand.</w:t>
      </w:r>
    </w:p>
    <w:p>
      <w:pPr>
        <w:pStyle w:val="Figure"/>
      </w:pPr>
      <w:r>
        <w:drawing>
          <wp:inline>
            <wp:extent cx="5759999" cy="4442818"/>
            <wp:effectExtent b="0" l="0" r="0" t="0"/>
            <wp:docPr descr="" title="" id="38" name="Picture"/>
            <a:graphic>
              <a:graphicData uri="http://schemas.openxmlformats.org/drawingml/2006/picture">
                <pic:pic>
                  <pic:nvPicPr>
                    <pic:cNvPr descr="results/paper/fig04_cases.png" id="39" name="Picture"/>
                    <pic:cNvPicPr>
                      <a:picLocks noChangeArrowheads="1" noChangeAspect="1"/>
                    </pic:cNvPicPr>
                  </pic:nvPicPr>
                  <pic:blipFill>
                    <a:blip r:embed="rId37"/>
                    <a:stretch>
                      <a:fillRect/>
                    </a:stretch>
                  </pic:blipFill>
                  <pic:spPr bwMode="auto">
                    <a:xfrm>
                      <a:off x="0" y="0"/>
                      <a:ext cx="5759999" cy="4442818"/>
                    </a:xfrm>
                    <a:prstGeom prst="rect">
                      <a:avLst/>
                    </a:prstGeom>
                    <a:noFill/>
                    <a:ln w="9525">
                      <a:noFill/>
                      <a:headEnd/>
                      <a:tailEnd/>
                    </a:ln>
                  </pic:spPr>
                </pic:pic>
              </a:graphicData>
            </a:graphic>
          </wp:inline>
        </w:drawing>
      </w:r>
    </w:p>
    <w:p>
      <w:pPr>
        <w:pStyle w:val="FigureCaption"/>
      </w:pPr>
      <w:r>
        <w:rPr>
          <w:bCs/>
          <w:b/>
        </w:rPr>
        <w:t xml:space="preserve">Figure 3.</w:t>
      </w:r>
      <w:r>
        <w:t xml:space="preserve"> </w:t>
      </w:r>
      <w:r>
        <w:t xml:space="preserve">Annual CO</w:t>
      </w:r>
      <w:r>
        <w:rPr>
          <w:vertAlign w:val="subscript"/>
        </w:rPr>
        <w:t xml:space="preserve">2</w:t>
      </w:r>
      <w:r>
        <w:t xml:space="preserve">, fuel gas, GT hours below 50 % load and lost production for Cases 1–4.</w:t>
      </w:r>
    </w:p>
    <w:bookmarkEnd w:id="40"/>
    <w:bookmarkStart w:id="50" w:name="how-flexible-scheduling-saves-fuel"/>
    <w:p>
      <w:pPr>
        <w:pStyle w:val="Heading2"/>
      </w:pPr>
      <w:r>
        <w:t xml:space="preserve">3.3 How flexible scheduling saves fuel</w:t>
      </w:r>
    </w:p>
    <w:p>
      <w:pPr>
        <w:pStyle w:val="FirstParagraph"/>
      </w:pPr>
      <w:r>
        <w:t xml:space="preserve">The saving is obtained by deferring water injection out of the hours in which</w:t>
      </w:r>
      <w:r>
        <w:t xml:space="preserve"> </w:t>
      </w:r>
      <w:r>
        <w:t xml:space="preserve">a second GT would otherwise be needed. With fixed demand, a second turbine</w:t>
      </w:r>
      <w:r>
        <w:t xml:space="preserve"> </w:t>
      </w:r>
      <w:r>
        <w:t xml:space="preserve">must be started whenever the wind drops and one GT cannot carry the load while</w:t>
      </w:r>
      <w:r>
        <w:t xml:space="preserve"> </w:t>
      </w:r>
      <w:r>
        <w:t xml:space="preserve">holding 5 MW in reserve, i.e. whenever the wind supplies less than about 2 MW</w:t>
      </w:r>
      <w:r>
        <w:t xml:space="preserve"> </w:t>
      </w:r>
      <w:r>
        <w:t xml:space="preserve">at the average demand of 18.8 MW. Each such hour costs the no-load fuel of a</w:t>
      </w:r>
      <w:r>
        <w:t xml:space="preserve"> </w:t>
      </w:r>
      <w:r>
        <w:t xml:space="preserve">whole additional turbine, which amounts to 18.4 % of its full-load fuel. In</w:t>
      </w:r>
      <w:r>
        <w:t xml:space="preserve"> </w:t>
      </w:r>
      <w:r>
        <w:t xml:space="preserve">Case 3 the optimizer postpones water injection in exactly these hours, so that</w:t>
      </w:r>
      <w:r>
        <w:t xml:space="preserve"> </w:t>
      </w:r>
      <w:r>
        <w:t xml:space="preserve">a second GT runs in only 28 h of the year instead of 1,702 h (Figure 4, Figure 5).</w:t>
      </w:r>
      <w:r>
        <w:t xml:space="preserve"> </w:t>
      </w:r>
      <w:r>
        <w:t xml:space="preserve">Since fuel is linear in GT power, the saving splits exactly into two parts</w:t>
      </w:r>
      <w:r>
        <w:t xml:space="preserve"> </w:t>
      </w:r>
      <w:r>
        <w:t xml:space="preserve">(Table 3). The 1,674 avoided GT unit-hours, at a no-load fuel of 1,068 Sm³ per</w:t>
      </w:r>
      <w:r>
        <w:t xml:space="preserve"> </w:t>
      </w:r>
      <w:r>
        <w:t xml:space="preserve">unit-hour, save 1.79 MSm³ (58 % of the 3.07 MSm³ saved). The injection that is</w:t>
      </w:r>
      <w:r>
        <w:t xml:space="preserve"> </w:t>
      </w:r>
      <w:r>
        <w:t xml:space="preserve">moved out of these hours, 5.4 GWh, is caught up in windy hours and absorbs 5.8</w:t>
      </w:r>
      <w:r>
        <w:t xml:space="preserve"> </w:t>
      </w:r>
      <w:r>
        <w:t xml:space="preserve">GWh of wind that would otherwise be curtailed; at the marginal fuel use of 217</w:t>
      </w:r>
      <w:r>
        <w:t xml:space="preserve"> </w:t>
      </w:r>
      <w:r>
        <w:t xml:space="preserve">Sm³/MWh this saves the remaining 1.28 MSm³ (42 %). Both parts therefore result</w:t>
      </w:r>
      <w:r>
        <w:t xml:space="preserve"> </w:t>
      </w:r>
      <w:r>
        <w:t xml:space="preserve">from the same deferral of injection: the commitment part from the hours it</w:t>
      </w:r>
      <w:r>
        <w:t xml:space="preserve"> </w:t>
      </w:r>
      <w:r>
        <w:t xml:space="preserve">leaves, and the energy part from the hours it moves to.</w:t>
      </w:r>
    </w:p>
    <w:p>
      <w:pPr>
        <w:pStyle w:val="BodyText"/>
        <w:keepNext/>
      </w:pPr>
      <w:r>
        <w:rPr>
          <w:bCs/>
          <w:b/>
        </w:rPr>
        <w:t xml:space="preserve">Table 3.</w:t>
      </w:r>
      <w:r>
        <w:t xml:space="preserve"> </w:t>
      </w:r>
      <w:r>
        <w:t xml:space="preserve">Split of the fuel saved by flexible scheduling (Case 2 to Case 3, 2023).</w:t>
      </w:r>
    </w:p>
    <w:tbl>
      <w:tblPr>
        <w:tblStyle w:val="Table"/>
        <w:tblW w:type="pct" w:w="5000"/>
        <w:tblLook w:firstRow="1" w:lastRow="0" w:firstColumn="0" w:lastColumn="0" w:noHBand="0" w:noVBand="0" w:val="0020"/>
        <w:jc w:val="start"/>
        <w:tblBorders>
          <w:top w:val="single" w:sz="4" w:space="0" w:color="000000"/>
          <w:bottom w:val="single" w:sz="4" w:space="0" w:color="000000"/>
          <w:left w:val="nil" w:sz="4" w:space="0" w:color="000000"/>
          <w:right w:val="nil" w:sz="4" w:space="0" w:color="000000"/>
          <w:insideH w:val="nil" w:sz="4" w:space="0" w:color="000000"/>
          <w:insideV w:val="nil" w:sz="4" w:space="0" w:color="000000"/>
        </w:tblBorders>
      </w:tblPr>
      <w:tblGrid>
        <w:gridCol w:w="1675"/>
        <w:gridCol w:w="4467"/>
        <w:gridCol w:w="2233"/>
        <w:gridCol w:w="982"/>
      </w:tblGrid>
      <w:tr>
        <w:trPr>
          <w:tblHeader w:val="true"/>
          <w:tblHeader/>
        </w:trPr>
        <w:tc>
          <w:tcPr>
            <w:tcW w:type="dxa" w:w="1675"/>
            <w:tcBorders>
              <w:bottom w:val="single" w:sz="4" w:space="0" w:color="000000"/>
            </w:tcBorders>
          </w:tcPr>
          <w:p>
            <w:pPr>
              <w:pStyle w:val="Compact"/>
              <w:spacing w:line="240" w:lineRule="auto" w:after="20"/>
              <w:jc w:val="left"/>
            </w:pPr>
            <w:r>
              <w:rPr>
                <w:b/>
                <w:sz w:val="20"/>
              </w:rPr>
              <w:t xml:space="preserve">Part</w:t>
            </w:r>
          </w:p>
        </w:tc>
        <w:tc>
          <w:tcPr>
            <w:tcW w:type="dxa" w:w="4467"/>
            <w:tcBorders>
              <w:bottom w:val="single" w:sz="4" w:space="0" w:color="000000"/>
            </w:tcBorders>
          </w:tcPr>
          <w:p>
            <w:pPr>
              <w:pStyle w:val="Compact"/>
              <w:spacing w:line="240" w:lineRule="auto" w:after="20"/>
              <w:jc w:val="left"/>
            </w:pPr>
            <w:r>
              <w:rPr>
                <w:b/>
                <w:sz w:val="20"/>
              </w:rPr>
              <w:t xml:space="preserve">Driver</w:t>
            </w:r>
          </w:p>
        </w:tc>
        <w:tc>
          <w:tcPr>
            <w:tcW w:type="dxa" w:w="2233"/>
            <w:tcBorders>
              <w:bottom w:val="single" w:sz="4" w:space="0" w:color="000000"/>
            </w:tcBorders>
          </w:tcPr>
          <w:p>
            <w:pPr>
              <w:pStyle w:val="Compact"/>
              <w:spacing w:line="240" w:lineRule="auto" w:after="20"/>
              <w:jc w:val="left"/>
            </w:pPr>
            <w:r>
              <w:rPr>
                <w:b/>
                <w:sz w:val="20"/>
              </w:rPr>
              <w:t xml:space="preserve">Fuel saved [MSm³/yr]</w:t>
            </w:r>
          </w:p>
        </w:tc>
        <w:tc>
          <w:tcPr>
            <w:tcW w:type="dxa" w:w="982"/>
            <w:tcBorders>
              <w:bottom w:val="single" w:sz="4" w:space="0" w:color="000000"/>
            </w:tcBorders>
          </w:tcPr>
          <w:p>
            <w:pPr>
              <w:pStyle w:val="Compact"/>
              <w:spacing w:line="240" w:lineRule="auto" w:after="20"/>
              <w:jc w:val="left"/>
            </w:pPr>
            <w:r>
              <w:rPr>
                <w:b/>
                <w:sz w:val="20"/>
              </w:rPr>
              <w:t xml:space="preserve">Share</w:t>
            </w:r>
          </w:p>
        </w:tc>
      </w:tr>
      <w:tr>
        <w:tc>
          <w:tcPr>
            <w:tcW w:type="dxa" w:w="1675"/>
          </w:tcPr>
          <w:p>
            <w:pPr>
              <w:pStyle w:val="Compact"/>
              <w:spacing w:line="240" w:lineRule="auto" w:after="20"/>
              <w:jc w:val="left"/>
            </w:pPr>
            <w:r>
              <w:rPr>
                <w:sz w:val="20"/>
              </w:rPr>
              <w:t xml:space="preserve">Commitment</w:t>
            </w:r>
          </w:p>
        </w:tc>
        <w:tc>
          <w:tcPr>
            <w:tcW w:type="dxa" w:w="4467"/>
          </w:tcPr>
          <w:p>
            <w:pPr>
              <w:pStyle w:val="Compact"/>
              <w:spacing w:line="240" w:lineRule="auto" w:after="20"/>
              <w:jc w:val="left"/>
            </w:pPr>
            <w:r>
              <w:rPr>
                <w:sz w:val="20"/>
              </w:rPr>
              <w:t xml:space="preserve">1,674 GT unit-hours avoided × 1,068 Sm³ no-load fuel</w:t>
            </w:r>
          </w:p>
        </w:tc>
        <w:tc>
          <w:tcPr>
            <w:tcW w:type="dxa" w:w="2233"/>
          </w:tcPr>
          <w:p>
            <w:pPr>
              <w:pStyle w:val="Compact"/>
              <w:spacing w:line="240" w:lineRule="auto" w:after="20"/>
              <w:jc w:val="left"/>
            </w:pPr>
            <w:r>
              <w:rPr>
                <w:sz w:val="20"/>
              </w:rPr>
              <w:t xml:space="preserve">1.79</w:t>
            </w:r>
          </w:p>
        </w:tc>
        <w:tc>
          <w:tcPr>
            <w:tcW w:type="dxa" w:w="982"/>
          </w:tcPr>
          <w:p>
            <w:pPr>
              <w:pStyle w:val="Compact"/>
              <w:spacing w:line="240" w:lineRule="auto" w:after="20"/>
              <w:jc w:val="left"/>
            </w:pPr>
            <w:r>
              <w:rPr>
                <w:sz w:val="20"/>
              </w:rPr>
              <w:t xml:space="preserve">58 %</w:t>
            </w:r>
          </w:p>
        </w:tc>
      </w:tr>
      <w:tr>
        <w:tc>
          <w:tcPr>
            <w:tcW w:type="dxa" w:w="1675"/>
          </w:tcPr>
          <w:p>
            <w:pPr>
              <w:pStyle w:val="Compact"/>
              <w:spacing w:line="240" w:lineRule="auto" w:after="20"/>
              <w:jc w:val="left"/>
            </w:pPr>
            <w:r>
              <w:rPr>
                <w:sz w:val="20"/>
              </w:rPr>
              <w:t xml:space="preserve">Energy shifting</w:t>
            </w:r>
          </w:p>
        </w:tc>
        <w:tc>
          <w:tcPr>
            <w:tcW w:type="dxa" w:w="4467"/>
          </w:tcPr>
          <w:p>
            <w:pPr>
              <w:pStyle w:val="Compact"/>
              <w:spacing w:line="240" w:lineRule="auto" w:after="20"/>
              <w:jc w:val="left"/>
            </w:pPr>
            <w:r>
              <w:rPr>
                <w:sz w:val="20"/>
              </w:rPr>
              <w:t xml:space="preserve">5.8 GWh more wind used × 217 Sm³/MWh marginal fuel</w:t>
            </w:r>
          </w:p>
        </w:tc>
        <w:tc>
          <w:tcPr>
            <w:tcW w:type="dxa" w:w="2233"/>
          </w:tcPr>
          <w:p>
            <w:pPr>
              <w:pStyle w:val="Compact"/>
              <w:spacing w:line="240" w:lineRule="auto" w:after="20"/>
              <w:jc w:val="left"/>
            </w:pPr>
            <w:r>
              <w:rPr>
                <w:sz w:val="20"/>
              </w:rPr>
              <w:t xml:space="preserve">1.28</w:t>
            </w:r>
          </w:p>
        </w:tc>
        <w:tc>
          <w:tcPr>
            <w:tcW w:type="dxa" w:w="982"/>
          </w:tcPr>
          <w:p>
            <w:pPr>
              <w:pStyle w:val="Compact"/>
              <w:spacing w:line="240" w:lineRule="auto" w:after="20"/>
              <w:jc w:val="left"/>
            </w:pPr>
            <w:r>
              <w:rPr>
                <w:sz w:val="20"/>
              </w:rPr>
              <w:t xml:space="preserve">42 %</w:t>
            </w:r>
          </w:p>
        </w:tc>
      </w:tr>
      <w:tr>
        <w:tc>
          <w:tcPr>
            <w:tcW w:type="dxa" w:w="1675"/>
          </w:tcPr>
          <w:p>
            <w:pPr>
              <w:pStyle w:val="Compact"/>
              <w:spacing w:line="240" w:lineRule="auto" w:after="20"/>
              <w:jc w:val="left"/>
            </w:pPr>
            <w:r>
              <w:rPr>
                <w:bCs/>
                <w:b/>
                <w:sz w:val="20"/>
              </w:rPr>
              <w:t xml:space="preserve">Total</w:t>
            </w:r>
          </w:p>
        </w:tc>
        <w:tc>
          <w:tcPr>
            <w:tcW w:type="dxa" w:w="4467"/>
          </w:tcPr>
          <w:p>
            <w:pPr>
              <w:pStyle w:val="Compact"/>
              <w:spacing w:line="240" w:lineRule="auto" w:after="20"/>
              <w:jc w:val="left"/>
            </w:pPr>
          </w:p>
        </w:tc>
        <w:tc>
          <w:tcPr>
            <w:tcW w:type="dxa" w:w="2233"/>
          </w:tcPr>
          <w:p>
            <w:pPr>
              <w:pStyle w:val="Compact"/>
              <w:spacing w:line="240" w:lineRule="auto" w:after="20"/>
              <w:jc w:val="left"/>
            </w:pPr>
            <w:r>
              <w:rPr>
                <w:bCs/>
                <w:b/>
                <w:sz w:val="20"/>
              </w:rPr>
              <w:t xml:space="preserve">3.07</w:t>
            </w:r>
          </w:p>
        </w:tc>
        <w:tc>
          <w:tcPr>
            <w:tcW w:type="dxa" w:w="982"/>
          </w:tcPr>
          <w:p>
            <w:pPr>
              <w:pStyle w:val="Compact"/>
              <w:spacing w:line="240" w:lineRule="auto" w:after="20"/>
              <w:jc w:val="left"/>
            </w:pPr>
          </w:p>
        </w:tc>
      </w:tr>
    </w:tbl>
    <w:p>
      <w:pPr>
        <w:pStyle w:val="Figure"/>
        <w:spacing w:before="200"/>
      </w:pPr>
      <w:r>
        <w:drawing>
          <wp:inline>
            <wp:extent cx="5759999" cy="4715891"/>
            <wp:effectExtent b="0" l="0" r="0" t="0"/>
            <wp:docPr descr="" title="" id="42" name="Picture"/>
            <a:graphic>
              <a:graphicData uri="http://schemas.openxmlformats.org/drawingml/2006/picture">
                <pic:pic>
                  <pic:nvPicPr>
                    <pic:cNvPr descr="results/paper/fig05_example_week.png" id="43" name="Picture"/>
                    <pic:cNvPicPr>
                      <a:picLocks noChangeArrowheads="1" noChangeAspect="1"/>
                    </pic:cNvPicPr>
                  </pic:nvPicPr>
                  <pic:blipFill>
                    <a:blip r:embed="rId41"/>
                    <a:stretch>
                      <a:fillRect/>
                    </a:stretch>
                  </pic:blipFill>
                  <pic:spPr bwMode="auto">
                    <a:xfrm>
                      <a:off x="0" y="0"/>
                      <a:ext cx="5759999" cy="4715891"/>
                    </a:xfrm>
                    <a:prstGeom prst="rect">
                      <a:avLst/>
                    </a:prstGeom>
                    <a:noFill/>
                    <a:ln w="9525">
                      <a:noFill/>
                      <a:headEnd/>
                      <a:tailEnd/>
                    </a:ln>
                  </pic:spPr>
                </pic:pic>
              </a:graphicData>
            </a:graphic>
          </wp:inline>
        </w:drawing>
      </w:r>
    </w:p>
    <w:p>
      <w:pPr>
        <w:pStyle w:val="FigureCaption"/>
      </w:pPr>
      <w:r>
        <w:rPr>
          <w:bCs/>
          <w:b/>
        </w:rPr>
        <w:t xml:space="preserve">Figure 4.</w:t>
      </w:r>
      <w:r>
        <w:t xml:space="preserve"> </w:t>
      </w:r>
      <w:r>
        <w:t xml:space="preserve">Week 3 (15–21 January 2023), the week with the median fuel saving. Top and middle: power supplied by GTs and wind with fixed (Case 2) and flexible (Case 3) demand. Bottom: production and injection rates.</w:t>
      </w:r>
    </w:p>
    <w:p>
      <w:pPr>
        <w:pStyle w:val="Figure"/>
      </w:pPr>
      <w:r>
        <w:drawing>
          <wp:inline>
            <wp:extent cx="5759999" cy="2202578"/>
            <wp:effectExtent b="0" l="0" r="0" t="0"/>
            <wp:docPr descr="" title="" id="45" name="Picture"/>
            <a:graphic>
              <a:graphicData uri="http://schemas.openxmlformats.org/drawingml/2006/picture">
                <pic:pic>
                  <pic:nvPicPr>
                    <pic:cNvPr descr="results/paper/fig06_gt_load_duration.png" id="46" name="Picture"/>
                    <pic:cNvPicPr>
                      <a:picLocks noChangeArrowheads="1" noChangeAspect="1"/>
                    </pic:cNvPicPr>
                  </pic:nvPicPr>
                  <pic:blipFill>
                    <a:blip r:embed="rId44"/>
                    <a:stretch>
                      <a:fillRect/>
                    </a:stretch>
                  </pic:blipFill>
                  <pic:spPr bwMode="auto">
                    <a:xfrm>
                      <a:off x="0" y="0"/>
                      <a:ext cx="5759999" cy="2202578"/>
                    </a:xfrm>
                    <a:prstGeom prst="rect">
                      <a:avLst/>
                    </a:prstGeom>
                    <a:noFill/>
                    <a:ln w="9525">
                      <a:noFill/>
                      <a:headEnd/>
                      <a:tailEnd/>
                    </a:ln>
                  </pic:spPr>
                </pic:pic>
              </a:graphicData>
            </a:graphic>
          </wp:inline>
        </w:drawing>
      </w:r>
    </w:p>
    <w:p>
      <w:pPr>
        <w:pStyle w:val="FigureCaption"/>
      </w:pPr>
      <w:r>
        <w:rPr>
          <w:bCs/>
          <w:b/>
        </w:rPr>
        <w:t xml:space="preserve">Figure 5.</w:t>
      </w:r>
      <w:r>
        <w:t xml:space="preserve"> </w:t>
      </w:r>
      <w:r>
        <w:t xml:space="preserve">Left: duration curves of GT load per running unit (shaded: below 50 %). Right: hours per year with two and with one GT running.</w:t>
      </w:r>
    </w:p>
    <w:p>
      <w:pPr>
        <w:pStyle w:val="BodyText"/>
      </w:pPr>
      <w:r>
        <w:t xml:space="preserve">The pattern is illustrated by the example week in Figure 4, which is the week</w:t>
      </w:r>
      <w:r>
        <w:t xml:space="preserve"> </w:t>
      </w:r>
      <w:r>
        <w:t xml:space="preserve">with the median fuel saving. Whenever the wind drops, injection is reduced,</w:t>
      </w:r>
      <w:r>
        <w:t xml:space="preserve"> </w:t>
      </w:r>
      <w:r>
        <w:t xml:space="preserve">sometimes to zero, so that the demand follows the wind, and when the wind</w:t>
      </w:r>
      <w:r>
        <w:t xml:space="preserve"> </w:t>
      </w:r>
      <w:r>
        <w:t xml:space="preserve">returns, injection runs at full rate in order to catch up. Over the year, the</w:t>
      </w:r>
      <w:r>
        <w:t xml:space="preserve"> </w:t>
      </w:r>
      <w:r>
        <w:t xml:space="preserve">injection rate follows the available wind (Figure 6): its mean increases from 57</w:t>
      </w:r>
      <w:r>
        <w:t xml:space="preserve"> </w:t>
      </w:r>
      <w:r>
        <w:t xml:space="preserve">% of capacity in the calmest hours to 98–100 % when more than 16 MW of wind</w:t>
      </w:r>
      <w:r>
        <w:t xml:space="preserve"> </w:t>
      </w:r>
      <w:r>
        <w:t xml:space="preserve">power is available, and the correlation coefficient between injection rate and</w:t>
      </w:r>
      <w:r>
        <w:t xml:space="preserve"> </w:t>
      </w:r>
      <w:r>
        <w:t xml:space="preserve">available wind is 0.61. Injection is below its 85 % target in 2,563 h, stopped</w:t>
      </w:r>
      <w:r>
        <w:t xml:space="preserve"> </w:t>
      </w:r>
      <w:r>
        <w:t xml:space="preserve">completely in 187 h and above the target in 6,129 h. Over the year it averages</w:t>
      </w:r>
      <w:r>
        <w:t xml:space="preserve"> </w:t>
      </w:r>
      <w:r>
        <w:t xml:space="preserve">84.9 % of capacity, and the voidage target is thus met.</w:t>
      </w:r>
    </w:p>
    <w:p>
      <w:pPr>
        <w:pStyle w:val="BodyText"/>
      </w:pPr>
      <w:r>
        <w:t xml:space="preserve">The deficit remains small compared with the limit. It averages 9.0 h of</w:t>
      </w:r>
      <w:r>
        <w:t xml:space="preserve"> </w:t>
      </w:r>
      <w:r>
        <w:t xml:space="preserve">full-rate injection, never exceeds 27.5 h and is above 24 h in only 149 h of</w:t>
      </w:r>
      <w:r>
        <w:t xml:space="preserve"> </w:t>
      </w:r>
      <w:r>
        <w:t xml:space="preserve">the year, which is well within the 72 h allowed. At the end of the year, 8.2 h</w:t>
      </w:r>
      <w:r>
        <w:t xml:space="preserve"> </w:t>
      </w:r>
      <w:r>
        <w:t xml:space="preserve">of injection remain to be caught up, corresponding to less than 1 % of the</w:t>
      </w:r>
      <w:r>
        <w:t xml:space="preserve"> </w:t>
      </w:r>
      <w:r>
        <w:t xml:space="preserve">annual saving. The short duration of the deficits is a consequence of the</w:t>
      </w:r>
      <w:r>
        <w:t xml:space="preserve"> </w:t>
      </w:r>
      <w:r>
        <w:t xml:space="preserve">mechanism described above, since the hours in which a second GT would be</w:t>
      </w:r>
      <w:r>
        <w:t xml:space="preserve"> </w:t>
      </w:r>
      <w:r>
        <w:t xml:space="preserve">required occur in spells of a few hours to about a day, between periods of</w:t>
      </w:r>
      <w:r>
        <w:t xml:space="preserve"> </w:t>
      </w:r>
      <w:r>
        <w:t xml:space="preserve">sufficient wind.</w:t>
      </w:r>
    </w:p>
    <w:p>
      <w:pPr>
        <w:pStyle w:val="BodyText"/>
      </w:pPr>
      <w:r>
        <w:t xml:space="preserve">Production is not reduced in any of the cases. One hour at a rate of 50 %</w:t>
      </w:r>
      <w:r>
        <w:t xml:space="preserve"> </w:t>
      </w:r>
      <w:r>
        <w:t xml:space="preserve">would lose oil and gas worth about 1.5 MNOK, whereas the fuel and CO</w:t>
      </w:r>
      <w:r>
        <w:rPr>
          <w:vertAlign w:val="subscript"/>
        </w:rPr>
        <w:t xml:space="preserve">2</w:t>
      </w:r>
      <w:r>
        <w:t xml:space="preserve"> </w:t>
      </w:r>
      <w:r>
        <w:t xml:space="preserve">saved in</w:t>
      </w:r>
      <w:r>
        <w:t xml:space="preserve"> </w:t>
      </w:r>
      <w:r>
        <w:t xml:space="preserve">that hour are worth a few thousand NOK, and the optimizer therefore always</w:t>
      </w:r>
      <w:r>
        <w:t xml:space="preserve"> </w:t>
      </w:r>
      <w:r>
        <w:t xml:space="preserve">prefers to defer injection. The saving from flexibility is obtained in every</w:t>
      </w:r>
      <w:r>
        <w:t xml:space="preserve"> </w:t>
      </w:r>
      <w:r>
        <w:t xml:space="preserve">month and ranges from 0.43 to 0.77 kt (Figure S3). It is largest in June,</w:t>
      </w:r>
      <w:r>
        <w:t xml:space="preserve"> </w:t>
      </w:r>
      <w:r>
        <w:t xml:space="preserve">December and July, which are the months in which the wind often falls just</w:t>
      </w:r>
      <w:r>
        <w:t xml:space="preserve"> </w:t>
      </w:r>
      <w:r>
        <w:t xml:space="preserve">below the demand.</w:t>
      </w:r>
    </w:p>
    <w:p>
      <w:pPr>
        <w:pStyle w:val="Figure"/>
      </w:pPr>
      <w:r>
        <w:drawing>
          <wp:inline>
            <wp:extent cx="5759999" cy="2200664"/>
            <wp:effectExtent b="0" l="0" r="0" t="0"/>
            <wp:docPr descr="" title="" id="48" name="Picture"/>
            <a:graphic>
              <a:graphicData uri="http://schemas.openxmlformats.org/drawingml/2006/picture">
                <pic:pic>
                  <pic:nvPicPr>
                    <pic:cNvPr descr="results/paper/fig07_injection_mechanism.png" id="49" name="Picture"/>
                    <pic:cNvPicPr>
                      <a:picLocks noChangeArrowheads="1" noChangeAspect="1"/>
                    </pic:cNvPicPr>
                  </pic:nvPicPr>
                  <pic:blipFill>
                    <a:blip r:embed="rId47"/>
                    <a:stretch>
                      <a:fillRect/>
                    </a:stretch>
                  </pic:blipFill>
                  <pic:spPr bwMode="auto">
                    <a:xfrm>
                      <a:off x="0" y="0"/>
                      <a:ext cx="5759999" cy="2200664"/>
                    </a:xfrm>
                    <a:prstGeom prst="rect">
                      <a:avLst/>
                    </a:prstGeom>
                    <a:noFill/>
                    <a:ln w="9525">
                      <a:noFill/>
                      <a:headEnd/>
                      <a:tailEnd/>
                    </a:ln>
                  </pic:spPr>
                </pic:pic>
              </a:graphicData>
            </a:graphic>
          </wp:inline>
        </w:drawing>
      </w:r>
    </w:p>
    <w:p>
      <w:pPr>
        <w:pStyle w:val="FigureCaption"/>
      </w:pPr>
      <w:r>
        <w:rPr>
          <w:bCs/>
          <w:b/>
        </w:rPr>
        <w:t xml:space="preserve">Figure 6.</w:t>
      </w:r>
      <w:r>
        <w:t xml:space="preserve"> </w:t>
      </w:r>
      <w:r>
        <w:t xml:space="preserve">Left: water injection rate against available wind in Case 3 (mean and 10–90 % range of hours). Right: distribution of the injection deficit (dashed: 72 h limit).</w:t>
      </w:r>
    </w:p>
    <w:bookmarkEnd w:id="50"/>
    <w:bookmarkStart w:id="54" w:name="sensitivity-analysis"/>
    <w:p>
      <w:pPr>
        <w:pStyle w:val="Heading2"/>
      </w:pPr>
      <w:r>
        <w:t xml:space="preserve">3.4 Sensitivity analysis</w:t>
      </w:r>
    </w:p>
    <w:p>
      <w:pPr>
        <w:pStyle w:val="FirstParagraph"/>
        <w:keepNext/>
      </w:pPr>
      <w:r>
        <w:rPr>
          <w:bCs/>
          <w:b/>
        </w:rPr>
        <w:t xml:space="preserve">Table 4.</w:t>
      </w:r>
      <w:r>
        <w:t xml:space="preserve"> </w:t>
      </w:r>
      <w:r>
        <w:t xml:space="preserve">Annual CO</w:t>
      </w:r>
      <w:r>
        <w:rPr>
          <w:vertAlign w:val="subscript"/>
        </w:rPr>
        <w:t xml:space="preserve">2</w:t>
      </w:r>
      <w:r>
        <w:t xml:space="preserve"> </w:t>
      </w:r>
      <w:r>
        <w:t xml:space="preserve">with fixed (Case 2) and flexible (Case 3) demand in the</w:t>
      </w:r>
      <w:r>
        <w:t xml:space="preserve"> </w:t>
      </w:r>
      <w:r>
        <w:t xml:space="preserve">sensitivity runs (2023), and the saving from flexibility. Case 2 does not depend on the</w:t>
      </w:r>
      <w:r>
        <w:t xml:space="preserve"> </w:t>
      </w:r>
      <w:r>
        <w:t xml:space="preserve">injection, pump and forecast settings. Forecast</w:t>
      </w:r>
      <w:r>
        <w:t xml:space="preserve"> </w:t>
      </w:r>
      <w:r>
        <w:t xml:space="preserve">runs include the CO</w:t>
      </w:r>
      <w:r>
        <w:rPr>
          <w:vertAlign w:val="subscript"/>
        </w:rPr>
        <w:t xml:space="preserve">2</w:t>
      </w:r>
      <w:r>
        <w:t xml:space="preserve"> </w:t>
      </w:r>
      <w:r>
        <w:t xml:space="preserve">of catching up the injection deficit left at the end of the year.</w:t>
      </w:r>
    </w:p>
    <w:tbl>
      <w:tblPr>
        <w:tblStyle w:val="Table"/>
        <w:tblW w:type="pct" w:w="5000"/>
        <w:tblLook w:firstRow="1" w:lastRow="0" w:firstColumn="0" w:lastColumn="0" w:noHBand="0" w:noVBand="0" w:val="0020"/>
        <w:jc w:val="start"/>
        <w:tblBorders>
          <w:top w:val="single" w:sz="4" w:space="0" w:color="000000"/>
          <w:bottom w:val="single" w:sz="4" w:space="0" w:color="000000"/>
          <w:left w:val="nil" w:sz="4" w:space="0" w:color="000000"/>
          <w:right w:val="nil" w:sz="4" w:space="0" w:color="000000"/>
          <w:insideH w:val="nil" w:sz="4" w:space="0" w:color="000000"/>
          <w:insideV w:val="nil" w:sz="4" w:space="0" w:color="000000"/>
        </w:tblBorders>
      </w:tblPr>
      <w:tblGrid>
        <w:gridCol w:w="2450"/>
        <w:gridCol w:w="2883"/>
        <w:gridCol w:w="1009"/>
        <w:gridCol w:w="1009"/>
        <w:gridCol w:w="1009"/>
        <w:gridCol w:w="998"/>
      </w:tblGrid>
      <w:tr>
        <w:trPr>
          <w:tblHeader w:val="true"/>
          <w:tblHeader/>
        </w:trPr>
        <w:tc>
          <w:tcPr>
            <w:tcW w:type="dxa" w:w="2450"/>
            <w:tcBorders>
              <w:bottom w:val="single" w:sz="4" w:space="0" w:color="000000"/>
            </w:tcBorders>
          </w:tcPr>
          <w:p>
            <w:pPr>
              <w:pStyle w:val="Compact"/>
              <w:spacing w:line="240" w:lineRule="auto" w:after="20"/>
              <w:jc w:val="left"/>
            </w:pPr>
            <w:r>
              <w:rPr>
                <w:b/>
                <w:sz w:val="20"/>
              </w:rPr>
              <w:t xml:space="preserve">Varied input</w:t>
            </w:r>
          </w:p>
        </w:tc>
        <w:tc>
          <w:tcPr>
            <w:tcW w:type="dxa" w:w="2883"/>
            <w:tcBorders>
              <w:bottom w:val="single" w:sz="4" w:space="0" w:color="000000"/>
            </w:tcBorders>
          </w:tcPr>
          <w:p>
            <w:pPr>
              <w:pStyle w:val="Compact"/>
              <w:spacing w:line="240" w:lineRule="auto" w:after="20"/>
              <w:jc w:val="left"/>
            </w:pPr>
            <w:r>
              <w:rPr>
                <w:b/>
                <w:sz w:val="20"/>
              </w:rPr>
              <w:t xml:space="preserve">Setting</w:t>
            </w:r>
          </w:p>
        </w:tc>
        <w:tc>
          <w:tcPr>
            <w:tcW w:type="dxa" w:w="1009"/>
            <w:tcBorders>
              <w:bottom w:val="single" w:sz="4" w:space="0" w:color="000000"/>
            </w:tcBorders>
          </w:tcPr>
          <w:p>
            <w:pPr>
              <w:pStyle w:val="Compact"/>
              <w:spacing w:line="240" w:lineRule="auto" w:after="20"/>
              <w:jc w:val="left"/>
            </w:pPr>
            <w:r>
              <w:rPr>
                <w:b/>
                <w:sz w:val="20"/>
              </w:rPr>
              <w:t xml:space="preserve">Case 2 [kt/yr]</w:t>
            </w:r>
          </w:p>
        </w:tc>
        <w:tc>
          <w:tcPr>
            <w:tcW w:type="dxa" w:w="1009"/>
            <w:tcBorders>
              <w:bottom w:val="single" w:sz="4" w:space="0" w:color="000000"/>
            </w:tcBorders>
          </w:tcPr>
          <w:p>
            <w:pPr>
              <w:pStyle w:val="Compact"/>
              <w:spacing w:line="240" w:lineRule="auto" w:after="20"/>
              <w:jc w:val="left"/>
            </w:pPr>
            <w:r>
              <w:rPr>
                <w:b/>
                <w:sz w:val="20"/>
              </w:rPr>
              <w:t xml:space="preserve">Case 3 [kt/yr]</w:t>
            </w:r>
          </w:p>
        </w:tc>
        <w:tc>
          <w:tcPr>
            <w:tcW w:type="dxa" w:w="1009"/>
            <w:tcBorders>
              <w:bottom w:val="single" w:sz="4" w:space="0" w:color="000000"/>
            </w:tcBorders>
          </w:tcPr>
          <w:p>
            <w:pPr>
              <w:pStyle w:val="Compact"/>
              <w:spacing w:line="240" w:lineRule="auto" w:after="20"/>
              <w:jc w:val="left"/>
            </w:pPr>
            <w:r>
              <w:rPr>
                <w:b/>
                <w:sz w:val="20"/>
              </w:rPr>
              <w:t xml:space="preserve">Saving [kt/yr]</w:t>
            </w:r>
          </w:p>
        </w:tc>
        <w:tc>
          <w:tcPr>
            <w:tcW w:type="dxa" w:w="998"/>
            <w:tcBorders>
              <w:bottom w:val="single" w:sz="4" w:space="0" w:color="000000"/>
            </w:tcBorders>
          </w:tcPr>
          <w:p>
            <w:pPr>
              <w:pStyle w:val="Compact"/>
              <w:spacing w:line="240" w:lineRule="auto" w:after="20"/>
              <w:jc w:val="left"/>
            </w:pPr>
            <w:r>
              <w:rPr>
                <w:b/>
                <w:sz w:val="20"/>
              </w:rPr>
              <w:t xml:space="preserve">Saving [%]</w:t>
            </w:r>
          </w:p>
        </w:tc>
      </w:tr>
      <w:tr>
        <w:tc>
          <w:tcPr>
            <w:tcW w:type="dxa" w:w="2450"/>
          </w:tcPr>
          <w:p>
            <w:pPr>
              <w:pStyle w:val="Compact"/>
              <w:spacing w:line="240" w:lineRule="auto" w:after="20"/>
              <w:jc w:val="left"/>
            </w:pPr>
            <w:r>
              <w:rPr>
                <w:sz w:val="20"/>
              </w:rPr>
              <w:t xml:space="preserve">Wind farm size</w:t>
            </w:r>
          </w:p>
        </w:tc>
        <w:tc>
          <w:tcPr>
            <w:tcW w:type="dxa" w:w="2883"/>
          </w:tcPr>
          <w:p>
            <w:pPr>
              <w:pStyle w:val="Compact"/>
              <w:spacing w:line="240" w:lineRule="auto" w:after="20"/>
              <w:jc w:val="left"/>
            </w:pPr>
            <w:r>
              <w:rPr>
                <w:sz w:val="20"/>
              </w:rPr>
              <w:t xml:space="preserve">15 MW</w:t>
            </w:r>
          </w:p>
        </w:tc>
        <w:tc>
          <w:tcPr>
            <w:tcW w:type="dxa" w:w="1009"/>
          </w:tcPr>
          <w:p>
            <w:pPr>
              <w:pStyle w:val="Compact"/>
              <w:spacing w:line="240" w:lineRule="auto" w:after="20"/>
              <w:jc w:val="left"/>
            </w:pPr>
            <w:r>
              <w:rPr>
                <w:sz w:val="20"/>
              </w:rPr>
              <w:t xml:space="preserve">77.5</w:t>
            </w:r>
          </w:p>
        </w:tc>
        <w:tc>
          <w:tcPr>
            <w:tcW w:type="dxa" w:w="1009"/>
          </w:tcPr>
          <w:p>
            <w:pPr>
              <w:pStyle w:val="Compact"/>
              <w:spacing w:line="240" w:lineRule="auto" w:after="20"/>
              <w:jc w:val="left"/>
            </w:pPr>
            <w:r>
              <w:rPr>
                <w:sz w:val="20"/>
              </w:rPr>
              <w:t xml:space="preserve">71.9</w:t>
            </w:r>
          </w:p>
        </w:tc>
        <w:tc>
          <w:tcPr>
            <w:tcW w:type="dxa" w:w="1009"/>
          </w:tcPr>
          <w:p>
            <w:pPr>
              <w:pStyle w:val="Compact"/>
              <w:spacing w:line="240" w:lineRule="auto" w:after="20"/>
              <w:jc w:val="left"/>
            </w:pPr>
            <w:r>
              <w:rPr>
                <w:sz w:val="20"/>
              </w:rPr>
              <w:t xml:space="preserve">5.6</w:t>
            </w:r>
          </w:p>
        </w:tc>
        <w:tc>
          <w:tcPr>
            <w:tcW w:type="dxa" w:w="998"/>
          </w:tcPr>
          <w:p>
            <w:pPr>
              <w:pStyle w:val="Compact"/>
              <w:spacing w:line="240" w:lineRule="auto" w:after="20"/>
              <w:jc w:val="left"/>
            </w:pPr>
            <w:r>
              <w:rPr>
                <w:sz w:val="20"/>
              </w:rPr>
              <w:t xml:space="preserve">7.2</w:t>
            </w:r>
          </w:p>
        </w:tc>
      </w:tr>
      <w:tr>
        <w:tc>
          <w:tcPr>
            <w:tcW w:type="dxa" w:w="2450"/>
          </w:tcPr>
          <w:p>
            <w:pPr>
              <w:pStyle w:val="Compact"/>
              <w:spacing w:line="240" w:lineRule="auto" w:after="20"/>
              <w:jc w:val="left"/>
            </w:pPr>
          </w:p>
        </w:tc>
        <w:tc>
          <w:tcPr>
            <w:tcW w:type="dxa" w:w="2883"/>
          </w:tcPr>
          <w:p>
            <w:pPr>
              <w:pStyle w:val="Compact"/>
              <w:spacing w:line="240" w:lineRule="auto" w:after="20"/>
              <w:jc w:val="left"/>
            </w:pPr>
            <w:r>
              <w:rPr>
                <w:sz w:val="20"/>
              </w:rPr>
              <w:t xml:space="preserve">30 MW</w:t>
            </w:r>
            <w:r>
              <w:rPr>
                <w:sz w:val="20"/>
              </w:rPr>
              <w:t xml:space="preserve"> </w:t>
            </w:r>
            <w:r>
              <w:rPr>
                <w:bCs/>
                <w:b/>
                <w:sz w:val="20"/>
              </w:rPr>
              <w:t xml:space="preserve">(base)</w:t>
            </w:r>
          </w:p>
        </w:tc>
        <w:tc>
          <w:tcPr>
            <w:tcW w:type="dxa" w:w="1009"/>
          </w:tcPr>
          <w:p>
            <w:pPr>
              <w:pStyle w:val="Compact"/>
              <w:spacing w:line="240" w:lineRule="auto" w:after="20"/>
              <w:jc w:val="left"/>
            </w:pPr>
            <w:r>
              <w:rPr>
                <w:sz w:val="20"/>
              </w:rPr>
              <w:t xml:space="preserve">64.7</w:t>
            </w:r>
          </w:p>
        </w:tc>
        <w:tc>
          <w:tcPr>
            <w:tcW w:type="dxa" w:w="1009"/>
          </w:tcPr>
          <w:p>
            <w:pPr>
              <w:pStyle w:val="Compact"/>
              <w:spacing w:line="240" w:lineRule="auto" w:after="20"/>
              <w:jc w:val="left"/>
            </w:pPr>
            <w:r>
              <w:rPr>
                <w:sz w:val="20"/>
              </w:rPr>
              <w:t xml:space="preserve">57.5</w:t>
            </w:r>
          </w:p>
        </w:tc>
        <w:tc>
          <w:tcPr>
            <w:tcW w:type="dxa" w:w="1009"/>
          </w:tcPr>
          <w:p>
            <w:pPr>
              <w:pStyle w:val="Compact"/>
              <w:spacing w:line="240" w:lineRule="auto" w:after="20"/>
              <w:jc w:val="left"/>
            </w:pPr>
            <w:r>
              <w:rPr>
                <w:sz w:val="20"/>
              </w:rPr>
              <w:t xml:space="preserve">7.2</w:t>
            </w:r>
          </w:p>
        </w:tc>
        <w:tc>
          <w:tcPr>
            <w:tcW w:type="dxa" w:w="998"/>
          </w:tcPr>
          <w:p>
            <w:pPr>
              <w:pStyle w:val="Compact"/>
              <w:spacing w:line="240" w:lineRule="auto" w:after="20"/>
              <w:jc w:val="left"/>
            </w:pPr>
            <w:r>
              <w:rPr>
                <w:sz w:val="20"/>
              </w:rPr>
              <w:t xml:space="preserve">11.1</w:t>
            </w:r>
          </w:p>
        </w:tc>
      </w:tr>
      <w:tr>
        <w:tc>
          <w:tcPr>
            <w:tcW w:type="dxa" w:w="2450"/>
          </w:tcPr>
          <w:p>
            <w:pPr>
              <w:pStyle w:val="Compact"/>
              <w:spacing w:line="240" w:lineRule="auto" w:after="20"/>
              <w:jc w:val="left"/>
            </w:pPr>
          </w:p>
        </w:tc>
        <w:tc>
          <w:tcPr>
            <w:tcW w:type="dxa" w:w="2883"/>
          </w:tcPr>
          <w:p>
            <w:pPr>
              <w:pStyle w:val="Compact"/>
              <w:spacing w:line="240" w:lineRule="auto" w:after="20"/>
              <w:jc w:val="left"/>
            </w:pPr>
            <w:r>
              <w:rPr>
                <w:sz w:val="20"/>
              </w:rPr>
              <w:t xml:space="preserve">45 MW</w:t>
            </w:r>
          </w:p>
        </w:tc>
        <w:tc>
          <w:tcPr>
            <w:tcW w:type="dxa" w:w="1009"/>
          </w:tcPr>
          <w:p>
            <w:pPr>
              <w:pStyle w:val="Compact"/>
              <w:spacing w:line="240" w:lineRule="auto" w:after="20"/>
              <w:jc w:val="left"/>
            </w:pPr>
            <w:r>
              <w:rPr>
                <w:sz w:val="20"/>
              </w:rPr>
              <w:t xml:space="preserve">60.2</w:t>
            </w:r>
          </w:p>
        </w:tc>
        <w:tc>
          <w:tcPr>
            <w:tcW w:type="dxa" w:w="1009"/>
          </w:tcPr>
          <w:p>
            <w:pPr>
              <w:pStyle w:val="Compact"/>
              <w:spacing w:line="240" w:lineRule="auto" w:after="20"/>
              <w:jc w:val="left"/>
            </w:pPr>
            <w:r>
              <w:rPr>
                <w:sz w:val="20"/>
              </w:rPr>
              <w:t xml:space="preserve">53.4</w:t>
            </w:r>
          </w:p>
        </w:tc>
        <w:tc>
          <w:tcPr>
            <w:tcW w:type="dxa" w:w="1009"/>
          </w:tcPr>
          <w:p>
            <w:pPr>
              <w:pStyle w:val="Compact"/>
              <w:spacing w:line="240" w:lineRule="auto" w:after="20"/>
              <w:jc w:val="left"/>
            </w:pPr>
            <w:r>
              <w:rPr>
                <w:sz w:val="20"/>
              </w:rPr>
              <w:t xml:space="preserve">6.8</w:t>
            </w:r>
          </w:p>
        </w:tc>
        <w:tc>
          <w:tcPr>
            <w:tcW w:type="dxa" w:w="998"/>
          </w:tcPr>
          <w:p>
            <w:pPr>
              <w:pStyle w:val="Compact"/>
              <w:spacing w:line="240" w:lineRule="auto" w:after="20"/>
              <w:jc w:val="left"/>
            </w:pPr>
            <w:r>
              <w:rPr>
                <w:sz w:val="20"/>
              </w:rPr>
              <w:t xml:space="preserve">11.3</w:t>
            </w:r>
          </w:p>
        </w:tc>
      </w:tr>
      <w:tr>
        <w:tc>
          <w:tcPr>
            <w:tcW w:type="dxa" w:w="2450"/>
          </w:tcPr>
          <w:p>
            <w:pPr>
              <w:pStyle w:val="Compact"/>
              <w:spacing w:line="240" w:lineRule="auto" w:after="20"/>
              <w:jc w:val="left"/>
            </w:pPr>
          </w:p>
        </w:tc>
        <w:tc>
          <w:tcPr>
            <w:tcW w:type="dxa" w:w="2883"/>
          </w:tcPr>
          <w:p>
            <w:pPr>
              <w:pStyle w:val="Compact"/>
              <w:spacing w:line="240" w:lineRule="auto" w:after="20"/>
              <w:jc w:val="left"/>
            </w:pPr>
            <w:r>
              <w:rPr>
                <w:sz w:val="20"/>
              </w:rPr>
              <w:t xml:space="preserve">60 MW</w:t>
            </w:r>
          </w:p>
        </w:tc>
        <w:tc>
          <w:tcPr>
            <w:tcW w:type="dxa" w:w="1009"/>
          </w:tcPr>
          <w:p>
            <w:pPr>
              <w:pStyle w:val="Compact"/>
              <w:spacing w:line="240" w:lineRule="auto" w:after="20"/>
              <w:jc w:val="left"/>
            </w:pPr>
            <w:r>
              <w:rPr>
                <w:sz w:val="20"/>
              </w:rPr>
              <w:t xml:space="preserve">57.6</w:t>
            </w:r>
          </w:p>
        </w:tc>
        <w:tc>
          <w:tcPr>
            <w:tcW w:type="dxa" w:w="1009"/>
          </w:tcPr>
          <w:p>
            <w:pPr>
              <w:pStyle w:val="Compact"/>
              <w:spacing w:line="240" w:lineRule="auto" w:after="20"/>
              <w:jc w:val="left"/>
            </w:pPr>
            <w:r>
              <w:rPr>
                <w:sz w:val="20"/>
              </w:rPr>
              <w:t xml:space="preserve">50.9</w:t>
            </w:r>
          </w:p>
        </w:tc>
        <w:tc>
          <w:tcPr>
            <w:tcW w:type="dxa" w:w="1009"/>
          </w:tcPr>
          <w:p>
            <w:pPr>
              <w:pStyle w:val="Compact"/>
              <w:spacing w:line="240" w:lineRule="auto" w:after="20"/>
              <w:jc w:val="left"/>
            </w:pPr>
            <w:r>
              <w:rPr>
                <w:sz w:val="20"/>
              </w:rPr>
              <w:t xml:space="preserve">6.7</w:t>
            </w:r>
          </w:p>
        </w:tc>
        <w:tc>
          <w:tcPr>
            <w:tcW w:type="dxa" w:w="998"/>
          </w:tcPr>
          <w:p>
            <w:pPr>
              <w:pStyle w:val="Compact"/>
              <w:spacing w:line="240" w:lineRule="auto" w:after="20"/>
              <w:jc w:val="left"/>
            </w:pPr>
            <w:r>
              <w:rPr>
                <w:sz w:val="20"/>
              </w:rPr>
              <w:t xml:space="preserve">11.6</w:t>
            </w:r>
          </w:p>
        </w:tc>
      </w:tr>
      <w:tr>
        <w:tc>
          <w:tcPr>
            <w:tcW w:type="dxa" w:w="2450"/>
          </w:tcPr>
          <w:p>
            <w:pPr>
              <w:pStyle w:val="Compact"/>
              <w:spacing w:line="240" w:lineRule="auto" w:after="20"/>
              <w:jc w:val="left"/>
            </w:pPr>
            <w:r>
              <w:rPr>
                <w:sz w:val="20"/>
              </w:rPr>
              <w:t xml:space="preserve">Injection deficit limit</w:t>
            </w:r>
          </w:p>
        </w:tc>
        <w:tc>
          <w:tcPr>
            <w:tcW w:type="dxa" w:w="2883"/>
          </w:tcPr>
          <w:p>
            <w:pPr>
              <w:pStyle w:val="Compact"/>
              <w:spacing w:line="240" w:lineRule="auto" w:after="20"/>
              <w:jc w:val="left"/>
            </w:pPr>
            <w:r>
              <w:rPr>
                <w:sz w:val="20"/>
              </w:rPr>
              <w:t xml:space="preserve">0 h</w:t>
            </w:r>
          </w:p>
        </w:tc>
        <w:tc>
          <w:tcPr>
            <w:tcW w:type="dxa" w:w="1009"/>
          </w:tcPr>
          <w:p>
            <w:pPr>
              <w:pStyle w:val="Compact"/>
              <w:spacing w:line="240" w:lineRule="auto" w:after="20"/>
              <w:jc w:val="left"/>
            </w:pPr>
            <w:r>
              <w:rPr>
                <w:sz w:val="20"/>
              </w:rPr>
              <w:t xml:space="preserve">64.7</w:t>
            </w:r>
          </w:p>
        </w:tc>
        <w:tc>
          <w:tcPr>
            <w:tcW w:type="dxa" w:w="1009"/>
          </w:tcPr>
          <w:p>
            <w:pPr>
              <w:pStyle w:val="Compact"/>
              <w:spacing w:line="240" w:lineRule="auto" w:after="20"/>
              <w:jc w:val="left"/>
            </w:pPr>
            <w:r>
              <w:rPr>
                <w:sz w:val="20"/>
              </w:rPr>
              <w:t xml:space="preserve">64.7</w:t>
            </w:r>
          </w:p>
        </w:tc>
        <w:tc>
          <w:tcPr>
            <w:tcW w:type="dxa" w:w="1009"/>
          </w:tcPr>
          <w:p>
            <w:pPr>
              <w:pStyle w:val="Compact"/>
              <w:spacing w:line="240" w:lineRule="auto" w:after="20"/>
              <w:jc w:val="left"/>
            </w:pPr>
            <w:r>
              <w:rPr>
                <w:sz w:val="20"/>
              </w:rPr>
              <w:t xml:space="preserve">0.0</w:t>
            </w:r>
          </w:p>
        </w:tc>
        <w:tc>
          <w:tcPr>
            <w:tcW w:type="dxa" w:w="998"/>
          </w:tcPr>
          <w:p>
            <w:pPr>
              <w:pStyle w:val="Compact"/>
              <w:spacing w:line="240" w:lineRule="auto" w:after="20"/>
              <w:jc w:val="left"/>
            </w:pPr>
            <w:r>
              <w:rPr>
                <w:sz w:val="20"/>
              </w:rPr>
              <w:t xml:space="preserve">0.0</w:t>
            </w:r>
          </w:p>
        </w:tc>
      </w:tr>
      <w:tr>
        <w:tc>
          <w:tcPr>
            <w:tcW w:type="dxa" w:w="2450"/>
          </w:tcPr>
          <w:p>
            <w:pPr>
              <w:pStyle w:val="Compact"/>
              <w:spacing w:line="240" w:lineRule="auto" w:after="20"/>
              <w:jc w:val="left"/>
            </w:pPr>
          </w:p>
        </w:tc>
        <w:tc>
          <w:tcPr>
            <w:tcW w:type="dxa" w:w="2883"/>
          </w:tcPr>
          <w:p>
            <w:pPr>
              <w:pStyle w:val="Compact"/>
              <w:spacing w:line="240" w:lineRule="auto" w:after="20"/>
              <w:jc w:val="left"/>
            </w:pPr>
            <w:r>
              <w:rPr>
                <w:sz w:val="20"/>
              </w:rPr>
              <w:t xml:space="preserve">24 h</w:t>
            </w:r>
          </w:p>
        </w:tc>
        <w:tc>
          <w:tcPr>
            <w:tcW w:type="dxa" w:w="1009"/>
          </w:tcPr>
          <w:p>
            <w:pPr>
              <w:pStyle w:val="Compact"/>
              <w:spacing w:line="240" w:lineRule="auto" w:after="20"/>
              <w:jc w:val="left"/>
            </w:pPr>
            <w:r>
              <w:rPr>
                <w:sz w:val="20"/>
              </w:rPr>
              <w:t xml:space="preserve">64.7</w:t>
            </w:r>
          </w:p>
        </w:tc>
        <w:tc>
          <w:tcPr>
            <w:tcW w:type="dxa" w:w="1009"/>
          </w:tcPr>
          <w:p>
            <w:pPr>
              <w:pStyle w:val="Compact"/>
              <w:spacing w:line="240" w:lineRule="auto" w:after="20"/>
              <w:jc w:val="left"/>
            </w:pPr>
            <w:r>
              <w:rPr>
                <w:sz w:val="20"/>
              </w:rPr>
              <w:t xml:space="preserve">57.5</w:t>
            </w:r>
          </w:p>
        </w:tc>
        <w:tc>
          <w:tcPr>
            <w:tcW w:type="dxa" w:w="1009"/>
          </w:tcPr>
          <w:p>
            <w:pPr>
              <w:pStyle w:val="Compact"/>
              <w:spacing w:line="240" w:lineRule="auto" w:after="20"/>
              <w:jc w:val="left"/>
            </w:pPr>
            <w:r>
              <w:rPr>
                <w:sz w:val="20"/>
              </w:rPr>
              <w:t xml:space="preserve">7.1</w:t>
            </w:r>
          </w:p>
        </w:tc>
        <w:tc>
          <w:tcPr>
            <w:tcW w:type="dxa" w:w="998"/>
          </w:tcPr>
          <w:p>
            <w:pPr>
              <w:pStyle w:val="Compact"/>
              <w:spacing w:line="240" w:lineRule="auto" w:after="20"/>
              <w:jc w:val="left"/>
            </w:pPr>
            <w:r>
              <w:rPr>
                <w:sz w:val="20"/>
              </w:rPr>
              <w:t xml:space="preserve">11.0</w:t>
            </w:r>
          </w:p>
        </w:tc>
      </w:tr>
      <w:tr>
        <w:tc>
          <w:tcPr>
            <w:tcW w:type="dxa" w:w="2450"/>
          </w:tcPr>
          <w:p>
            <w:pPr>
              <w:pStyle w:val="Compact"/>
              <w:spacing w:line="240" w:lineRule="auto" w:after="20"/>
              <w:jc w:val="left"/>
            </w:pPr>
          </w:p>
        </w:tc>
        <w:tc>
          <w:tcPr>
            <w:tcW w:type="dxa" w:w="2883"/>
          </w:tcPr>
          <w:p>
            <w:pPr>
              <w:pStyle w:val="Compact"/>
              <w:spacing w:line="240" w:lineRule="auto" w:after="20"/>
              <w:jc w:val="left"/>
            </w:pPr>
            <w:r>
              <w:rPr>
                <w:sz w:val="20"/>
              </w:rPr>
              <w:t xml:space="preserve">72 h</w:t>
            </w:r>
            <w:r>
              <w:rPr>
                <w:sz w:val="20"/>
              </w:rPr>
              <w:t xml:space="preserve"> </w:t>
            </w:r>
            <w:r>
              <w:rPr>
                <w:bCs/>
                <w:b/>
                <w:sz w:val="20"/>
              </w:rPr>
              <w:t xml:space="preserve">(base)</w:t>
            </w:r>
          </w:p>
        </w:tc>
        <w:tc>
          <w:tcPr>
            <w:tcW w:type="dxa" w:w="1009"/>
          </w:tcPr>
          <w:p>
            <w:pPr>
              <w:pStyle w:val="Compact"/>
              <w:spacing w:line="240" w:lineRule="auto" w:after="20"/>
              <w:jc w:val="left"/>
            </w:pPr>
            <w:r>
              <w:rPr>
                <w:sz w:val="20"/>
              </w:rPr>
              <w:t xml:space="preserve">64.7</w:t>
            </w:r>
          </w:p>
        </w:tc>
        <w:tc>
          <w:tcPr>
            <w:tcW w:type="dxa" w:w="1009"/>
          </w:tcPr>
          <w:p>
            <w:pPr>
              <w:pStyle w:val="Compact"/>
              <w:spacing w:line="240" w:lineRule="auto" w:after="20"/>
              <w:jc w:val="left"/>
            </w:pPr>
            <w:r>
              <w:rPr>
                <w:sz w:val="20"/>
              </w:rPr>
              <w:t xml:space="preserve">57.5</w:t>
            </w:r>
          </w:p>
        </w:tc>
        <w:tc>
          <w:tcPr>
            <w:tcW w:type="dxa" w:w="1009"/>
          </w:tcPr>
          <w:p>
            <w:pPr>
              <w:pStyle w:val="Compact"/>
              <w:spacing w:line="240" w:lineRule="auto" w:after="20"/>
              <w:jc w:val="left"/>
            </w:pPr>
            <w:r>
              <w:rPr>
                <w:sz w:val="20"/>
              </w:rPr>
              <w:t xml:space="preserve">7.2</w:t>
            </w:r>
          </w:p>
        </w:tc>
        <w:tc>
          <w:tcPr>
            <w:tcW w:type="dxa" w:w="998"/>
          </w:tcPr>
          <w:p>
            <w:pPr>
              <w:pStyle w:val="Compact"/>
              <w:spacing w:line="240" w:lineRule="auto" w:after="20"/>
              <w:jc w:val="left"/>
            </w:pPr>
            <w:r>
              <w:rPr>
                <w:sz w:val="20"/>
              </w:rPr>
              <w:t xml:space="preserve">11.1</w:t>
            </w:r>
          </w:p>
        </w:tc>
      </w:tr>
      <w:tr>
        <w:tc>
          <w:tcPr>
            <w:tcW w:type="dxa" w:w="2450"/>
          </w:tcPr>
          <w:p>
            <w:pPr>
              <w:pStyle w:val="Compact"/>
              <w:spacing w:line="240" w:lineRule="auto" w:after="20"/>
              <w:jc w:val="left"/>
            </w:pPr>
          </w:p>
        </w:tc>
        <w:tc>
          <w:tcPr>
            <w:tcW w:type="dxa" w:w="2883"/>
          </w:tcPr>
          <w:p>
            <w:pPr>
              <w:pStyle w:val="Compact"/>
              <w:spacing w:line="240" w:lineRule="auto" w:after="20"/>
              <w:jc w:val="left"/>
            </w:pPr>
            <w:r>
              <w:rPr>
                <w:sz w:val="20"/>
              </w:rPr>
              <w:t xml:space="preserve">168 h</w:t>
            </w:r>
          </w:p>
        </w:tc>
        <w:tc>
          <w:tcPr>
            <w:tcW w:type="dxa" w:w="1009"/>
          </w:tcPr>
          <w:p>
            <w:pPr>
              <w:pStyle w:val="Compact"/>
              <w:spacing w:line="240" w:lineRule="auto" w:after="20"/>
              <w:jc w:val="left"/>
            </w:pPr>
            <w:r>
              <w:rPr>
                <w:sz w:val="20"/>
              </w:rPr>
              <w:t xml:space="preserve">64.7</w:t>
            </w:r>
          </w:p>
        </w:tc>
        <w:tc>
          <w:tcPr>
            <w:tcW w:type="dxa" w:w="1009"/>
          </w:tcPr>
          <w:p>
            <w:pPr>
              <w:pStyle w:val="Compact"/>
              <w:spacing w:line="240" w:lineRule="auto" w:after="20"/>
              <w:jc w:val="left"/>
            </w:pPr>
            <w:r>
              <w:rPr>
                <w:sz w:val="20"/>
              </w:rPr>
              <w:t xml:space="preserve">57.5</w:t>
            </w:r>
          </w:p>
        </w:tc>
        <w:tc>
          <w:tcPr>
            <w:tcW w:type="dxa" w:w="1009"/>
          </w:tcPr>
          <w:p>
            <w:pPr>
              <w:pStyle w:val="Compact"/>
              <w:spacing w:line="240" w:lineRule="auto" w:after="20"/>
              <w:jc w:val="left"/>
            </w:pPr>
            <w:r>
              <w:rPr>
                <w:sz w:val="20"/>
              </w:rPr>
              <w:t xml:space="preserve">7.1</w:t>
            </w:r>
          </w:p>
        </w:tc>
        <w:tc>
          <w:tcPr>
            <w:tcW w:type="dxa" w:w="998"/>
          </w:tcPr>
          <w:p>
            <w:pPr>
              <w:pStyle w:val="Compact"/>
              <w:spacing w:line="240" w:lineRule="auto" w:after="20"/>
              <w:jc w:val="left"/>
            </w:pPr>
            <w:r>
              <w:rPr>
                <w:sz w:val="20"/>
              </w:rPr>
              <w:t xml:space="preserve">11.0</w:t>
            </w:r>
          </w:p>
        </w:tc>
      </w:tr>
      <w:tr>
        <w:tc>
          <w:tcPr>
            <w:tcW w:type="dxa" w:w="2450"/>
          </w:tcPr>
          <w:p>
            <w:pPr>
              <w:pStyle w:val="Compact"/>
              <w:spacing w:line="240" w:lineRule="auto" w:after="20"/>
              <w:jc w:val="left"/>
            </w:pPr>
            <w:r>
              <w:rPr>
                <w:sz w:val="20"/>
              </w:rPr>
              <w:t xml:space="preserve">GT fleet</w:t>
            </w:r>
          </w:p>
        </w:tc>
        <w:tc>
          <w:tcPr>
            <w:tcW w:type="dxa" w:w="2883"/>
          </w:tcPr>
          <w:p>
            <w:pPr>
              <w:pStyle w:val="Compact"/>
              <w:spacing w:line="240" w:lineRule="auto" w:after="20"/>
              <w:jc w:val="left"/>
            </w:pPr>
            <w:r>
              <w:rPr>
                <w:sz w:val="20"/>
              </w:rPr>
              <w:t xml:space="preserve">3 main</w:t>
            </w:r>
            <w:r>
              <w:rPr>
                <w:sz w:val="20"/>
              </w:rPr>
              <w:t xml:space="preserve"> </w:t>
            </w:r>
            <w:r>
              <w:rPr>
                <w:bCs/>
                <w:b/>
                <w:sz w:val="20"/>
              </w:rPr>
              <w:t xml:space="preserve">(base)</w:t>
            </w:r>
          </w:p>
        </w:tc>
        <w:tc>
          <w:tcPr>
            <w:tcW w:type="dxa" w:w="1009"/>
          </w:tcPr>
          <w:p>
            <w:pPr>
              <w:pStyle w:val="Compact"/>
              <w:spacing w:line="240" w:lineRule="auto" w:after="20"/>
              <w:jc w:val="left"/>
            </w:pPr>
            <w:r>
              <w:rPr>
                <w:sz w:val="20"/>
              </w:rPr>
              <w:t xml:space="preserve">64.7</w:t>
            </w:r>
          </w:p>
        </w:tc>
        <w:tc>
          <w:tcPr>
            <w:tcW w:type="dxa" w:w="1009"/>
          </w:tcPr>
          <w:p>
            <w:pPr>
              <w:pStyle w:val="Compact"/>
              <w:spacing w:line="240" w:lineRule="auto" w:after="20"/>
              <w:jc w:val="left"/>
            </w:pPr>
            <w:r>
              <w:rPr>
                <w:sz w:val="20"/>
              </w:rPr>
              <w:t xml:space="preserve">57.5</w:t>
            </w:r>
          </w:p>
        </w:tc>
        <w:tc>
          <w:tcPr>
            <w:tcW w:type="dxa" w:w="1009"/>
          </w:tcPr>
          <w:p>
            <w:pPr>
              <w:pStyle w:val="Compact"/>
              <w:spacing w:line="240" w:lineRule="auto" w:after="20"/>
              <w:jc w:val="left"/>
            </w:pPr>
            <w:r>
              <w:rPr>
                <w:sz w:val="20"/>
              </w:rPr>
              <w:t xml:space="preserve">7.2</w:t>
            </w:r>
          </w:p>
        </w:tc>
        <w:tc>
          <w:tcPr>
            <w:tcW w:type="dxa" w:w="998"/>
          </w:tcPr>
          <w:p>
            <w:pPr>
              <w:pStyle w:val="Compact"/>
              <w:spacing w:line="240" w:lineRule="auto" w:after="20"/>
              <w:jc w:val="left"/>
            </w:pPr>
            <w:r>
              <w:rPr>
                <w:sz w:val="20"/>
              </w:rPr>
              <w:t xml:space="preserve">11.1</w:t>
            </w:r>
          </w:p>
        </w:tc>
      </w:tr>
      <w:tr>
        <w:tc>
          <w:tcPr>
            <w:tcW w:type="dxa" w:w="2450"/>
          </w:tcPr>
          <w:p>
            <w:pPr>
              <w:pStyle w:val="Compact"/>
              <w:spacing w:line="240" w:lineRule="auto" w:after="20"/>
              <w:jc w:val="left"/>
            </w:pPr>
          </w:p>
        </w:tc>
        <w:tc>
          <w:tcPr>
            <w:tcW w:type="dxa" w:w="2883"/>
          </w:tcPr>
          <w:p>
            <w:pPr>
              <w:pStyle w:val="Compact"/>
              <w:spacing w:line="240" w:lineRule="auto" w:after="20"/>
              <w:jc w:val="left"/>
            </w:pPr>
            <w:r>
              <w:rPr>
                <w:sz w:val="20"/>
              </w:rPr>
              <w:t xml:space="preserve">2 main + 1 small</w:t>
            </w:r>
          </w:p>
        </w:tc>
        <w:tc>
          <w:tcPr>
            <w:tcW w:type="dxa" w:w="1009"/>
          </w:tcPr>
          <w:p>
            <w:pPr>
              <w:pStyle w:val="Compact"/>
              <w:spacing w:line="240" w:lineRule="auto" w:after="20"/>
              <w:jc w:val="left"/>
            </w:pPr>
            <w:r>
              <w:rPr>
                <w:sz w:val="20"/>
              </w:rPr>
              <w:t xml:space="preserve">53.9</w:t>
            </w:r>
          </w:p>
        </w:tc>
        <w:tc>
          <w:tcPr>
            <w:tcW w:type="dxa" w:w="1009"/>
          </w:tcPr>
          <w:p>
            <w:pPr>
              <w:pStyle w:val="Compact"/>
              <w:spacing w:line="240" w:lineRule="auto" w:after="20"/>
              <w:jc w:val="left"/>
            </w:pPr>
            <w:r>
              <w:rPr>
                <w:sz w:val="20"/>
              </w:rPr>
              <w:t xml:space="preserve">47.8</w:t>
            </w:r>
          </w:p>
        </w:tc>
        <w:tc>
          <w:tcPr>
            <w:tcW w:type="dxa" w:w="1009"/>
          </w:tcPr>
          <w:p>
            <w:pPr>
              <w:pStyle w:val="Compact"/>
              <w:spacing w:line="240" w:lineRule="auto" w:after="20"/>
              <w:jc w:val="left"/>
            </w:pPr>
            <w:r>
              <w:rPr>
                <w:sz w:val="20"/>
              </w:rPr>
              <w:t xml:space="preserve">6.1</w:t>
            </w:r>
          </w:p>
        </w:tc>
        <w:tc>
          <w:tcPr>
            <w:tcW w:type="dxa" w:w="998"/>
          </w:tcPr>
          <w:p>
            <w:pPr>
              <w:pStyle w:val="Compact"/>
              <w:spacing w:line="240" w:lineRule="auto" w:after="20"/>
              <w:jc w:val="left"/>
            </w:pPr>
            <w:r>
              <w:rPr>
                <w:sz w:val="20"/>
              </w:rPr>
              <w:t xml:space="preserve">11.3</w:t>
            </w:r>
          </w:p>
        </w:tc>
      </w:tr>
      <w:tr>
        <w:tc>
          <w:tcPr>
            <w:tcW w:type="dxa" w:w="2450"/>
          </w:tcPr>
          <w:p>
            <w:pPr>
              <w:pStyle w:val="Compact"/>
              <w:spacing w:line="240" w:lineRule="auto" w:after="20"/>
              <w:jc w:val="left"/>
            </w:pPr>
          </w:p>
        </w:tc>
        <w:tc>
          <w:tcPr>
            <w:tcW w:type="dxa" w:w="2883"/>
          </w:tcPr>
          <w:p>
            <w:pPr>
              <w:pStyle w:val="Compact"/>
              <w:spacing w:line="240" w:lineRule="auto" w:after="20"/>
              <w:jc w:val="left"/>
            </w:pPr>
            <w:r>
              <w:rPr>
                <w:sz w:val="20"/>
              </w:rPr>
              <w:t xml:space="preserve">3 main + 1 small</w:t>
            </w:r>
          </w:p>
        </w:tc>
        <w:tc>
          <w:tcPr>
            <w:tcW w:type="dxa" w:w="1009"/>
          </w:tcPr>
          <w:p>
            <w:pPr>
              <w:pStyle w:val="Compact"/>
              <w:spacing w:line="240" w:lineRule="auto" w:after="20"/>
              <w:jc w:val="left"/>
            </w:pPr>
            <w:r>
              <w:rPr>
                <w:sz w:val="20"/>
              </w:rPr>
              <w:t xml:space="preserve">53.9</w:t>
            </w:r>
          </w:p>
        </w:tc>
        <w:tc>
          <w:tcPr>
            <w:tcW w:type="dxa" w:w="1009"/>
          </w:tcPr>
          <w:p>
            <w:pPr>
              <w:pStyle w:val="Compact"/>
              <w:spacing w:line="240" w:lineRule="auto" w:after="20"/>
              <w:jc w:val="left"/>
            </w:pPr>
            <w:r>
              <w:rPr>
                <w:sz w:val="20"/>
              </w:rPr>
              <w:t xml:space="preserve">47.7</w:t>
            </w:r>
          </w:p>
        </w:tc>
        <w:tc>
          <w:tcPr>
            <w:tcW w:type="dxa" w:w="1009"/>
          </w:tcPr>
          <w:p>
            <w:pPr>
              <w:pStyle w:val="Compact"/>
              <w:spacing w:line="240" w:lineRule="auto" w:after="20"/>
              <w:jc w:val="left"/>
            </w:pPr>
            <w:r>
              <w:rPr>
                <w:sz w:val="20"/>
              </w:rPr>
              <w:t xml:space="preserve">6.2</w:t>
            </w:r>
          </w:p>
        </w:tc>
        <w:tc>
          <w:tcPr>
            <w:tcW w:type="dxa" w:w="998"/>
          </w:tcPr>
          <w:p>
            <w:pPr>
              <w:pStyle w:val="Compact"/>
              <w:spacing w:line="240" w:lineRule="auto" w:after="20"/>
              <w:jc w:val="left"/>
            </w:pPr>
            <w:r>
              <w:rPr>
                <w:sz w:val="20"/>
              </w:rPr>
              <w:t xml:space="preserve">11.5</w:t>
            </w:r>
          </w:p>
        </w:tc>
      </w:tr>
      <w:tr>
        <w:tc>
          <w:tcPr>
            <w:tcW w:type="dxa" w:w="2450"/>
          </w:tcPr>
          <w:p>
            <w:pPr>
              <w:pStyle w:val="Compact"/>
              <w:spacing w:line="240" w:lineRule="auto" w:after="20"/>
              <w:jc w:val="left"/>
            </w:pPr>
            <w:r>
              <w:rPr>
                <w:sz w:val="20"/>
              </w:rPr>
              <w:t xml:space="preserve">GT operating practice</w:t>
            </w:r>
          </w:p>
        </w:tc>
        <w:tc>
          <w:tcPr>
            <w:tcW w:type="dxa" w:w="2883"/>
          </w:tcPr>
          <w:p>
            <w:pPr>
              <w:pStyle w:val="Compact"/>
              <w:spacing w:line="240" w:lineRule="auto" w:after="20"/>
              <w:jc w:val="left"/>
            </w:pPr>
            <w:r>
              <w:rPr>
                <w:sz w:val="20"/>
              </w:rPr>
              <w:t xml:space="preserve">at least 1 GT online</w:t>
            </w:r>
            <w:r>
              <w:rPr>
                <w:sz w:val="20"/>
              </w:rPr>
              <w:t xml:space="preserve"> </w:t>
            </w:r>
            <w:r>
              <w:rPr>
                <w:bCs/>
                <w:b/>
                <w:sz w:val="20"/>
              </w:rPr>
              <w:t xml:space="preserve">(base)</w:t>
            </w:r>
          </w:p>
        </w:tc>
        <w:tc>
          <w:tcPr>
            <w:tcW w:type="dxa" w:w="1009"/>
          </w:tcPr>
          <w:p>
            <w:pPr>
              <w:pStyle w:val="Compact"/>
              <w:spacing w:line="240" w:lineRule="auto" w:after="20"/>
              <w:jc w:val="left"/>
            </w:pPr>
            <w:r>
              <w:rPr>
                <w:sz w:val="20"/>
              </w:rPr>
              <w:t xml:space="preserve">64.7</w:t>
            </w:r>
          </w:p>
        </w:tc>
        <w:tc>
          <w:tcPr>
            <w:tcW w:type="dxa" w:w="1009"/>
          </w:tcPr>
          <w:p>
            <w:pPr>
              <w:pStyle w:val="Compact"/>
              <w:spacing w:line="240" w:lineRule="auto" w:after="20"/>
              <w:jc w:val="left"/>
            </w:pPr>
            <w:r>
              <w:rPr>
                <w:sz w:val="20"/>
              </w:rPr>
              <w:t xml:space="preserve">57.5</w:t>
            </w:r>
          </w:p>
        </w:tc>
        <w:tc>
          <w:tcPr>
            <w:tcW w:type="dxa" w:w="1009"/>
          </w:tcPr>
          <w:p>
            <w:pPr>
              <w:pStyle w:val="Compact"/>
              <w:spacing w:line="240" w:lineRule="auto" w:after="20"/>
              <w:jc w:val="left"/>
            </w:pPr>
            <w:r>
              <w:rPr>
                <w:sz w:val="20"/>
              </w:rPr>
              <w:t xml:space="preserve">7.2</w:t>
            </w:r>
          </w:p>
        </w:tc>
        <w:tc>
          <w:tcPr>
            <w:tcW w:type="dxa" w:w="998"/>
          </w:tcPr>
          <w:p>
            <w:pPr>
              <w:pStyle w:val="Compact"/>
              <w:spacing w:line="240" w:lineRule="auto" w:after="20"/>
              <w:jc w:val="left"/>
            </w:pPr>
            <w:r>
              <w:rPr>
                <w:sz w:val="20"/>
              </w:rPr>
              <w:t xml:space="preserve">11.1</w:t>
            </w:r>
          </w:p>
        </w:tc>
      </w:tr>
      <w:tr>
        <w:tc>
          <w:tcPr>
            <w:tcW w:type="dxa" w:w="2450"/>
          </w:tcPr>
          <w:p>
            <w:pPr>
              <w:pStyle w:val="Compact"/>
              <w:spacing w:line="240" w:lineRule="auto" w:after="20"/>
              <w:jc w:val="left"/>
            </w:pPr>
          </w:p>
        </w:tc>
        <w:tc>
          <w:tcPr>
            <w:tcW w:type="dxa" w:w="2883"/>
          </w:tcPr>
          <w:p>
            <w:pPr>
              <w:pStyle w:val="Compact"/>
              <w:spacing w:line="240" w:lineRule="auto" w:after="20"/>
              <w:jc w:val="left"/>
            </w:pPr>
            <w:r>
              <w:rPr>
                <w:sz w:val="20"/>
              </w:rPr>
              <w:t xml:space="preserve">2 GTs always online</w:t>
            </w:r>
          </w:p>
        </w:tc>
        <w:tc>
          <w:tcPr>
            <w:tcW w:type="dxa" w:w="1009"/>
          </w:tcPr>
          <w:p>
            <w:pPr>
              <w:pStyle w:val="Compact"/>
              <w:spacing w:line="240" w:lineRule="auto" w:after="20"/>
              <w:jc w:val="left"/>
            </w:pPr>
            <w:r>
              <w:rPr>
                <w:sz w:val="20"/>
              </w:rPr>
              <w:t xml:space="preserve">90.7</w:t>
            </w:r>
          </w:p>
        </w:tc>
        <w:tc>
          <w:tcPr>
            <w:tcW w:type="dxa" w:w="1009"/>
          </w:tcPr>
          <w:p>
            <w:pPr>
              <w:pStyle w:val="Compact"/>
              <w:spacing w:line="240" w:lineRule="auto" w:after="20"/>
              <w:jc w:val="left"/>
            </w:pPr>
            <w:r>
              <w:rPr>
                <w:sz w:val="20"/>
              </w:rPr>
              <w:t xml:space="preserve">87.7</w:t>
            </w:r>
          </w:p>
        </w:tc>
        <w:tc>
          <w:tcPr>
            <w:tcW w:type="dxa" w:w="1009"/>
          </w:tcPr>
          <w:p>
            <w:pPr>
              <w:pStyle w:val="Compact"/>
              <w:spacing w:line="240" w:lineRule="auto" w:after="20"/>
              <w:jc w:val="left"/>
            </w:pPr>
            <w:r>
              <w:rPr>
                <w:sz w:val="20"/>
              </w:rPr>
              <w:t xml:space="preserve">3.1</w:t>
            </w:r>
          </w:p>
        </w:tc>
        <w:tc>
          <w:tcPr>
            <w:tcW w:type="dxa" w:w="998"/>
          </w:tcPr>
          <w:p>
            <w:pPr>
              <w:pStyle w:val="Compact"/>
              <w:spacing w:line="240" w:lineRule="auto" w:after="20"/>
              <w:jc w:val="left"/>
            </w:pPr>
            <w:r>
              <w:rPr>
                <w:sz w:val="20"/>
              </w:rPr>
              <w:t xml:space="preserve">3.4</w:t>
            </w:r>
          </w:p>
        </w:tc>
      </w:tr>
      <w:tr>
        <w:tc>
          <w:tcPr>
            <w:tcW w:type="dxa" w:w="2450"/>
          </w:tcPr>
          <w:p>
            <w:pPr>
              <w:pStyle w:val="Compact"/>
              <w:spacing w:line="240" w:lineRule="auto" w:after="20"/>
              <w:jc w:val="left"/>
            </w:pPr>
            <w:r>
              <w:rPr>
                <w:sz w:val="20"/>
              </w:rPr>
              <w:t xml:space="preserve">GT minimum load</w:t>
            </w:r>
          </w:p>
        </w:tc>
        <w:tc>
          <w:tcPr>
            <w:tcW w:type="dxa" w:w="2883"/>
          </w:tcPr>
          <w:p>
            <w:pPr>
              <w:pStyle w:val="Compact"/>
              <w:spacing w:line="240" w:lineRule="auto" w:after="20"/>
              <w:jc w:val="left"/>
            </w:pPr>
            <w:r>
              <w:rPr>
                <w:sz w:val="20"/>
              </w:rPr>
              <w:t xml:space="preserve">16 %</w:t>
            </w:r>
            <w:r>
              <w:rPr>
                <w:sz w:val="20"/>
              </w:rPr>
              <w:t xml:space="preserve"> </w:t>
            </w:r>
            <w:r>
              <w:rPr>
                <w:bCs/>
                <w:b/>
                <w:sz w:val="20"/>
              </w:rPr>
              <w:t xml:space="preserve">(base)</w:t>
            </w:r>
          </w:p>
        </w:tc>
        <w:tc>
          <w:tcPr>
            <w:tcW w:type="dxa" w:w="1009"/>
          </w:tcPr>
          <w:p>
            <w:pPr>
              <w:pStyle w:val="Compact"/>
              <w:spacing w:line="240" w:lineRule="auto" w:after="20"/>
              <w:jc w:val="left"/>
            </w:pPr>
            <w:r>
              <w:rPr>
                <w:sz w:val="20"/>
              </w:rPr>
              <w:t xml:space="preserve">64.7</w:t>
            </w:r>
          </w:p>
        </w:tc>
        <w:tc>
          <w:tcPr>
            <w:tcW w:type="dxa" w:w="1009"/>
          </w:tcPr>
          <w:p>
            <w:pPr>
              <w:pStyle w:val="Compact"/>
              <w:spacing w:line="240" w:lineRule="auto" w:after="20"/>
              <w:jc w:val="left"/>
            </w:pPr>
            <w:r>
              <w:rPr>
                <w:sz w:val="20"/>
              </w:rPr>
              <w:t xml:space="preserve">57.5</w:t>
            </w:r>
          </w:p>
        </w:tc>
        <w:tc>
          <w:tcPr>
            <w:tcW w:type="dxa" w:w="1009"/>
          </w:tcPr>
          <w:p>
            <w:pPr>
              <w:pStyle w:val="Compact"/>
              <w:spacing w:line="240" w:lineRule="auto" w:after="20"/>
              <w:jc w:val="left"/>
            </w:pPr>
            <w:r>
              <w:rPr>
                <w:sz w:val="20"/>
              </w:rPr>
              <w:t xml:space="preserve">7.2</w:t>
            </w:r>
          </w:p>
        </w:tc>
        <w:tc>
          <w:tcPr>
            <w:tcW w:type="dxa" w:w="998"/>
          </w:tcPr>
          <w:p>
            <w:pPr>
              <w:pStyle w:val="Compact"/>
              <w:spacing w:line="240" w:lineRule="auto" w:after="20"/>
              <w:jc w:val="left"/>
            </w:pPr>
            <w:r>
              <w:rPr>
                <w:sz w:val="20"/>
              </w:rPr>
              <w:t xml:space="preserve">11.1</w:t>
            </w:r>
          </w:p>
        </w:tc>
      </w:tr>
      <w:tr>
        <w:tc>
          <w:tcPr>
            <w:tcW w:type="dxa" w:w="2450"/>
          </w:tcPr>
          <w:p>
            <w:pPr>
              <w:pStyle w:val="Compact"/>
              <w:spacing w:line="240" w:lineRule="auto" w:after="20"/>
              <w:jc w:val="left"/>
            </w:pPr>
          </w:p>
        </w:tc>
        <w:tc>
          <w:tcPr>
            <w:tcW w:type="dxa" w:w="2883"/>
          </w:tcPr>
          <w:p>
            <w:pPr>
              <w:pStyle w:val="Compact"/>
              <w:spacing w:line="240" w:lineRule="auto" w:after="20"/>
              <w:jc w:val="left"/>
            </w:pPr>
            <w:r>
              <w:rPr>
                <w:sz w:val="20"/>
              </w:rPr>
              <w:t xml:space="preserve">30 %</w:t>
            </w:r>
          </w:p>
        </w:tc>
        <w:tc>
          <w:tcPr>
            <w:tcW w:type="dxa" w:w="1009"/>
          </w:tcPr>
          <w:p>
            <w:pPr>
              <w:pStyle w:val="Compact"/>
              <w:spacing w:line="240" w:lineRule="auto" w:after="20"/>
              <w:jc w:val="left"/>
            </w:pPr>
            <w:r>
              <w:rPr>
                <w:sz w:val="20"/>
              </w:rPr>
              <w:t xml:space="preserve">71.9</w:t>
            </w:r>
          </w:p>
        </w:tc>
        <w:tc>
          <w:tcPr>
            <w:tcW w:type="dxa" w:w="1009"/>
          </w:tcPr>
          <w:p>
            <w:pPr>
              <w:pStyle w:val="Compact"/>
              <w:spacing w:line="240" w:lineRule="auto" w:after="20"/>
              <w:jc w:val="left"/>
            </w:pPr>
            <w:r>
              <w:rPr>
                <w:sz w:val="20"/>
              </w:rPr>
              <w:t xml:space="preserve">64.6</w:t>
            </w:r>
          </w:p>
        </w:tc>
        <w:tc>
          <w:tcPr>
            <w:tcW w:type="dxa" w:w="1009"/>
          </w:tcPr>
          <w:p>
            <w:pPr>
              <w:pStyle w:val="Compact"/>
              <w:spacing w:line="240" w:lineRule="auto" w:after="20"/>
              <w:jc w:val="left"/>
            </w:pPr>
            <w:r>
              <w:rPr>
                <w:sz w:val="20"/>
              </w:rPr>
              <w:t xml:space="preserve">7.3</w:t>
            </w:r>
          </w:p>
        </w:tc>
        <w:tc>
          <w:tcPr>
            <w:tcW w:type="dxa" w:w="998"/>
          </w:tcPr>
          <w:p>
            <w:pPr>
              <w:pStyle w:val="Compact"/>
              <w:spacing w:line="240" w:lineRule="auto" w:after="20"/>
              <w:jc w:val="left"/>
            </w:pPr>
            <w:r>
              <w:rPr>
                <w:sz w:val="20"/>
              </w:rPr>
              <w:t xml:space="preserve">10.1</w:t>
            </w:r>
          </w:p>
        </w:tc>
      </w:tr>
      <w:tr>
        <w:tc>
          <w:tcPr>
            <w:tcW w:type="dxa" w:w="2450"/>
          </w:tcPr>
          <w:p>
            <w:pPr>
              <w:pStyle w:val="Compact"/>
              <w:spacing w:line="240" w:lineRule="auto" w:after="20"/>
              <w:jc w:val="left"/>
            </w:pPr>
          </w:p>
        </w:tc>
        <w:tc>
          <w:tcPr>
            <w:tcW w:type="dxa" w:w="2883"/>
          </w:tcPr>
          <w:p>
            <w:pPr>
              <w:pStyle w:val="Compact"/>
              <w:spacing w:line="240" w:lineRule="auto" w:after="20"/>
              <w:jc w:val="left"/>
            </w:pPr>
            <w:r>
              <w:rPr>
                <w:sz w:val="20"/>
              </w:rPr>
              <w:t xml:space="preserve">40 %</w:t>
            </w:r>
          </w:p>
        </w:tc>
        <w:tc>
          <w:tcPr>
            <w:tcW w:type="dxa" w:w="1009"/>
          </w:tcPr>
          <w:p>
            <w:pPr>
              <w:pStyle w:val="Compact"/>
              <w:spacing w:line="240" w:lineRule="auto" w:after="20"/>
              <w:jc w:val="left"/>
            </w:pPr>
            <w:r>
              <w:rPr>
                <w:sz w:val="20"/>
              </w:rPr>
              <w:t xml:space="preserve">77.5</w:t>
            </w:r>
          </w:p>
        </w:tc>
        <w:tc>
          <w:tcPr>
            <w:tcW w:type="dxa" w:w="1009"/>
          </w:tcPr>
          <w:p>
            <w:pPr>
              <w:pStyle w:val="Compact"/>
              <w:spacing w:line="240" w:lineRule="auto" w:after="20"/>
              <w:jc w:val="left"/>
            </w:pPr>
            <w:r>
              <w:rPr>
                <w:sz w:val="20"/>
              </w:rPr>
              <w:t xml:space="preserve">70.2</w:t>
            </w:r>
          </w:p>
        </w:tc>
        <w:tc>
          <w:tcPr>
            <w:tcW w:type="dxa" w:w="1009"/>
          </w:tcPr>
          <w:p>
            <w:pPr>
              <w:pStyle w:val="Compact"/>
              <w:spacing w:line="240" w:lineRule="auto" w:after="20"/>
              <w:jc w:val="left"/>
            </w:pPr>
            <w:r>
              <w:rPr>
                <w:sz w:val="20"/>
              </w:rPr>
              <w:t xml:space="preserve">7.3</w:t>
            </w:r>
          </w:p>
        </w:tc>
        <w:tc>
          <w:tcPr>
            <w:tcW w:type="dxa" w:w="998"/>
          </w:tcPr>
          <w:p>
            <w:pPr>
              <w:pStyle w:val="Compact"/>
              <w:spacing w:line="240" w:lineRule="auto" w:after="20"/>
              <w:jc w:val="left"/>
            </w:pPr>
            <w:r>
              <w:rPr>
                <w:sz w:val="20"/>
              </w:rPr>
              <w:t xml:space="preserve">9.5</w:t>
            </w:r>
          </w:p>
        </w:tc>
      </w:tr>
      <w:tr>
        <w:tc>
          <w:tcPr>
            <w:tcW w:type="dxa" w:w="2450"/>
          </w:tcPr>
          <w:p>
            <w:pPr>
              <w:pStyle w:val="Compact"/>
              <w:spacing w:line="240" w:lineRule="auto" w:after="20"/>
              <w:jc w:val="left"/>
            </w:pPr>
          </w:p>
        </w:tc>
        <w:tc>
          <w:tcPr>
            <w:tcW w:type="dxa" w:w="2883"/>
          </w:tcPr>
          <w:p>
            <w:pPr>
              <w:pStyle w:val="Compact"/>
              <w:spacing w:line="240" w:lineRule="auto" w:after="20"/>
              <w:jc w:val="left"/>
            </w:pPr>
            <w:r>
              <w:rPr>
                <w:sz w:val="20"/>
              </w:rPr>
              <w:t xml:space="preserve">50 %</w:t>
            </w:r>
          </w:p>
        </w:tc>
        <w:tc>
          <w:tcPr>
            <w:tcW w:type="dxa" w:w="1009"/>
          </w:tcPr>
          <w:p>
            <w:pPr>
              <w:pStyle w:val="Compact"/>
              <w:spacing w:line="240" w:lineRule="auto" w:after="20"/>
              <w:jc w:val="left"/>
            </w:pPr>
            <w:r>
              <w:rPr>
                <w:sz w:val="20"/>
              </w:rPr>
              <w:t xml:space="preserve">86.4</w:t>
            </w:r>
          </w:p>
        </w:tc>
        <w:tc>
          <w:tcPr>
            <w:tcW w:type="dxa" w:w="1009"/>
          </w:tcPr>
          <w:p>
            <w:pPr>
              <w:pStyle w:val="Compact"/>
              <w:spacing w:line="240" w:lineRule="auto" w:after="20"/>
              <w:jc w:val="left"/>
            </w:pPr>
            <w:r>
              <w:rPr>
                <w:sz w:val="20"/>
              </w:rPr>
              <w:t xml:space="preserve">76.2</w:t>
            </w:r>
          </w:p>
        </w:tc>
        <w:tc>
          <w:tcPr>
            <w:tcW w:type="dxa" w:w="1009"/>
          </w:tcPr>
          <w:p>
            <w:pPr>
              <w:pStyle w:val="Compact"/>
              <w:spacing w:line="240" w:lineRule="auto" w:after="20"/>
              <w:jc w:val="left"/>
            </w:pPr>
            <w:r>
              <w:rPr>
                <w:sz w:val="20"/>
              </w:rPr>
              <w:t xml:space="preserve">10.2</w:t>
            </w:r>
          </w:p>
        </w:tc>
        <w:tc>
          <w:tcPr>
            <w:tcW w:type="dxa" w:w="998"/>
          </w:tcPr>
          <w:p>
            <w:pPr>
              <w:pStyle w:val="Compact"/>
              <w:spacing w:line="240" w:lineRule="auto" w:after="20"/>
              <w:jc w:val="left"/>
            </w:pPr>
            <w:r>
              <w:rPr>
                <w:sz w:val="20"/>
              </w:rPr>
              <w:t xml:space="preserve">11.8</w:t>
            </w:r>
          </w:p>
        </w:tc>
      </w:tr>
      <w:tr>
        <w:tc>
          <w:tcPr>
            <w:tcW w:type="dxa" w:w="2450"/>
          </w:tcPr>
          <w:p>
            <w:pPr>
              <w:pStyle w:val="Compact"/>
              <w:spacing w:line="240" w:lineRule="auto" w:after="20"/>
              <w:jc w:val="left"/>
            </w:pPr>
            <w:r>
              <w:rPr>
                <w:sz w:val="20"/>
              </w:rPr>
              <w:t xml:space="preserve">Pump start cost</w:t>
            </w:r>
          </w:p>
        </w:tc>
        <w:tc>
          <w:tcPr>
            <w:tcW w:type="dxa" w:w="2883"/>
          </w:tcPr>
          <w:p>
            <w:pPr>
              <w:pStyle w:val="Compact"/>
              <w:spacing w:line="240" w:lineRule="auto" w:after="20"/>
              <w:jc w:val="left"/>
            </w:pPr>
            <w:r>
              <w:rPr>
                <w:sz w:val="20"/>
              </w:rPr>
              <w:t xml:space="preserve">0 NOK</w:t>
            </w:r>
            <w:r>
              <w:rPr>
                <w:sz w:val="20"/>
              </w:rPr>
              <w:t xml:space="preserve"> </w:t>
            </w:r>
            <w:r>
              <w:rPr>
                <w:bCs/>
                <w:b/>
                <w:sz w:val="20"/>
              </w:rPr>
              <w:t xml:space="preserve">(base)</w:t>
            </w:r>
          </w:p>
        </w:tc>
        <w:tc>
          <w:tcPr>
            <w:tcW w:type="dxa" w:w="1009"/>
          </w:tcPr>
          <w:p>
            <w:pPr>
              <w:pStyle w:val="Compact"/>
              <w:spacing w:line="240" w:lineRule="auto" w:after="20"/>
              <w:jc w:val="left"/>
            </w:pPr>
            <w:r>
              <w:rPr>
                <w:sz w:val="20"/>
              </w:rPr>
              <w:t xml:space="preserve">64.7</w:t>
            </w:r>
          </w:p>
        </w:tc>
        <w:tc>
          <w:tcPr>
            <w:tcW w:type="dxa" w:w="1009"/>
          </w:tcPr>
          <w:p>
            <w:pPr>
              <w:pStyle w:val="Compact"/>
              <w:spacing w:line="240" w:lineRule="auto" w:after="20"/>
              <w:jc w:val="left"/>
            </w:pPr>
            <w:r>
              <w:rPr>
                <w:sz w:val="20"/>
              </w:rPr>
              <w:t xml:space="preserve">57.5</w:t>
            </w:r>
          </w:p>
        </w:tc>
        <w:tc>
          <w:tcPr>
            <w:tcW w:type="dxa" w:w="1009"/>
          </w:tcPr>
          <w:p>
            <w:pPr>
              <w:pStyle w:val="Compact"/>
              <w:spacing w:line="240" w:lineRule="auto" w:after="20"/>
              <w:jc w:val="left"/>
            </w:pPr>
            <w:r>
              <w:rPr>
                <w:sz w:val="20"/>
              </w:rPr>
              <w:t xml:space="preserve">7.2</w:t>
            </w:r>
          </w:p>
        </w:tc>
        <w:tc>
          <w:tcPr>
            <w:tcW w:type="dxa" w:w="998"/>
          </w:tcPr>
          <w:p>
            <w:pPr>
              <w:pStyle w:val="Compact"/>
              <w:spacing w:line="240" w:lineRule="auto" w:after="20"/>
              <w:jc w:val="left"/>
            </w:pPr>
            <w:r>
              <w:rPr>
                <w:sz w:val="20"/>
              </w:rPr>
              <w:t xml:space="preserve">11.1</w:t>
            </w:r>
          </w:p>
        </w:tc>
      </w:tr>
      <w:tr>
        <w:tc>
          <w:tcPr>
            <w:tcW w:type="dxa" w:w="2450"/>
          </w:tcPr>
          <w:p>
            <w:pPr>
              <w:pStyle w:val="Compact"/>
              <w:spacing w:line="240" w:lineRule="auto" w:after="20"/>
              <w:jc w:val="left"/>
            </w:pPr>
          </w:p>
        </w:tc>
        <w:tc>
          <w:tcPr>
            <w:tcW w:type="dxa" w:w="2883"/>
          </w:tcPr>
          <w:p>
            <w:pPr>
              <w:pStyle w:val="Compact"/>
              <w:spacing w:line="240" w:lineRule="auto" w:after="20"/>
              <w:jc w:val="left"/>
            </w:pPr>
            <w:r>
              <w:rPr>
                <w:sz w:val="20"/>
              </w:rPr>
              <w:t xml:space="preserve">1,000 NOK</w:t>
            </w:r>
          </w:p>
        </w:tc>
        <w:tc>
          <w:tcPr>
            <w:tcW w:type="dxa" w:w="1009"/>
          </w:tcPr>
          <w:p>
            <w:pPr>
              <w:pStyle w:val="Compact"/>
              <w:spacing w:line="240" w:lineRule="auto" w:after="20"/>
              <w:jc w:val="left"/>
            </w:pPr>
            <w:r>
              <w:rPr>
                <w:sz w:val="20"/>
              </w:rPr>
              <w:t xml:space="preserve">64.7</w:t>
            </w:r>
          </w:p>
        </w:tc>
        <w:tc>
          <w:tcPr>
            <w:tcW w:type="dxa" w:w="1009"/>
          </w:tcPr>
          <w:p>
            <w:pPr>
              <w:pStyle w:val="Compact"/>
              <w:spacing w:line="240" w:lineRule="auto" w:after="20"/>
              <w:jc w:val="left"/>
            </w:pPr>
            <w:r>
              <w:rPr>
                <w:sz w:val="20"/>
              </w:rPr>
              <w:t xml:space="preserve">57.6</w:t>
            </w:r>
          </w:p>
        </w:tc>
        <w:tc>
          <w:tcPr>
            <w:tcW w:type="dxa" w:w="1009"/>
          </w:tcPr>
          <w:p>
            <w:pPr>
              <w:pStyle w:val="Compact"/>
              <w:spacing w:line="240" w:lineRule="auto" w:after="20"/>
              <w:jc w:val="left"/>
            </w:pPr>
            <w:r>
              <w:rPr>
                <w:sz w:val="20"/>
              </w:rPr>
              <w:t xml:space="preserve">7.1</w:t>
            </w:r>
          </w:p>
        </w:tc>
        <w:tc>
          <w:tcPr>
            <w:tcW w:type="dxa" w:w="998"/>
          </w:tcPr>
          <w:p>
            <w:pPr>
              <w:pStyle w:val="Compact"/>
              <w:spacing w:line="240" w:lineRule="auto" w:after="20"/>
              <w:jc w:val="left"/>
            </w:pPr>
            <w:r>
              <w:rPr>
                <w:sz w:val="20"/>
              </w:rPr>
              <w:t xml:space="preserve">11.0</w:t>
            </w:r>
          </w:p>
        </w:tc>
      </w:tr>
      <w:tr>
        <w:tc>
          <w:tcPr>
            <w:tcW w:type="dxa" w:w="2450"/>
          </w:tcPr>
          <w:p>
            <w:pPr>
              <w:pStyle w:val="Compact"/>
              <w:spacing w:line="240" w:lineRule="auto" w:after="20"/>
              <w:jc w:val="left"/>
            </w:pPr>
          </w:p>
        </w:tc>
        <w:tc>
          <w:tcPr>
            <w:tcW w:type="dxa" w:w="2883"/>
          </w:tcPr>
          <w:p>
            <w:pPr>
              <w:pStyle w:val="Compact"/>
              <w:spacing w:line="240" w:lineRule="auto" w:after="20"/>
              <w:jc w:val="left"/>
            </w:pPr>
            <w:r>
              <w:rPr>
                <w:sz w:val="20"/>
              </w:rPr>
              <w:t xml:space="preserve">5,000 NOK</w:t>
            </w:r>
          </w:p>
        </w:tc>
        <w:tc>
          <w:tcPr>
            <w:tcW w:type="dxa" w:w="1009"/>
          </w:tcPr>
          <w:p>
            <w:pPr>
              <w:pStyle w:val="Compact"/>
              <w:spacing w:line="240" w:lineRule="auto" w:after="20"/>
              <w:jc w:val="left"/>
            </w:pPr>
            <w:r>
              <w:rPr>
                <w:sz w:val="20"/>
              </w:rPr>
              <w:t xml:space="preserve">64.7</w:t>
            </w:r>
          </w:p>
        </w:tc>
        <w:tc>
          <w:tcPr>
            <w:tcW w:type="dxa" w:w="1009"/>
          </w:tcPr>
          <w:p>
            <w:pPr>
              <w:pStyle w:val="Compact"/>
              <w:spacing w:line="240" w:lineRule="auto" w:after="20"/>
              <w:jc w:val="left"/>
            </w:pPr>
            <w:r>
              <w:rPr>
                <w:sz w:val="20"/>
              </w:rPr>
              <w:t xml:space="preserve">57.6</w:t>
            </w:r>
          </w:p>
        </w:tc>
        <w:tc>
          <w:tcPr>
            <w:tcW w:type="dxa" w:w="1009"/>
          </w:tcPr>
          <w:p>
            <w:pPr>
              <w:pStyle w:val="Compact"/>
              <w:spacing w:line="240" w:lineRule="auto" w:after="20"/>
              <w:jc w:val="left"/>
            </w:pPr>
            <w:r>
              <w:rPr>
                <w:sz w:val="20"/>
              </w:rPr>
              <w:t xml:space="preserve">7.1</w:t>
            </w:r>
          </w:p>
        </w:tc>
        <w:tc>
          <w:tcPr>
            <w:tcW w:type="dxa" w:w="998"/>
          </w:tcPr>
          <w:p>
            <w:pPr>
              <w:pStyle w:val="Compact"/>
              <w:spacing w:line="240" w:lineRule="auto" w:after="20"/>
              <w:jc w:val="left"/>
            </w:pPr>
            <w:r>
              <w:rPr>
                <w:sz w:val="20"/>
              </w:rPr>
              <w:t xml:space="preserve">10.9</w:t>
            </w:r>
          </w:p>
        </w:tc>
      </w:tr>
      <w:tr>
        <w:tc>
          <w:tcPr>
            <w:tcW w:type="dxa" w:w="2450"/>
          </w:tcPr>
          <w:p>
            <w:pPr>
              <w:pStyle w:val="Compact"/>
              <w:spacing w:line="240" w:lineRule="auto" w:after="20"/>
              <w:jc w:val="left"/>
            </w:pPr>
          </w:p>
        </w:tc>
        <w:tc>
          <w:tcPr>
            <w:tcW w:type="dxa" w:w="2883"/>
          </w:tcPr>
          <w:p>
            <w:pPr>
              <w:pStyle w:val="Compact"/>
              <w:spacing w:line="240" w:lineRule="auto" w:after="20"/>
              <w:jc w:val="left"/>
            </w:pPr>
            <w:r>
              <w:rPr>
                <w:sz w:val="20"/>
              </w:rPr>
              <w:t xml:space="preserve">20,000 NOK</w:t>
            </w:r>
          </w:p>
        </w:tc>
        <w:tc>
          <w:tcPr>
            <w:tcW w:type="dxa" w:w="1009"/>
          </w:tcPr>
          <w:p>
            <w:pPr>
              <w:pStyle w:val="Compact"/>
              <w:spacing w:line="240" w:lineRule="auto" w:after="20"/>
              <w:jc w:val="left"/>
            </w:pPr>
            <w:r>
              <w:rPr>
                <w:sz w:val="20"/>
              </w:rPr>
              <w:t xml:space="preserve">64.7</w:t>
            </w:r>
          </w:p>
        </w:tc>
        <w:tc>
          <w:tcPr>
            <w:tcW w:type="dxa" w:w="1009"/>
          </w:tcPr>
          <w:p>
            <w:pPr>
              <w:pStyle w:val="Compact"/>
              <w:spacing w:line="240" w:lineRule="auto" w:after="20"/>
              <w:jc w:val="left"/>
            </w:pPr>
            <w:r>
              <w:rPr>
                <w:sz w:val="20"/>
              </w:rPr>
              <w:t xml:space="preserve">57.6</w:t>
            </w:r>
          </w:p>
        </w:tc>
        <w:tc>
          <w:tcPr>
            <w:tcW w:type="dxa" w:w="1009"/>
          </w:tcPr>
          <w:p>
            <w:pPr>
              <w:pStyle w:val="Compact"/>
              <w:spacing w:line="240" w:lineRule="auto" w:after="20"/>
              <w:jc w:val="left"/>
            </w:pPr>
            <w:r>
              <w:rPr>
                <w:sz w:val="20"/>
              </w:rPr>
              <w:t xml:space="preserve">7.0</w:t>
            </w:r>
          </w:p>
        </w:tc>
        <w:tc>
          <w:tcPr>
            <w:tcW w:type="dxa" w:w="998"/>
          </w:tcPr>
          <w:p>
            <w:pPr>
              <w:pStyle w:val="Compact"/>
              <w:spacing w:line="240" w:lineRule="auto" w:after="20"/>
              <w:jc w:val="left"/>
            </w:pPr>
            <w:r>
              <w:rPr>
                <w:sz w:val="20"/>
              </w:rPr>
              <w:t xml:space="preserve">10.9</w:t>
            </w:r>
          </w:p>
        </w:tc>
      </w:tr>
      <w:tr>
        <w:tc>
          <w:tcPr>
            <w:tcW w:type="dxa" w:w="2450"/>
          </w:tcPr>
          <w:p>
            <w:pPr>
              <w:pStyle w:val="Compact"/>
              <w:spacing w:line="240" w:lineRule="auto" w:after="20"/>
              <w:jc w:val="left"/>
            </w:pPr>
            <w:r>
              <w:rPr>
                <w:sz w:val="20"/>
              </w:rPr>
              <w:t xml:space="preserve">Reserve definition</w:t>
            </w:r>
          </w:p>
        </w:tc>
        <w:tc>
          <w:tcPr>
            <w:tcW w:type="dxa" w:w="2883"/>
          </w:tcPr>
          <w:p>
            <w:pPr>
              <w:pStyle w:val="Compact"/>
              <w:spacing w:line="240" w:lineRule="auto" w:after="20"/>
              <w:jc w:val="left"/>
            </w:pPr>
            <w:r>
              <w:rPr>
                <w:sz w:val="20"/>
              </w:rPr>
              <w:t xml:space="preserve">5 MW</w:t>
            </w:r>
            <w:r>
              <w:rPr>
                <w:sz w:val="20"/>
              </w:rPr>
              <w:t xml:space="preserve"> </w:t>
            </w:r>
            <w:r>
              <w:rPr>
                <w:bCs/>
                <w:b/>
                <w:sz w:val="20"/>
              </w:rPr>
              <w:t xml:space="preserve">(base)</w:t>
            </w:r>
          </w:p>
        </w:tc>
        <w:tc>
          <w:tcPr>
            <w:tcW w:type="dxa" w:w="1009"/>
          </w:tcPr>
          <w:p>
            <w:pPr>
              <w:pStyle w:val="Compact"/>
              <w:spacing w:line="240" w:lineRule="auto" w:after="20"/>
              <w:jc w:val="left"/>
            </w:pPr>
            <w:r>
              <w:rPr>
                <w:sz w:val="20"/>
              </w:rPr>
              <w:t xml:space="preserve">64.7</w:t>
            </w:r>
          </w:p>
        </w:tc>
        <w:tc>
          <w:tcPr>
            <w:tcW w:type="dxa" w:w="1009"/>
          </w:tcPr>
          <w:p>
            <w:pPr>
              <w:pStyle w:val="Compact"/>
              <w:spacing w:line="240" w:lineRule="auto" w:after="20"/>
              <w:jc w:val="left"/>
            </w:pPr>
            <w:r>
              <w:rPr>
                <w:sz w:val="20"/>
              </w:rPr>
              <w:t xml:space="preserve">57.5</w:t>
            </w:r>
          </w:p>
        </w:tc>
        <w:tc>
          <w:tcPr>
            <w:tcW w:type="dxa" w:w="1009"/>
          </w:tcPr>
          <w:p>
            <w:pPr>
              <w:pStyle w:val="Compact"/>
              <w:spacing w:line="240" w:lineRule="auto" w:after="20"/>
              <w:jc w:val="left"/>
            </w:pPr>
            <w:r>
              <w:rPr>
                <w:sz w:val="20"/>
              </w:rPr>
              <w:t xml:space="preserve">7.2</w:t>
            </w:r>
          </w:p>
        </w:tc>
        <w:tc>
          <w:tcPr>
            <w:tcW w:type="dxa" w:w="998"/>
          </w:tcPr>
          <w:p>
            <w:pPr>
              <w:pStyle w:val="Compact"/>
              <w:spacing w:line="240" w:lineRule="auto" w:after="20"/>
              <w:jc w:val="left"/>
            </w:pPr>
            <w:r>
              <w:rPr>
                <w:sz w:val="20"/>
              </w:rPr>
              <w:t xml:space="preserve">11.1</w:t>
            </w:r>
          </w:p>
        </w:tc>
      </w:tr>
      <w:tr>
        <w:tc>
          <w:tcPr>
            <w:tcW w:type="dxa" w:w="2450"/>
          </w:tcPr>
          <w:p>
            <w:pPr>
              <w:pStyle w:val="Compact"/>
              <w:spacing w:line="240" w:lineRule="auto" w:after="20"/>
              <w:jc w:val="left"/>
            </w:pPr>
          </w:p>
        </w:tc>
        <w:tc>
          <w:tcPr>
            <w:tcW w:type="dxa" w:w="2883"/>
          </w:tcPr>
          <w:p>
            <w:pPr>
              <w:pStyle w:val="Compact"/>
              <w:spacing w:line="240" w:lineRule="auto" w:after="20"/>
              <w:jc w:val="left"/>
            </w:pPr>
            <w:r>
              <w:rPr>
                <w:sz w:val="20"/>
              </w:rPr>
              <w:t xml:space="preserve">5 MW + 50 % of wind used</w:t>
            </w:r>
          </w:p>
        </w:tc>
        <w:tc>
          <w:tcPr>
            <w:tcW w:type="dxa" w:w="1009"/>
          </w:tcPr>
          <w:p>
            <w:pPr>
              <w:pStyle w:val="Compact"/>
              <w:spacing w:line="240" w:lineRule="auto" w:after="20"/>
              <w:jc w:val="left"/>
            </w:pPr>
            <w:r>
              <w:rPr>
                <w:sz w:val="20"/>
              </w:rPr>
              <w:t xml:space="preserve">66.2</w:t>
            </w:r>
          </w:p>
        </w:tc>
        <w:tc>
          <w:tcPr>
            <w:tcW w:type="dxa" w:w="1009"/>
          </w:tcPr>
          <w:p>
            <w:pPr>
              <w:pStyle w:val="Compact"/>
              <w:spacing w:line="240" w:lineRule="auto" w:after="20"/>
              <w:jc w:val="left"/>
            </w:pPr>
            <w:r>
              <w:rPr>
                <w:sz w:val="20"/>
              </w:rPr>
              <w:t xml:space="preserve">57.7</w:t>
            </w:r>
          </w:p>
        </w:tc>
        <w:tc>
          <w:tcPr>
            <w:tcW w:type="dxa" w:w="1009"/>
          </w:tcPr>
          <w:p>
            <w:pPr>
              <w:pStyle w:val="Compact"/>
              <w:spacing w:line="240" w:lineRule="auto" w:after="20"/>
              <w:jc w:val="left"/>
            </w:pPr>
            <w:r>
              <w:rPr>
                <w:sz w:val="20"/>
              </w:rPr>
              <w:t xml:space="preserve">8.5</w:t>
            </w:r>
          </w:p>
        </w:tc>
        <w:tc>
          <w:tcPr>
            <w:tcW w:type="dxa" w:w="998"/>
          </w:tcPr>
          <w:p>
            <w:pPr>
              <w:pStyle w:val="Compact"/>
              <w:spacing w:line="240" w:lineRule="auto" w:after="20"/>
              <w:jc w:val="left"/>
            </w:pPr>
            <w:r>
              <w:rPr>
                <w:sz w:val="20"/>
              </w:rPr>
              <w:t xml:space="preserve">12.8</w:t>
            </w:r>
          </w:p>
        </w:tc>
      </w:tr>
      <w:tr>
        <w:tc>
          <w:tcPr>
            <w:tcW w:type="dxa" w:w="2450"/>
          </w:tcPr>
          <w:p>
            <w:pPr>
              <w:pStyle w:val="Compact"/>
              <w:spacing w:line="240" w:lineRule="auto" w:after="20"/>
              <w:jc w:val="left"/>
            </w:pPr>
          </w:p>
        </w:tc>
        <w:tc>
          <w:tcPr>
            <w:tcW w:type="dxa" w:w="2883"/>
          </w:tcPr>
          <w:p>
            <w:pPr>
              <w:pStyle w:val="Compact"/>
              <w:spacing w:line="240" w:lineRule="auto" w:after="20"/>
              <w:jc w:val="left"/>
            </w:pPr>
            <w:r>
              <w:rPr>
                <w:sz w:val="20"/>
              </w:rPr>
              <w:t xml:space="preserve">5 MW + 100 % of wind used</w:t>
            </w:r>
          </w:p>
        </w:tc>
        <w:tc>
          <w:tcPr>
            <w:tcW w:type="dxa" w:w="1009"/>
          </w:tcPr>
          <w:p>
            <w:pPr>
              <w:pStyle w:val="Compact"/>
              <w:spacing w:line="240" w:lineRule="auto" w:after="20"/>
              <w:jc w:val="left"/>
            </w:pPr>
            <w:r>
              <w:rPr>
                <w:sz w:val="20"/>
              </w:rPr>
              <w:t xml:space="preserve">90.7</w:t>
            </w:r>
          </w:p>
        </w:tc>
        <w:tc>
          <w:tcPr>
            <w:tcW w:type="dxa" w:w="1009"/>
          </w:tcPr>
          <w:p>
            <w:pPr>
              <w:pStyle w:val="Compact"/>
              <w:spacing w:line="240" w:lineRule="auto" w:after="20"/>
              <w:jc w:val="left"/>
            </w:pPr>
            <w:r>
              <w:rPr>
                <w:sz w:val="20"/>
              </w:rPr>
              <w:t xml:space="preserve">78.2</w:t>
            </w:r>
          </w:p>
        </w:tc>
        <w:tc>
          <w:tcPr>
            <w:tcW w:type="dxa" w:w="1009"/>
          </w:tcPr>
          <w:p>
            <w:pPr>
              <w:pStyle w:val="Compact"/>
              <w:spacing w:line="240" w:lineRule="auto" w:after="20"/>
              <w:jc w:val="left"/>
            </w:pPr>
            <w:r>
              <w:rPr>
                <w:sz w:val="20"/>
              </w:rPr>
              <w:t xml:space="preserve">12.5</w:t>
            </w:r>
          </w:p>
        </w:tc>
        <w:tc>
          <w:tcPr>
            <w:tcW w:type="dxa" w:w="998"/>
          </w:tcPr>
          <w:p>
            <w:pPr>
              <w:pStyle w:val="Compact"/>
              <w:spacing w:line="240" w:lineRule="auto" w:after="20"/>
              <w:jc w:val="left"/>
            </w:pPr>
            <w:r>
              <w:rPr>
                <w:sz w:val="20"/>
              </w:rPr>
              <w:t xml:space="preserve">13.8</w:t>
            </w:r>
          </w:p>
        </w:tc>
      </w:tr>
      <w:tr>
        <w:tc>
          <w:tcPr>
            <w:tcW w:type="dxa" w:w="2450"/>
          </w:tcPr>
          <w:p>
            <w:pPr>
              <w:pStyle w:val="Compact"/>
              <w:spacing w:line="240" w:lineRule="auto" w:after="20"/>
              <w:jc w:val="left"/>
            </w:pPr>
          </w:p>
        </w:tc>
        <w:tc>
          <w:tcPr>
            <w:tcW w:type="dxa" w:w="2883"/>
          </w:tcPr>
          <w:p>
            <w:pPr>
              <w:pStyle w:val="Compact"/>
              <w:spacing w:line="240" w:lineRule="auto" w:after="20"/>
              <w:jc w:val="left"/>
            </w:pPr>
            <w:r>
              <w:rPr>
                <w:sz w:val="20"/>
              </w:rPr>
              <w:t xml:space="preserve">injection pumps count as reserve</w:t>
            </w:r>
          </w:p>
        </w:tc>
        <w:tc>
          <w:tcPr>
            <w:tcW w:type="dxa" w:w="1009"/>
          </w:tcPr>
          <w:p>
            <w:pPr>
              <w:pStyle w:val="Compact"/>
              <w:spacing w:line="240" w:lineRule="auto" w:after="20"/>
              <w:jc w:val="left"/>
            </w:pPr>
            <w:r>
              <w:rPr>
                <w:sz w:val="20"/>
              </w:rPr>
              <w:t xml:space="preserve">60.4</w:t>
            </w:r>
          </w:p>
        </w:tc>
        <w:tc>
          <w:tcPr>
            <w:tcW w:type="dxa" w:w="1009"/>
          </w:tcPr>
          <w:p>
            <w:pPr>
              <w:pStyle w:val="Compact"/>
              <w:spacing w:line="240" w:lineRule="auto" w:after="20"/>
              <w:jc w:val="left"/>
            </w:pPr>
            <w:r>
              <w:rPr>
                <w:sz w:val="20"/>
              </w:rPr>
              <w:t xml:space="preserve">57.6</w:t>
            </w:r>
          </w:p>
        </w:tc>
        <w:tc>
          <w:tcPr>
            <w:tcW w:type="dxa" w:w="1009"/>
          </w:tcPr>
          <w:p>
            <w:pPr>
              <w:pStyle w:val="Compact"/>
              <w:spacing w:line="240" w:lineRule="auto" w:after="20"/>
              <w:jc w:val="left"/>
            </w:pPr>
            <w:r>
              <w:rPr>
                <w:sz w:val="20"/>
              </w:rPr>
              <w:t xml:space="preserve">2.8</w:t>
            </w:r>
          </w:p>
        </w:tc>
        <w:tc>
          <w:tcPr>
            <w:tcW w:type="dxa" w:w="998"/>
          </w:tcPr>
          <w:p>
            <w:pPr>
              <w:pStyle w:val="Compact"/>
              <w:spacing w:line="240" w:lineRule="auto" w:after="20"/>
              <w:jc w:val="left"/>
            </w:pPr>
            <w:r>
              <w:rPr>
                <w:sz w:val="20"/>
              </w:rPr>
              <w:t xml:space="preserve">4.7</w:t>
            </w:r>
          </w:p>
        </w:tc>
      </w:tr>
      <w:tr>
        <w:tc>
          <w:tcPr>
            <w:tcW w:type="dxa" w:w="2450"/>
          </w:tcPr>
          <w:p>
            <w:pPr>
              <w:pStyle w:val="Compact"/>
              <w:spacing w:line="240" w:lineRule="auto" w:after="20"/>
              <w:jc w:val="left"/>
            </w:pPr>
            <w:r>
              <w:rPr>
                <w:sz w:val="20"/>
              </w:rPr>
              <w:t xml:space="preserve">Wind forecast (hourly re-planning)</w:t>
            </w:r>
          </w:p>
        </w:tc>
        <w:tc>
          <w:tcPr>
            <w:tcW w:type="dxa" w:w="2883"/>
          </w:tcPr>
          <w:p>
            <w:pPr>
              <w:pStyle w:val="Compact"/>
              <w:spacing w:line="240" w:lineRule="auto" w:after="20"/>
              <w:jc w:val="left"/>
            </w:pPr>
            <w:r>
              <w:rPr>
                <w:sz w:val="20"/>
              </w:rPr>
              <w:t xml:space="preserve">actual wind, deficit repaid in each plan</w:t>
            </w:r>
          </w:p>
        </w:tc>
        <w:tc>
          <w:tcPr>
            <w:tcW w:type="dxa" w:w="1009"/>
          </w:tcPr>
          <w:p>
            <w:pPr>
              <w:pStyle w:val="Compact"/>
              <w:spacing w:line="240" w:lineRule="auto" w:after="20"/>
              <w:jc w:val="left"/>
            </w:pPr>
            <w:r>
              <w:rPr>
                <w:sz w:val="20"/>
              </w:rPr>
              <w:t xml:space="preserve">64.7</w:t>
            </w:r>
          </w:p>
        </w:tc>
        <w:tc>
          <w:tcPr>
            <w:tcW w:type="dxa" w:w="1009"/>
          </w:tcPr>
          <w:p>
            <w:pPr>
              <w:pStyle w:val="Compact"/>
              <w:spacing w:line="240" w:lineRule="auto" w:after="20"/>
              <w:jc w:val="left"/>
            </w:pPr>
            <w:r>
              <w:rPr>
                <w:sz w:val="20"/>
              </w:rPr>
              <w:t xml:space="preserve">59.2</w:t>
            </w:r>
          </w:p>
        </w:tc>
        <w:tc>
          <w:tcPr>
            <w:tcW w:type="dxa" w:w="1009"/>
          </w:tcPr>
          <w:p>
            <w:pPr>
              <w:pStyle w:val="Compact"/>
              <w:spacing w:line="240" w:lineRule="auto" w:after="20"/>
              <w:jc w:val="left"/>
            </w:pPr>
            <w:r>
              <w:rPr>
                <w:sz w:val="20"/>
              </w:rPr>
              <w:t xml:space="preserve">5.5</w:t>
            </w:r>
          </w:p>
        </w:tc>
        <w:tc>
          <w:tcPr>
            <w:tcW w:type="dxa" w:w="998"/>
          </w:tcPr>
          <w:p>
            <w:pPr>
              <w:pStyle w:val="Compact"/>
              <w:spacing w:line="240" w:lineRule="auto" w:after="20"/>
              <w:jc w:val="left"/>
            </w:pPr>
            <w:r>
              <w:rPr>
                <w:sz w:val="20"/>
              </w:rPr>
              <w:t xml:space="preserve">8.5</w:t>
            </w:r>
          </w:p>
        </w:tc>
      </w:tr>
      <w:tr>
        <w:tc>
          <w:tcPr>
            <w:tcW w:type="dxa" w:w="2450"/>
          </w:tcPr>
          <w:p>
            <w:pPr>
              <w:pStyle w:val="Compact"/>
              <w:spacing w:line="240" w:lineRule="auto" w:after="20"/>
              <w:jc w:val="left"/>
            </w:pPr>
          </w:p>
        </w:tc>
        <w:tc>
          <w:tcPr>
            <w:tcW w:type="dxa" w:w="2883"/>
          </w:tcPr>
          <w:p>
            <w:pPr>
              <w:pStyle w:val="Compact"/>
              <w:spacing w:line="240" w:lineRule="auto" w:after="20"/>
              <w:jc w:val="left"/>
            </w:pPr>
            <w:r>
              <w:rPr>
                <w:sz w:val="20"/>
              </w:rPr>
              <w:t xml:space="preserve">persistence, deficit repaid in each plan</w:t>
            </w:r>
          </w:p>
        </w:tc>
        <w:tc>
          <w:tcPr>
            <w:tcW w:type="dxa" w:w="1009"/>
          </w:tcPr>
          <w:p>
            <w:pPr>
              <w:pStyle w:val="Compact"/>
              <w:spacing w:line="240" w:lineRule="auto" w:after="20"/>
              <w:jc w:val="left"/>
            </w:pPr>
            <w:r>
              <w:rPr>
                <w:sz w:val="20"/>
              </w:rPr>
              <w:t xml:space="preserve">64.7</w:t>
            </w:r>
          </w:p>
        </w:tc>
        <w:tc>
          <w:tcPr>
            <w:tcW w:type="dxa" w:w="1009"/>
          </w:tcPr>
          <w:p>
            <w:pPr>
              <w:pStyle w:val="Compact"/>
              <w:spacing w:line="240" w:lineRule="auto" w:after="20"/>
              <w:jc w:val="left"/>
            </w:pPr>
            <w:r>
              <w:rPr>
                <w:sz w:val="20"/>
              </w:rPr>
              <w:t xml:space="preserve">64.2</w:t>
            </w:r>
          </w:p>
        </w:tc>
        <w:tc>
          <w:tcPr>
            <w:tcW w:type="dxa" w:w="1009"/>
          </w:tcPr>
          <w:p>
            <w:pPr>
              <w:pStyle w:val="Compact"/>
              <w:spacing w:line="240" w:lineRule="auto" w:after="20"/>
              <w:jc w:val="left"/>
            </w:pPr>
            <w:r>
              <w:rPr>
                <w:sz w:val="20"/>
              </w:rPr>
              <w:t xml:space="preserve">0.5</w:t>
            </w:r>
          </w:p>
        </w:tc>
        <w:tc>
          <w:tcPr>
            <w:tcW w:type="dxa" w:w="998"/>
          </w:tcPr>
          <w:p>
            <w:pPr>
              <w:pStyle w:val="Compact"/>
              <w:spacing w:line="240" w:lineRule="auto" w:after="20"/>
              <w:jc w:val="left"/>
            </w:pPr>
            <w:r>
              <w:rPr>
                <w:sz w:val="20"/>
              </w:rPr>
              <w:t xml:space="preserve">0.7</w:t>
            </w:r>
          </w:p>
        </w:tc>
      </w:tr>
      <w:tr>
        <w:tc>
          <w:tcPr>
            <w:tcW w:type="dxa" w:w="2450"/>
          </w:tcPr>
          <w:p>
            <w:pPr>
              <w:pStyle w:val="Compact"/>
              <w:spacing w:line="240" w:lineRule="auto" w:after="20"/>
              <w:jc w:val="left"/>
            </w:pPr>
          </w:p>
        </w:tc>
        <w:tc>
          <w:tcPr>
            <w:tcW w:type="dxa" w:w="2883"/>
          </w:tcPr>
          <w:p>
            <w:pPr>
              <w:pStyle w:val="Compact"/>
              <w:spacing w:line="240" w:lineRule="auto" w:after="20"/>
              <w:jc w:val="left"/>
            </w:pPr>
            <w:r>
              <w:rPr>
                <w:sz w:val="20"/>
              </w:rPr>
              <w:t xml:space="preserve">persistence, deficit valued at 25 %</w:t>
            </w:r>
          </w:p>
        </w:tc>
        <w:tc>
          <w:tcPr>
            <w:tcW w:type="dxa" w:w="1009"/>
          </w:tcPr>
          <w:p>
            <w:pPr>
              <w:pStyle w:val="Compact"/>
              <w:spacing w:line="240" w:lineRule="auto" w:after="20"/>
              <w:jc w:val="left"/>
            </w:pPr>
            <w:r>
              <w:rPr>
                <w:sz w:val="20"/>
              </w:rPr>
              <w:t xml:space="preserve">64.7</w:t>
            </w:r>
          </w:p>
        </w:tc>
        <w:tc>
          <w:tcPr>
            <w:tcW w:type="dxa" w:w="1009"/>
          </w:tcPr>
          <w:p>
            <w:pPr>
              <w:pStyle w:val="Compact"/>
              <w:spacing w:line="240" w:lineRule="auto" w:after="20"/>
              <w:jc w:val="left"/>
            </w:pPr>
            <w:r>
              <w:rPr>
                <w:sz w:val="20"/>
              </w:rPr>
              <w:t xml:space="preserve">57.9</w:t>
            </w:r>
          </w:p>
        </w:tc>
        <w:tc>
          <w:tcPr>
            <w:tcW w:type="dxa" w:w="1009"/>
          </w:tcPr>
          <w:p>
            <w:pPr>
              <w:pStyle w:val="Compact"/>
              <w:spacing w:line="240" w:lineRule="auto" w:after="20"/>
              <w:jc w:val="left"/>
            </w:pPr>
            <w:r>
              <w:rPr>
                <w:sz w:val="20"/>
              </w:rPr>
              <w:t xml:space="preserve">6.7</w:t>
            </w:r>
          </w:p>
        </w:tc>
        <w:tc>
          <w:tcPr>
            <w:tcW w:type="dxa" w:w="998"/>
          </w:tcPr>
          <w:p>
            <w:pPr>
              <w:pStyle w:val="Compact"/>
              <w:spacing w:line="240" w:lineRule="auto" w:after="20"/>
              <w:jc w:val="left"/>
            </w:pPr>
            <w:r>
              <w:rPr>
                <w:sz w:val="20"/>
              </w:rPr>
              <w:t xml:space="preserve">10.4</w:t>
            </w:r>
          </w:p>
        </w:tc>
      </w:tr>
      <w:tr>
        <w:tc>
          <w:tcPr>
            <w:tcW w:type="dxa" w:w="2450"/>
          </w:tcPr>
          <w:p>
            <w:pPr>
              <w:pStyle w:val="Compact"/>
              <w:spacing w:line="240" w:lineRule="auto" w:after="20"/>
              <w:jc w:val="left"/>
            </w:pPr>
          </w:p>
        </w:tc>
        <w:tc>
          <w:tcPr>
            <w:tcW w:type="dxa" w:w="2883"/>
          </w:tcPr>
          <w:p>
            <w:pPr>
              <w:pStyle w:val="Compact"/>
              <w:spacing w:line="240" w:lineRule="auto" w:after="20"/>
              <w:jc w:val="left"/>
            </w:pPr>
            <w:r>
              <w:rPr>
                <w:sz w:val="20"/>
              </w:rPr>
              <w:t xml:space="preserve">persistence, deficit valued at 50 %</w:t>
            </w:r>
          </w:p>
        </w:tc>
        <w:tc>
          <w:tcPr>
            <w:tcW w:type="dxa" w:w="1009"/>
          </w:tcPr>
          <w:p>
            <w:pPr>
              <w:pStyle w:val="Compact"/>
              <w:spacing w:line="240" w:lineRule="auto" w:after="20"/>
              <w:jc w:val="left"/>
            </w:pPr>
            <w:r>
              <w:rPr>
                <w:sz w:val="20"/>
              </w:rPr>
              <w:t xml:space="preserve">64.7</w:t>
            </w:r>
          </w:p>
        </w:tc>
        <w:tc>
          <w:tcPr>
            <w:tcW w:type="dxa" w:w="1009"/>
          </w:tcPr>
          <w:p>
            <w:pPr>
              <w:pStyle w:val="Compact"/>
              <w:spacing w:line="240" w:lineRule="auto" w:after="20"/>
              <w:jc w:val="left"/>
            </w:pPr>
            <w:r>
              <w:rPr>
                <w:sz w:val="20"/>
              </w:rPr>
              <w:t xml:space="preserve">58.0</w:t>
            </w:r>
          </w:p>
        </w:tc>
        <w:tc>
          <w:tcPr>
            <w:tcW w:type="dxa" w:w="1009"/>
          </w:tcPr>
          <w:p>
            <w:pPr>
              <w:pStyle w:val="Compact"/>
              <w:spacing w:line="240" w:lineRule="auto" w:after="20"/>
              <w:jc w:val="left"/>
            </w:pPr>
            <w:r>
              <w:rPr>
                <w:sz w:val="20"/>
              </w:rPr>
              <w:t xml:space="preserve">6.7</w:t>
            </w:r>
          </w:p>
        </w:tc>
        <w:tc>
          <w:tcPr>
            <w:tcW w:type="dxa" w:w="998"/>
          </w:tcPr>
          <w:p>
            <w:pPr>
              <w:pStyle w:val="Compact"/>
              <w:spacing w:line="240" w:lineRule="auto" w:after="20"/>
              <w:jc w:val="left"/>
            </w:pPr>
            <w:r>
              <w:rPr>
                <w:sz w:val="20"/>
              </w:rPr>
              <w:t xml:space="preserve">10.3</w:t>
            </w:r>
          </w:p>
        </w:tc>
      </w:tr>
    </w:tbl>
    <w:p>
      <w:pPr>
        <w:pStyle w:val="BodyText"/>
        <w:keepNext/>
        <w:spacing w:before="200"/>
      </w:pPr>
      <w:r>
        <w:rPr>
          <w:bCs/>
          <w:b/>
        </w:rPr>
        <w:t xml:space="preserve">Table 5.</w:t>
      </w:r>
      <w:r>
        <w:t xml:space="preserve"> </w:t>
      </w:r>
      <w:r>
        <w:t xml:space="preserve">Annual CO</w:t>
      </w:r>
      <w:r>
        <w:rPr>
          <w:vertAlign w:val="subscript"/>
        </w:rPr>
        <w:t xml:space="preserve">2</w:t>
      </w:r>
      <w:r>
        <w:t xml:space="preserve"> </w:t>
      </w:r>
      <w:r>
        <w:t xml:space="preserve">with a battery added to flexible scheduling (Case 4),</w:t>
      </w:r>
      <w:r>
        <w:t xml:space="preserve"> </w:t>
      </w:r>
      <w:r>
        <w:t xml:space="preserve">against Case 3 without a battery (57.5 kt/yr).</w:t>
      </w:r>
    </w:p>
    <w:tbl>
      <w:tblPr>
        <w:tblStyle w:val="Table"/>
        <w:tblW w:type="pct" w:w="5000"/>
        <w:tblLook w:firstRow="1" w:lastRow="0" w:firstColumn="0" w:lastColumn="0" w:noHBand="0" w:noVBand="0" w:val="0020"/>
        <w:jc w:val="start"/>
        <w:tblBorders>
          <w:top w:val="single" w:sz="4" w:space="0" w:color="000000"/>
          <w:bottom w:val="single" w:sz="4" w:space="0" w:color="000000"/>
          <w:left w:val="nil" w:sz="4" w:space="0" w:color="000000"/>
          <w:right w:val="nil" w:sz="4" w:space="0" w:color="000000"/>
          <w:insideH w:val="nil" w:sz="4" w:space="0" w:color="000000"/>
          <w:insideV w:val="nil" w:sz="4" w:space="0" w:color="000000"/>
        </w:tblBorders>
      </w:tblPr>
      <w:tblGrid>
        <w:gridCol w:w="1933"/>
        <w:gridCol w:w="1526"/>
        <w:gridCol w:w="1424"/>
        <w:gridCol w:w="2441"/>
        <w:gridCol w:w="2034"/>
      </w:tblGrid>
      <w:tr>
        <w:trPr>
          <w:tblHeader w:val="true"/>
          <w:tblHeader/>
        </w:trPr>
        <w:tc>
          <w:tcPr>
            <w:tcW w:type="dxa" w:w="1933"/>
            <w:tcBorders>
              <w:bottom w:val="single" w:sz="4" w:space="0" w:color="000000"/>
            </w:tcBorders>
          </w:tcPr>
          <w:p>
            <w:pPr>
              <w:pStyle w:val="Compact"/>
              <w:spacing w:line="240" w:lineRule="auto" w:after="20"/>
              <w:jc w:val="left"/>
            </w:pPr>
            <w:r>
              <w:rPr>
                <w:b/>
                <w:sz w:val="20"/>
              </w:rPr>
              <w:t xml:space="preserve">Battery</w:t>
            </w:r>
          </w:p>
        </w:tc>
        <w:tc>
          <w:tcPr>
            <w:tcW w:type="dxa" w:w="1526"/>
            <w:tcBorders>
              <w:bottom w:val="single" w:sz="4" w:space="0" w:color="000000"/>
            </w:tcBorders>
          </w:tcPr>
          <w:p>
            <w:pPr>
              <w:pStyle w:val="Compact"/>
              <w:spacing w:line="240" w:lineRule="auto" w:after="20"/>
              <w:jc w:val="left"/>
            </w:pPr>
            <w:r>
              <w:rPr>
                <w:b/>
                <w:sz w:val="20"/>
              </w:rPr>
              <w:t xml:space="preserve">Min. GTs online</w:t>
            </w:r>
          </w:p>
        </w:tc>
        <w:tc>
          <w:tcPr>
            <w:tcW w:type="dxa" w:w="1424"/>
            <w:tcBorders>
              <w:bottom w:val="single" w:sz="4" w:space="0" w:color="000000"/>
            </w:tcBorders>
          </w:tcPr>
          <w:p>
            <w:pPr>
              <w:pStyle w:val="Compact"/>
              <w:spacing w:line="240" w:lineRule="auto" w:after="20"/>
              <w:jc w:val="left"/>
            </w:pPr>
            <w:r>
              <w:rPr>
                <w:b/>
                <w:sz w:val="20"/>
              </w:rPr>
              <w:t xml:space="preserve">Case 4 [kt/yr]</w:t>
            </w:r>
          </w:p>
        </w:tc>
        <w:tc>
          <w:tcPr>
            <w:tcW w:type="dxa" w:w="2441"/>
            <w:tcBorders>
              <w:bottom w:val="single" w:sz="4" w:space="0" w:color="000000"/>
            </w:tcBorders>
          </w:tcPr>
          <w:p>
            <w:pPr>
              <w:pStyle w:val="Compact"/>
              <w:spacing w:line="240" w:lineRule="auto" w:after="20"/>
              <w:jc w:val="left"/>
            </w:pPr>
            <w:r>
              <w:rPr>
                <w:b/>
                <w:sz w:val="20"/>
              </w:rPr>
              <w:t xml:space="preserve">Saving vs Case 3 [kt/yr]</w:t>
            </w:r>
          </w:p>
        </w:tc>
        <w:tc>
          <w:tcPr>
            <w:tcW w:type="dxa" w:w="2034"/>
            <w:tcBorders>
              <w:bottom w:val="single" w:sz="4" w:space="0" w:color="000000"/>
            </w:tcBorders>
          </w:tcPr>
          <w:p>
            <w:pPr>
              <w:pStyle w:val="Compact"/>
              <w:spacing w:line="240" w:lineRule="auto" w:after="20"/>
              <w:jc w:val="left"/>
            </w:pPr>
            <w:r>
              <w:rPr>
                <w:b/>
                <w:sz w:val="20"/>
              </w:rPr>
              <w:t xml:space="preserve">Saving vs Case 3 [%]</w:t>
            </w:r>
          </w:p>
        </w:tc>
      </w:tr>
      <w:tr>
        <w:tc>
          <w:tcPr>
            <w:tcW w:type="dxa" w:w="1933"/>
          </w:tcPr>
          <w:p>
            <w:pPr>
              <w:pStyle w:val="Compact"/>
              <w:spacing w:line="240" w:lineRule="auto" w:after="20"/>
              <w:jc w:val="left"/>
            </w:pPr>
            <w:r>
              <w:rPr>
                <w:sz w:val="20"/>
              </w:rPr>
              <w:t xml:space="preserve">none</w:t>
            </w:r>
          </w:p>
        </w:tc>
        <w:tc>
          <w:tcPr>
            <w:tcW w:type="dxa" w:w="1526"/>
          </w:tcPr>
          <w:p>
            <w:pPr>
              <w:pStyle w:val="Compact"/>
              <w:spacing w:line="240" w:lineRule="auto" w:after="20"/>
              <w:jc w:val="left"/>
            </w:pPr>
            <w:r>
              <w:rPr>
                <w:sz w:val="20"/>
              </w:rPr>
              <w:t xml:space="preserve">1</w:t>
            </w:r>
          </w:p>
        </w:tc>
        <w:tc>
          <w:tcPr>
            <w:tcW w:type="dxa" w:w="1424"/>
          </w:tcPr>
          <w:p>
            <w:pPr>
              <w:pStyle w:val="Compact"/>
              <w:spacing w:line="240" w:lineRule="auto" w:after="20"/>
              <w:jc w:val="left"/>
            </w:pPr>
            <w:r>
              <w:rPr>
                <w:sz w:val="20"/>
              </w:rPr>
              <w:t xml:space="preserve">57.5</w:t>
            </w:r>
          </w:p>
        </w:tc>
        <w:tc>
          <w:tcPr>
            <w:tcW w:type="dxa" w:w="2441"/>
          </w:tcPr>
          <w:p>
            <w:pPr>
              <w:pStyle w:val="Compact"/>
              <w:spacing w:line="240" w:lineRule="auto" w:after="20"/>
              <w:jc w:val="left"/>
            </w:pPr>
            <w:r>
              <w:rPr>
                <w:sz w:val="20"/>
              </w:rPr>
              <w:t xml:space="preserve">0.0</w:t>
            </w:r>
          </w:p>
        </w:tc>
        <w:tc>
          <w:tcPr>
            <w:tcW w:type="dxa" w:w="2034"/>
          </w:tcPr>
          <w:p>
            <w:pPr>
              <w:pStyle w:val="Compact"/>
              <w:spacing w:line="240" w:lineRule="auto" w:after="20"/>
              <w:jc w:val="left"/>
            </w:pPr>
            <w:r>
              <w:rPr>
                <w:sz w:val="20"/>
              </w:rPr>
              <w:t xml:space="preserve">0.0</w:t>
            </w:r>
          </w:p>
        </w:tc>
      </w:tr>
      <w:tr>
        <w:tc>
          <w:tcPr>
            <w:tcW w:type="dxa" w:w="1933"/>
          </w:tcPr>
          <w:p>
            <w:pPr>
              <w:pStyle w:val="Compact"/>
              <w:spacing w:line="240" w:lineRule="auto" w:after="20"/>
              <w:jc w:val="left"/>
            </w:pPr>
            <w:r>
              <w:rPr>
                <w:sz w:val="20"/>
              </w:rPr>
              <w:t xml:space="preserve">2 MW / 2 MWh</w:t>
            </w:r>
          </w:p>
        </w:tc>
        <w:tc>
          <w:tcPr>
            <w:tcW w:type="dxa" w:w="1526"/>
          </w:tcPr>
          <w:p>
            <w:pPr>
              <w:pStyle w:val="Compact"/>
              <w:spacing w:line="240" w:lineRule="auto" w:after="20"/>
              <w:jc w:val="left"/>
            </w:pPr>
            <w:r>
              <w:rPr>
                <w:sz w:val="20"/>
              </w:rPr>
              <w:t xml:space="preserve">1</w:t>
            </w:r>
          </w:p>
        </w:tc>
        <w:tc>
          <w:tcPr>
            <w:tcW w:type="dxa" w:w="1424"/>
          </w:tcPr>
          <w:p>
            <w:pPr>
              <w:pStyle w:val="Compact"/>
              <w:spacing w:line="240" w:lineRule="auto" w:after="20"/>
              <w:jc w:val="left"/>
            </w:pPr>
            <w:r>
              <w:rPr>
                <w:sz w:val="20"/>
              </w:rPr>
              <w:t xml:space="preserve">57.3</w:t>
            </w:r>
          </w:p>
        </w:tc>
        <w:tc>
          <w:tcPr>
            <w:tcW w:type="dxa" w:w="2441"/>
          </w:tcPr>
          <w:p>
            <w:pPr>
              <w:pStyle w:val="Compact"/>
              <w:spacing w:line="240" w:lineRule="auto" w:after="20"/>
              <w:jc w:val="left"/>
            </w:pPr>
            <w:r>
              <w:rPr>
                <w:sz w:val="20"/>
              </w:rPr>
              <w:t xml:space="preserve">0.2</w:t>
            </w:r>
          </w:p>
        </w:tc>
        <w:tc>
          <w:tcPr>
            <w:tcW w:type="dxa" w:w="2034"/>
          </w:tcPr>
          <w:p>
            <w:pPr>
              <w:pStyle w:val="Compact"/>
              <w:spacing w:line="240" w:lineRule="auto" w:after="20"/>
              <w:jc w:val="left"/>
            </w:pPr>
            <w:r>
              <w:rPr>
                <w:sz w:val="20"/>
              </w:rPr>
              <w:t xml:space="preserve">0.3</w:t>
            </w:r>
          </w:p>
        </w:tc>
      </w:tr>
      <w:tr>
        <w:tc>
          <w:tcPr>
            <w:tcW w:type="dxa" w:w="1933"/>
          </w:tcPr>
          <w:p>
            <w:pPr>
              <w:pStyle w:val="Compact"/>
              <w:spacing w:line="240" w:lineRule="auto" w:after="20"/>
              <w:jc w:val="left"/>
            </w:pPr>
            <w:r>
              <w:rPr>
                <w:sz w:val="20"/>
              </w:rPr>
              <w:t xml:space="preserve">4 MW / 4 MWh</w:t>
            </w:r>
            <w:r>
              <w:rPr>
                <w:sz w:val="20"/>
              </w:rPr>
              <w:t xml:space="preserve"> </w:t>
            </w:r>
            <w:r>
              <w:rPr>
                <w:bCs/>
                <w:b/>
                <w:sz w:val="20"/>
              </w:rPr>
              <w:t xml:space="preserve">(base)</w:t>
            </w:r>
          </w:p>
        </w:tc>
        <w:tc>
          <w:tcPr>
            <w:tcW w:type="dxa" w:w="1526"/>
          </w:tcPr>
          <w:p>
            <w:pPr>
              <w:pStyle w:val="Compact"/>
              <w:spacing w:line="240" w:lineRule="auto" w:after="20"/>
              <w:jc w:val="left"/>
            </w:pPr>
            <w:r>
              <w:rPr>
                <w:sz w:val="20"/>
              </w:rPr>
              <w:t xml:space="preserve">1</w:t>
            </w:r>
          </w:p>
        </w:tc>
        <w:tc>
          <w:tcPr>
            <w:tcW w:type="dxa" w:w="1424"/>
          </w:tcPr>
          <w:p>
            <w:pPr>
              <w:pStyle w:val="Compact"/>
              <w:spacing w:line="240" w:lineRule="auto" w:after="20"/>
              <w:jc w:val="left"/>
            </w:pPr>
            <w:r>
              <w:rPr>
                <w:sz w:val="20"/>
              </w:rPr>
              <w:t xml:space="preserve">57.2</w:t>
            </w:r>
          </w:p>
        </w:tc>
        <w:tc>
          <w:tcPr>
            <w:tcW w:type="dxa" w:w="2441"/>
          </w:tcPr>
          <w:p>
            <w:pPr>
              <w:pStyle w:val="Compact"/>
              <w:spacing w:line="240" w:lineRule="auto" w:after="20"/>
              <w:jc w:val="left"/>
            </w:pPr>
            <w:r>
              <w:rPr>
                <w:sz w:val="20"/>
              </w:rPr>
              <w:t xml:space="preserve">0.3</w:t>
            </w:r>
          </w:p>
        </w:tc>
        <w:tc>
          <w:tcPr>
            <w:tcW w:type="dxa" w:w="2034"/>
          </w:tcPr>
          <w:p>
            <w:pPr>
              <w:pStyle w:val="Compact"/>
              <w:spacing w:line="240" w:lineRule="auto" w:after="20"/>
              <w:jc w:val="left"/>
            </w:pPr>
            <w:r>
              <w:rPr>
                <w:sz w:val="20"/>
              </w:rPr>
              <w:t xml:space="preserve">0.6</w:t>
            </w:r>
          </w:p>
        </w:tc>
      </w:tr>
      <w:tr>
        <w:tc>
          <w:tcPr>
            <w:tcW w:type="dxa" w:w="1933"/>
          </w:tcPr>
          <w:p>
            <w:pPr>
              <w:pStyle w:val="Compact"/>
              <w:spacing w:line="240" w:lineRule="auto" w:after="20"/>
              <w:jc w:val="left"/>
            </w:pPr>
            <w:r>
              <w:rPr>
                <w:sz w:val="20"/>
              </w:rPr>
              <w:t xml:space="preserve">8 MW / 8 MWh</w:t>
            </w:r>
          </w:p>
        </w:tc>
        <w:tc>
          <w:tcPr>
            <w:tcW w:type="dxa" w:w="1526"/>
          </w:tcPr>
          <w:p>
            <w:pPr>
              <w:pStyle w:val="Compact"/>
              <w:spacing w:line="240" w:lineRule="auto" w:after="20"/>
              <w:jc w:val="left"/>
            </w:pPr>
            <w:r>
              <w:rPr>
                <w:sz w:val="20"/>
              </w:rPr>
              <w:t xml:space="preserve">1</w:t>
            </w:r>
          </w:p>
        </w:tc>
        <w:tc>
          <w:tcPr>
            <w:tcW w:type="dxa" w:w="1424"/>
          </w:tcPr>
          <w:p>
            <w:pPr>
              <w:pStyle w:val="Compact"/>
              <w:spacing w:line="240" w:lineRule="auto" w:after="20"/>
              <w:jc w:val="left"/>
            </w:pPr>
            <w:r>
              <w:rPr>
                <w:sz w:val="20"/>
              </w:rPr>
              <w:t xml:space="preserve">56.9</w:t>
            </w:r>
          </w:p>
        </w:tc>
        <w:tc>
          <w:tcPr>
            <w:tcW w:type="dxa" w:w="2441"/>
          </w:tcPr>
          <w:p>
            <w:pPr>
              <w:pStyle w:val="Compact"/>
              <w:spacing w:line="240" w:lineRule="auto" w:after="20"/>
              <w:jc w:val="left"/>
            </w:pPr>
            <w:r>
              <w:rPr>
                <w:sz w:val="20"/>
              </w:rPr>
              <w:t xml:space="preserve">0.6</w:t>
            </w:r>
          </w:p>
        </w:tc>
        <w:tc>
          <w:tcPr>
            <w:tcW w:type="dxa" w:w="2034"/>
          </w:tcPr>
          <w:p>
            <w:pPr>
              <w:pStyle w:val="Compact"/>
              <w:spacing w:line="240" w:lineRule="auto" w:after="20"/>
              <w:jc w:val="left"/>
            </w:pPr>
            <w:r>
              <w:rPr>
                <w:sz w:val="20"/>
              </w:rPr>
              <w:t xml:space="preserve">1.0</w:t>
            </w:r>
          </w:p>
        </w:tc>
      </w:tr>
      <w:tr>
        <w:tc>
          <w:tcPr>
            <w:tcW w:type="dxa" w:w="1933"/>
          </w:tcPr>
          <w:p>
            <w:pPr>
              <w:pStyle w:val="Compact"/>
              <w:spacing w:line="240" w:lineRule="auto" w:after="20"/>
              <w:jc w:val="left"/>
            </w:pPr>
            <w:r>
              <w:rPr>
                <w:sz w:val="20"/>
              </w:rPr>
              <w:t xml:space="preserve">8 MW / 16 MWh</w:t>
            </w:r>
          </w:p>
        </w:tc>
        <w:tc>
          <w:tcPr>
            <w:tcW w:type="dxa" w:w="1526"/>
          </w:tcPr>
          <w:p>
            <w:pPr>
              <w:pStyle w:val="Compact"/>
              <w:spacing w:line="240" w:lineRule="auto" w:after="20"/>
              <w:jc w:val="left"/>
            </w:pPr>
            <w:r>
              <w:rPr>
                <w:sz w:val="20"/>
              </w:rPr>
              <w:t xml:space="preserve">1</w:t>
            </w:r>
          </w:p>
        </w:tc>
        <w:tc>
          <w:tcPr>
            <w:tcW w:type="dxa" w:w="1424"/>
          </w:tcPr>
          <w:p>
            <w:pPr>
              <w:pStyle w:val="Compact"/>
              <w:spacing w:line="240" w:lineRule="auto" w:after="20"/>
              <w:jc w:val="left"/>
            </w:pPr>
            <w:r>
              <w:rPr>
                <w:sz w:val="20"/>
              </w:rPr>
              <w:t xml:space="preserve">56.4</w:t>
            </w:r>
          </w:p>
        </w:tc>
        <w:tc>
          <w:tcPr>
            <w:tcW w:type="dxa" w:w="2441"/>
          </w:tcPr>
          <w:p>
            <w:pPr>
              <w:pStyle w:val="Compact"/>
              <w:spacing w:line="240" w:lineRule="auto" w:after="20"/>
              <w:jc w:val="left"/>
            </w:pPr>
            <w:r>
              <w:rPr>
                <w:sz w:val="20"/>
              </w:rPr>
              <w:t xml:space="preserve">1.1</w:t>
            </w:r>
          </w:p>
        </w:tc>
        <w:tc>
          <w:tcPr>
            <w:tcW w:type="dxa" w:w="2034"/>
          </w:tcPr>
          <w:p>
            <w:pPr>
              <w:pStyle w:val="Compact"/>
              <w:spacing w:line="240" w:lineRule="auto" w:after="20"/>
              <w:jc w:val="left"/>
            </w:pPr>
            <w:r>
              <w:rPr>
                <w:sz w:val="20"/>
              </w:rPr>
              <w:t xml:space="preserve">1.9</w:t>
            </w:r>
          </w:p>
        </w:tc>
      </w:tr>
      <w:tr>
        <w:tc>
          <w:tcPr>
            <w:tcW w:type="dxa" w:w="1933"/>
          </w:tcPr>
          <w:p>
            <w:pPr>
              <w:pStyle w:val="Compact"/>
              <w:spacing w:line="240" w:lineRule="auto" w:after="20"/>
              <w:jc w:val="left"/>
            </w:pPr>
            <w:r>
              <w:rPr>
                <w:sz w:val="20"/>
              </w:rPr>
              <w:t xml:space="preserve">8 MW / 8 MWh</w:t>
            </w:r>
          </w:p>
        </w:tc>
        <w:tc>
          <w:tcPr>
            <w:tcW w:type="dxa" w:w="1526"/>
          </w:tcPr>
          <w:p>
            <w:pPr>
              <w:pStyle w:val="Compact"/>
              <w:spacing w:line="240" w:lineRule="auto" w:after="20"/>
              <w:jc w:val="left"/>
            </w:pPr>
            <w:r>
              <w:rPr>
                <w:sz w:val="20"/>
              </w:rPr>
              <w:t xml:space="preserve">0</w:t>
            </w:r>
          </w:p>
        </w:tc>
        <w:tc>
          <w:tcPr>
            <w:tcW w:type="dxa" w:w="1424"/>
          </w:tcPr>
          <w:p>
            <w:pPr>
              <w:pStyle w:val="Compact"/>
              <w:spacing w:line="240" w:lineRule="auto" w:after="20"/>
              <w:jc w:val="left"/>
            </w:pPr>
            <w:r>
              <w:rPr>
                <w:sz w:val="20"/>
              </w:rPr>
              <w:t xml:space="preserve">38.7</w:t>
            </w:r>
          </w:p>
        </w:tc>
        <w:tc>
          <w:tcPr>
            <w:tcW w:type="dxa" w:w="2441"/>
          </w:tcPr>
          <w:p>
            <w:pPr>
              <w:pStyle w:val="Compact"/>
              <w:spacing w:line="240" w:lineRule="auto" w:after="20"/>
              <w:jc w:val="left"/>
            </w:pPr>
            <w:r>
              <w:rPr>
                <w:sz w:val="20"/>
              </w:rPr>
              <w:t xml:space="preserve">18.8</w:t>
            </w:r>
          </w:p>
        </w:tc>
        <w:tc>
          <w:tcPr>
            <w:tcW w:type="dxa" w:w="2034"/>
          </w:tcPr>
          <w:p>
            <w:pPr>
              <w:pStyle w:val="Compact"/>
              <w:spacing w:line="240" w:lineRule="auto" w:after="20"/>
              <w:jc w:val="left"/>
            </w:pPr>
            <w:r>
              <w:rPr>
                <w:sz w:val="20"/>
              </w:rPr>
              <w:t xml:space="preserve">32.8</w:t>
            </w:r>
          </w:p>
        </w:tc>
      </w:tr>
    </w:tbl>
    <w:p>
      <w:pPr>
        <w:pStyle w:val="BodyText"/>
        <w:spacing w:before="200"/>
      </w:pPr>
      <w:r>
        <w:t xml:space="preserve">The results of the sensitivity runs are given in Tables 4 and 5 and Figure 7. The CO</w:t>
      </w:r>
      <w:r>
        <w:rPr>
          <w:vertAlign w:val="subscript"/>
        </w:rPr>
        <w:t xml:space="preserve">2</w:t>
      </w:r>
      <w:r>
        <w:t xml:space="preserve"> </w:t>
      </w:r>
      <w:r>
        <w:t xml:space="preserve">and gas prices have almost no effect: across CO</w:t>
      </w:r>
      <w:r>
        <w:rPr>
          <w:vertAlign w:val="subscript"/>
        </w:rPr>
        <w:t xml:space="preserve">2</w:t>
      </w:r>
      <w:r>
        <w:t xml:space="preserve"> </w:t>
      </w:r>
      <w:r>
        <w:t xml:space="preserve">prices of 0.5–3 NOK/kg and</w:t>
      </w:r>
      <w:r>
        <w:t xml:space="preserve"> </w:t>
      </w:r>
      <w:r>
        <w:t xml:space="preserve">gas prices of 2–8 NOK/Sm³, the emissions change by less than 0.1 %. The prices scale the cost of every option alike, so the cheapest schedule remains the cheapest. Deferring injection saves fuel at any price, and</w:t>
      </w:r>
      <w:r>
        <w:t xml:space="preserve"> </w:t>
      </w:r>
      <w:r>
        <w:t xml:space="preserve">shedding production is never profitable, as the lost oil and gas are worth</w:t>
      </w:r>
      <w:r>
        <w:t xml:space="preserve"> </w:t>
      </w:r>
      <w:r>
        <w:t xml:space="preserve">about a hundred times more than the fuel saved.</w:t>
      </w:r>
    </w:p>
    <w:p>
      <w:pPr>
        <w:pStyle w:val="BodyText"/>
      </w:pPr>
      <w:r>
        <w:t xml:space="preserve">The deferral capacity required is small. Without deferral, Case 3 equals Case 2</w:t>
      </w:r>
      <w:r>
        <w:t xml:space="preserve"> </w:t>
      </w:r>
      <w:r>
        <w:t xml:space="preserve">(64.7 kt); a limit of 24 h already gives the full saving, and 168 h changes</w:t>
      </w:r>
      <w:r>
        <w:t xml:space="preserve"> </w:t>
      </w:r>
      <w:r>
        <w:t xml:space="preserve">nothing. The</w:t>
      </w:r>
      <w:r>
        <w:t xml:space="preserve"> </w:t>
      </w:r>
      <w:r>
        <w:t xml:space="preserve">benefit would thus still be captured under a conservative reservoir</w:t>
      </w:r>
      <w:r>
        <w:t xml:space="preserve"> </w:t>
      </w:r>
      <w:r>
        <w:t xml:space="preserve">constraint.</w:t>
      </w:r>
    </w:p>
    <w:p>
      <w:pPr>
        <w:pStyle w:val="BodyText"/>
      </w:pPr>
      <w:r>
        <w:t xml:space="preserve">A larger wind farm gives a smaller improvement than its size suggests.</w:t>
      </w:r>
      <w:r>
        <w:t xml:space="preserve"> </w:t>
      </w:r>
      <w:r>
        <w:t xml:space="preserve">Doubling the farm from 30 to 60 MW reduces the Case 3 emissions only from 57.5</w:t>
      </w:r>
      <w:r>
        <w:t xml:space="preserve"> </w:t>
      </w:r>
      <w:r>
        <w:t xml:space="preserve">to 50.9 kt, while the curtailment increases from 39 to 160 GWh, since one GT</w:t>
      </w:r>
      <w:r>
        <w:t xml:space="preserve"> </w:t>
      </w:r>
      <w:r>
        <w:t xml:space="preserve">must remain online and the platform cannot use more wind in windy hours. The</w:t>
      </w:r>
      <w:r>
        <w:t xml:space="preserve"> </w:t>
      </w:r>
      <w:r>
        <w:t xml:space="preserve">value of flexibility (Case 2 minus Case 3) is highest at the base-case size</w:t>
      </w:r>
      <w:r>
        <w:t xml:space="preserve"> </w:t>
      </w:r>
      <w:r>
        <w:t xml:space="preserve">(7.2 kt). It is 5.6 kt for a 15 MW farm, where the wind seldom covers the</w:t>
      </w:r>
      <w:r>
        <w:t xml:space="preserve"> </w:t>
      </w:r>
      <w:r>
        <w:t xml:space="preserve">demand, and 6.7–6.8 kt for 45–60 MW. Batteries add little as long as one GT must remain online; the largest one</w:t>
      </w:r>
      <w:r>
        <w:t xml:space="preserve"> </w:t>
      </w:r>
      <w:r>
        <w:t xml:space="preserve">tested saves 1.1 kt (2 %, Table 5).</w:t>
      </w:r>
      <w:r>
        <w:t xml:space="preserve"> </w:t>
      </w:r>
      <w:r>
        <w:t xml:space="preserve">The 0.3 kt (0.6 %) of the 4 MW / 4 MWh battery is close to the 0.5 % solver gap,</w:t>
      </w:r>
      <w:r>
        <w:t xml:space="preserve"> </w:t>
      </w:r>
      <w:r>
        <w:t xml:space="preserve">but with a gap of 0.1 % it is 0.4 kt (0.7 %), so it is small but real.</w:t>
      </w:r>
    </w:p>
    <w:p>
      <w:pPr>
        <w:pStyle w:val="BodyText"/>
      </w:pPr>
      <w:r>
        <w:t xml:space="preserve">Two assumptions on GT operation have a larger effect than any of these inputs.</w:t>
      </w:r>
      <w:r>
        <w:t xml:space="preserve"> </w:t>
      </w:r>
      <w:r>
        <w:t xml:space="preserve">If an 8 MW / 8 MWh battery could provide reserve and grid stability, so that</w:t>
      </w:r>
      <w:r>
        <w:t xml:space="preserve"> </w:t>
      </w:r>
      <w:r>
        <w:t xml:space="preserve">all GTs may be stopped, the emissions would decrease to 38.7 kt, which is 32 %</w:t>
      </w:r>
      <w:r>
        <w:t xml:space="preserve"> </w:t>
      </w:r>
      <w:r>
        <w:t xml:space="preserve">below the same case with one GT online. The GTs would then run only 3,798</w:t>
      </w:r>
      <w:r>
        <w:t xml:space="preserve"> </w:t>
      </w:r>
      <w:r>
        <w:t xml:space="preserve">unit-h and start 184 times a year, only 11 GWh of wind would be curtailed, and</w:t>
      </w:r>
      <w:r>
        <w:t xml:space="preserve"> </w:t>
      </w:r>
      <w:r>
        <w:t xml:space="preserve">the electric heater would supply 15 GWh of heat in the hours with no GT</w:t>
      </w:r>
      <w:r>
        <w:t xml:space="preserve"> </w:t>
      </w:r>
      <w:r>
        <w:t xml:space="preserve">running. The opposite rule, with two GTs online whatever the wind, increases</w:t>
      </w:r>
      <w:r>
        <w:t xml:space="preserve"> </w:t>
      </w:r>
      <w:r>
        <w:t xml:space="preserve">the emissions to 90.7 kt in Case 2 and 87.7 kt in Case 3. Flexibility then</w:t>
      </w:r>
      <w:r>
        <w:t xml:space="preserve"> </w:t>
      </w:r>
      <w:r>
        <w:t xml:space="preserve">saves only 3.1 kt, all of it from lower curtailment, since there is no second</w:t>
      </w:r>
      <w:r>
        <w:t xml:space="preserve"> </w:t>
      </w:r>
      <w:r>
        <w:t xml:space="preserve">GT left to avoid.</w:t>
      </w:r>
    </w:p>
    <w:p>
      <w:pPr>
        <w:pStyle w:val="BodyText"/>
      </w:pPr>
      <w:r>
        <w:t xml:space="preserve">The composition of the GT fleet also matters. Replacing one main unit by a</w:t>
      </w:r>
      <w:r>
        <w:t xml:space="preserve"> </w:t>
      </w:r>
      <w:r>
        <w:t xml:space="preserve">Solar Mars 100 (11.35 MW) reduces the emissions from 64.7 to 53.9 kt with</w:t>
      </w:r>
      <w:r>
        <w:t xml:space="preserve"> </w:t>
      </w:r>
      <w:r>
        <w:t xml:space="preserve">fixed demand (−17 %) and from 57.5 to 47.8 kt with flexible demand. The small</w:t>
      </w:r>
      <w:r>
        <w:t xml:space="preserve"> </w:t>
      </w:r>
      <w:r>
        <w:t xml:space="preserve">unit runs alone in windy hours; its no-load fuel is about half that of a main</w:t>
      </w:r>
      <w:r>
        <w:t xml:space="preserve"> </w:t>
      </w:r>
      <w:r>
        <w:t xml:space="preserve">unit, and it can carry up to 6.35 MW while holding the 5 MW reserve.</w:t>
      </w:r>
      <w:r>
        <w:t xml:space="preserve"> </w:t>
      </w:r>
      <w:r>
        <w:t xml:space="preserve">Flexibility still saves 6.1 kt (11.3 %) with the small unit installed and</w:t>
      </w:r>
      <w:r>
        <w:t xml:space="preserve"> </w:t>
      </w:r>
      <w:r>
        <w:t xml:space="preserve">reduces the starts of the small unit from 465 to 262 per year. Combined, the</w:t>
      </w:r>
      <w:r>
        <w:t xml:space="preserve"> </w:t>
      </w:r>
      <w:r>
        <w:t xml:space="preserve">small unit and flexibility reduce the emissions by 26 % relative to Case 2.</w:t>
      </w:r>
      <w:r>
        <w:t xml:space="preserve"> </w:t>
      </w:r>
      <w:r>
        <w:t xml:space="preserve">When the small unit is instead added to the three main units, the emissions</w:t>
      </w:r>
      <w:r>
        <w:t xml:space="preserve"> </w:t>
      </w:r>
      <w:r>
        <w:t xml:space="preserve">are 47.7 kt, and the third main unit is never used.</w:t>
      </w:r>
    </w:p>
    <w:p>
      <w:pPr>
        <w:pStyle w:val="BodyText"/>
      </w:pPr>
      <w:r>
        <w:t xml:space="preserve">The flexibility benefit is robust to the GT and pump assumptions. A higher GT</w:t>
      </w:r>
      <w:r>
        <w:t xml:space="preserve"> </w:t>
      </w:r>
      <w:r>
        <w:t xml:space="preserve">minimum load raises the emissions of both cases, by 34 % in Case 2 at 50 %</w:t>
      </w:r>
      <w:r>
        <w:t xml:space="preserve"> </w:t>
      </w:r>
      <w:r>
        <w:t xml:space="preserve">minimum load, because the running GT must then produce more power and more</w:t>
      </w:r>
      <w:r>
        <w:t xml:space="preserve"> </w:t>
      </w:r>
      <w:r>
        <w:t xml:space="preserve">wind is curtailed. The saving from flexibility stays between 7.2 and 10.2 kt,</w:t>
      </w:r>
      <w:r>
        <w:t xml:space="preserve"> </w:t>
      </w:r>
      <w:r>
        <w:t xml:space="preserve">or 9.5–11.8 %, and is largest at 50 % minimum load. In the base case the</w:t>
      </w:r>
      <w:r>
        <w:t xml:space="preserve"> </w:t>
      </w:r>
      <w:r>
        <w:t xml:space="preserve">injection pumps start 731 times a year, about twice a day, at no cost. A start</w:t>
      </w:r>
      <w:r>
        <w:t xml:space="preserve"> </w:t>
      </w:r>
      <w:r>
        <w:t xml:space="preserve">cost of only 1,000 NOK reduces this to 163 starts a year and the saving by</w:t>
      </w:r>
      <w:r>
        <w:t xml:space="preserve"> </w:t>
      </w:r>
      <w:r>
        <w:t xml:space="preserve">0.08 kt; at 20,000 NOK per start, 103 starts remain and 0.14 kt of the 7.2 kt</w:t>
      </w:r>
      <w:r>
        <w:t xml:space="preserve"> </w:t>
      </w:r>
      <w:r>
        <w:t xml:space="preserve">is lost. The optimizer then keeps injection at fixed pump steps for longer and</w:t>
      </w:r>
      <w:r>
        <w:t xml:space="preserve"> </w:t>
      </w:r>
      <w:r>
        <w:t xml:space="preserve">uses the deficit mainly in the spells that avoid a second GT.</w:t>
      </w:r>
    </w:p>
    <w:p>
      <w:pPr>
        <w:pStyle w:val="BodyText"/>
      </w:pPr>
      <w:r>
        <w:t xml:space="preserve">The reserve definition has a larger effect. A reserve that must also cover</w:t>
      </w:r>
      <w:r>
        <w:t xml:space="preserve"> </w:t>
      </w:r>
      <w:r>
        <w:t xml:space="preserve">half of the wind power used changes Case 3 only slightly (57.7 kt), but raises</w:t>
      </w:r>
      <w:r>
        <w:t xml:space="preserve"> </w:t>
      </w:r>
      <w:r>
        <w:t xml:space="preserve">Case 2 to 66.2 kt, so that the benefit of flexibility increases to 8.5 kt</w:t>
      </w:r>
      <w:r>
        <w:t xml:space="preserve"> </w:t>
      </w:r>
      <w:r>
        <w:t xml:space="preserve">(12.8 %). If the reserve must cover the loss of all wind used, two GTs run in</w:t>
      </w:r>
      <w:r>
        <w:t xml:space="preserve"> </w:t>
      </w:r>
      <w:r>
        <w:t xml:space="preserve">every hour of Case 2 (90.7 kt), whereas flexible scheduling still avoids the</w:t>
      </w:r>
      <w:r>
        <w:t xml:space="preserve"> </w:t>
      </w:r>
      <w:r>
        <w:t xml:space="preserve">second GT in about 3,600 h and saves 12.5 kt (13.8 %). The opposite</w:t>
      </w:r>
      <w:r>
        <w:t xml:space="preserve"> </w:t>
      </w:r>
      <w:r>
        <w:t xml:space="preserve">assumption, that the running injection pumps count as reserve because they can</w:t>
      </w:r>
      <w:r>
        <w:t xml:space="preserve"> </w:t>
      </w:r>
      <w:r>
        <w:t xml:space="preserve">be tripped within seconds, reduces the emissions of Case 2 to 60.4 kt without</w:t>
      </w:r>
      <w:r>
        <w:t xml:space="preserve"> </w:t>
      </w:r>
      <w:r>
        <w:t xml:space="preserve">any scheduling. This captures about 60 % of the benefit of flexibility, since</w:t>
      </w:r>
      <w:r>
        <w:t xml:space="preserve"> </w:t>
      </w:r>
      <w:r>
        <w:t xml:space="preserve">a second GT is then never needed, and scheduling adds a further 2.8 kt (4.7</w:t>
      </w:r>
      <w:r>
        <w:t xml:space="preserve"> </w:t>
      </w:r>
      <w:r>
        <w:t xml:space="preserve">%), close to the energy part of the saving. Load shedding as reserve and load</w:t>
      </w:r>
      <w:r>
        <w:t xml:space="preserve"> </w:t>
      </w:r>
      <w:r>
        <w:t xml:space="preserve">scheduling are thus two routes to the same mechanism, and they do not add up:</w:t>
      </w:r>
      <w:r>
        <w:t xml:space="preserve"> </w:t>
      </w:r>
      <w:r>
        <w:t xml:space="preserve">with both, Case 3 emits 57.6 kt, as without tripping.</w:t>
      </w:r>
    </w:p>
    <w:p>
      <w:pPr>
        <w:pStyle w:val="BodyText"/>
      </w:pPr>
      <w:r>
        <w:t xml:space="preserve">The weekly windows assume that the wind is known a week ahead. With hourly</w:t>
      </w:r>
      <w:r>
        <w:t xml:space="preserve"> </w:t>
      </w:r>
      <w:r>
        <w:t xml:space="preserve">re-planning over 24 h and the actual wind, the saving falls from 7.2 to 5.5 kt</w:t>
      </w:r>
      <w:r>
        <w:t xml:space="preserve"> </w:t>
      </w:r>
      <w:r>
        <w:t xml:space="preserve">once the 57 h of injection still owed at the end of the year are caught up</w:t>
      </w:r>
      <w:r>
        <w:t xml:space="preserve"> </w:t>
      </w:r>
      <w:r>
        <w:t xml:space="preserve">with GT power; this loss is caused by the shorter horizon, not by the</w:t>
      </w:r>
      <w:r>
        <w:t xml:space="preserve"> </w:t>
      </w:r>
      <w:r>
        <w:t xml:space="preserve">forecast. With a persistence forecast and the rule that every plan must repay</w:t>
      </w:r>
      <w:r>
        <w:t xml:space="preserve"> </w:t>
      </w:r>
      <w:r>
        <w:t xml:space="preserve">its deficit within 24 h, only 0.5 kt is saved. In a calm hour the planner then</w:t>
      </w:r>
      <w:r>
        <w:t xml:space="preserve"> </w:t>
      </w:r>
      <w:r>
        <w:t xml:space="preserve">expects calm for the whole day, sees no chance to catch up, and does not defer</w:t>
      </w:r>
      <w:r>
        <w:t xml:space="preserve"> </w:t>
      </w:r>
      <w:r>
        <w:t xml:space="preserve">injection. If instead the deficit left at the end of the plan is valued at</w:t>
      </w:r>
      <w:r>
        <w:t xml:space="preserve"> </w:t>
      </w:r>
      <w:r>
        <w:t xml:space="preserve">25–50 % of the GT fuel needed to catch it up, persistence planning saves 6.7</w:t>
      </w:r>
      <w:r>
        <w:t xml:space="preserve"> </w:t>
      </w:r>
      <w:r>
        <w:t xml:space="preserve">kt, or 94 % of the perfect-foresight saving, including the 44–46 h of</w:t>
      </w:r>
      <w:r>
        <w:t xml:space="preserve"> </w:t>
      </w:r>
      <w:r>
        <w:t xml:space="preserve">injection left at the end of the year. The rule for the deficit thus matters</w:t>
      </w:r>
      <w:r>
        <w:t xml:space="preserve"> </w:t>
      </w:r>
      <w:r>
        <w:t xml:space="preserve">far more than the quality of the forecast: a planner that may carry the</w:t>
      </w:r>
      <w:r>
        <w:t xml:space="preserve"> </w:t>
      </w:r>
      <w:r>
        <w:t xml:space="preserve">deficit over captures nearly all of the benefit with the simplest possible</w:t>
      </w:r>
      <w:r>
        <w:t xml:space="preserve"> </w:t>
      </w:r>
      <w:r>
        <w:t xml:space="preserve">forecast.</w:t>
      </w:r>
    </w:p>
    <w:p>
      <w:pPr>
        <w:pStyle w:val="Figure"/>
      </w:pPr>
      <w:r>
        <w:drawing>
          <wp:inline>
            <wp:extent cx="5759999" cy="4851625"/>
            <wp:effectExtent b="0" l="0" r="0" t="0"/>
            <wp:docPr descr="" title="" id="52" name="Picture"/>
            <a:graphic>
              <a:graphicData uri="http://schemas.openxmlformats.org/drawingml/2006/picture">
                <pic:pic>
                  <pic:nvPicPr>
                    <pic:cNvPr descr="results/paper/fig09_sensitivity_overview.png" id="53" name="Picture"/>
                    <pic:cNvPicPr>
                      <a:picLocks noChangeArrowheads="1" noChangeAspect="1"/>
                    </pic:cNvPicPr>
                  </pic:nvPicPr>
                  <pic:blipFill>
                    <a:blip r:embed="rId51"/>
                    <a:stretch>
                      <a:fillRect/>
                    </a:stretch>
                  </pic:blipFill>
                  <pic:spPr bwMode="auto">
                    <a:xfrm>
                      <a:off x="0" y="0"/>
                      <a:ext cx="5759999" cy="4851625"/>
                    </a:xfrm>
                    <a:prstGeom prst="rect">
                      <a:avLst/>
                    </a:prstGeom>
                    <a:noFill/>
                    <a:ln w="9525">
                      <a:noFill/>
                      <a:headEnd/>
                      <a:tailEnd/>
                    </a:ln>
                  </pic:spPr>
                </pic:pic>
              </a:graphicData>
            </a:graphic>
          </wp:inline>
        </w:drawing>
      </w:r>
    </w:p>
    <w:p>
      <w:pPr>
        <w:pStyle w:val="FigureCaption"/>
      </w:pPr>
      <w:r>
        <w:rPr>
          <w:bCs/>
          <w:b/>
        </w:rPr>
        <w:t xml:space="preserve">Figure 7.</w:t>
      </w:r>
      <w:r>
        <w:t xml:space="preserve"> </w:t>
      </w:r>
      <w:r>
        <w:t xml:space="preserve">Sensitivity of annual CO</w:t>
      </w:r>
      <w:r>
        <w:rPr>
          <w:vertAlign w:val="subscript"/>
        </w:rPr>
        <w:t xml:space="preserve">2</w:t>
      </w:r>
      <w:r>
        <w:t xml:space="preserve"> </w:t>
      </w:r>
      <w:r>
        <w:t xml:space="preserve">emissions to wind farm size, battery size, injection deficit limit, minimum number of GTs online, GT fleet, operating practice, GT minimum load, pump start cost and reserve definition.</w:t>
      </w:r>
    </w:p>
    <w:bookmarkEnd w:id="54"/>
    <w:bookmarkStart w:id="58" w:name="platform-demand-and-reserve"/>
    <w:p>
      <w:pPr>
        <w:pStyle w:val="Heading2"/>
      </w:pPr>
      <w:r>
        <w:t xml:space="preserve">3.5 Platform demand and reserve</w:t>
      </w:r>
    </w:p>
    <w:p>
      <w:pPr>
        <w:pStyle w:val="FirstParagraph"/>
      </w:pPr>
      <w:r>
        <w:t xml:space="preserve">The base platform has a mean demand of 18.8 MW, just above what one GT can</w:t>
      </w:r>
      <w:r>
        <w:t xml:space="preserve"> </w:t>
      </w:r>
      <w:r>
        <w:t xml:space="preserve">carry while holding the reserve, 21.8 − 5 = 16.8 MW. The demand and reserve</w:t>
      </w:r>
      <w:r>
        <w:t xml:space="preserve"> </w:t>
      </w:r>
      <w:r>
        <w:t xml:space="preserve">map (Figure 8) shows that this margin decides the size of the benefit. When one</w:t>
      </w:r>
      <w:r>
        <w:t xml:space="preserve"> </w:t>
      </w:r>
      <w:r>
        <w:t xml:space="preserve">GT can carry the mean demand plus the reserve (a positive margin), a second GT</w:t>
      </w:r>
      <w:r>
        <w:t xml:space="preserve"> </w:t>
      </w:r>
      <w:r>
        <w:t xml:space="preserve">is rarely needed even with fixed demand, and flexibility saves 4.4–4.8 % of</w:t>
      </w:r>
      <w:r>
        <w:t xml:space="preserve"> </w:t>
      </w:r>
      <w:r>
        <w:t xml:space="preserve">the Case 2 emissions, about the energy part alone. When the mean demand</w:t>
      </w:r>
      <w:r>
        <w:t xml:space="preserve"> </w:t>
      </w:r>
      <w:r>
        <w:t xml:space="preserve">exceeds the rating of one GT minus the reserve, the saving roughly doubles, to</w:t>
      </w:r>
      <w:r>
        <w:t xml:space="preserve"> </w:t>
      </w:r>
      <w:r>
        <w:t xml:space="preserve">8–12 %, because deferring injection then avoids the second GT in many hours.</w:t>
      </w:r>
      <w:r>
        <w:t xml:space="preserve"> </w:t>
      </w:r>
      <w:r>
        <w:t xml:space="preserve">The transition is sharp and occurs at a margin of about zero for all four</w:t>
      </w:r>
      <w:r>
        <w:t xml:space="preserve"> </w:t>
      </w:r>
      <w:r>
        <w:t xml:space="preserve">reserve sizes, so that the curves of Figure 8 (right) nearly coincide when they</w:t>
      </w:r>
      <w:r>
        <w:t xml:space="preserve"> </w:t>
      </w:r>
      <w:r>
        <w:t xml:space="preserve">are plotted against the margin instead of the demand. Further above the</w:t>
      </w:r>
      <w:r>
        <w:t xml:space="preserve"> </w:t>
      </w:r>
      <w:r>
        <w:t xml:space="preserve">margin, the saving decreases slowly, to 10 % at 22.6 MW, since the deferrable</w:t>
      </w:r>
      <w:r>
        <w:t xml:space="preserve"> </w:t>
      </w:r>
      <w:r>
        <w:t xml:space="preserve">load is then more often too small to keep the second GT off.</w:t>
      </w:r>
    </w:p>
    <w:p>
      <w:pPr>
        <w:pStyle w:val="BodyText"/>
      </w:pPr>
      <w:r>
        <w:t xml:space="preserve">The margin of one GT is therefore a simple screening criterion. With the LEOGO</w:t>
      </w:r>
      <w:r>
        <w:t xml:space="preserve"> </w:t>
      </w:r>
      <w:r>
        <w:t xml:space="preserve">turbines and a 30 MW wind farm, a platform whose mean demand lies about 2–8 MW</w:t>
      </w:r>
      <w:r>
        <w:t xml:space="preserve"> </w:t>
      </w:r>
      <w:r>
        <w:t xml:space="preserve">above the rating of one GT minus its reserve can expect about 10–12 % lower</w:t>
      </w:r>
      <w:r>
        <w:t xml:space="preserve"> </w:t>
      </w:r>
      <w:r>
        <w:t xml:space="preserve">emissions from scheduling its deferrable loads, and a platform with a positive</w:t>
      </w:r>
      <w:r>
        <w:t xml:space="preserve"> </w:t>
      </w:r>
      <w:r>
        <w:t xml:space="preserve">margin about 4–5 %.</w:t>
      </w:r>
    </w:p>
    <w:p>
      <w:pPr>
        <w:pStyle w:val="Figure"/>
      </w:pPr>
      <w:r>
        <w:drawing>
          <wp:inline>
            <wp:extent cx="5759999" cy="2192387"/>
            <wp:effectExtent b="0" l="0" r="0" t="0"/>
            <wp:docPr descr="" title="" id="56" name="Picture"/>
            <a:graphic>
              <a:graphicData uri="http://schemas.openxmlformats.org/drawingml/2006/picture">
                <pic:pic>
                  <pic:nvPicPr>
                    <pic:cNvPr descr="results/paper/fig12_demand_reserve_map.png" id="57" name="Picture"/>
                    <pic:cNvPicPr>
                      <a:picLocks noChangeArrowheads="1" noChangeAspect="1"/>
                    </pic:cNvPicPr>
                  </pic:nvPicPr>
                  <pic:blipFill>
                    <a:blip r:embed="rId55"/>
                    <a:stretch>
                      <a:fillRect/>
                    </a:stretch>
                  </pic:blipFill>
                  <pic:spPr bwMode="auto">
                    <a:xfrm>
                      <a:off x="0" y="0"/>
                      <a:ext cx="5759999" cy="2192387"/>
                    </a:xfrm>
                    <a:prstGeom prst="rect">
                      <a:avLst/>
                    </a:prstGeom>
                    <a:noFill/>
                    <a:ln w="9525">
                      <a:noFill/>
                      <a:headEnd/>
                      <a:tailEnd/>
                    </a:ln>
                  </pic:spPr>
                </pic:pic>
              </a:graphicData>
            </a:graphic>
          </wp:inline>
        </w:drawing>
      </w:r>
    </w:p>
    <w:p>
      <w:pPr>
        <w:pStyle w:val="FigureCaption"/>
      </w:pPr>
      <w:r>
        <w:rPr>
          <w:bCs/>
          <w:b/>
        </w:rPr>
        <w:t xml:space="preserve">Figure 8.</w:t>
      </w:r>
      <w:r>
        <w:t xml:space="preserve"> </w:t>
      </w:r>
      <w:r>
        <w:t xml:space="preserve">Flexibility benefit (Case 2 − Case 3, % of Case 2 CO</w:t>
      </w:r>
      <w:r>
        <w:rPr>
          <w:vertAlign w:val="subscript"/>
        </w:rPr>
        <w:t xml:space="preserve">2</w:t>
      </w:r>
      <w:r>
        <w:t xml:space="preserve">) for 28 platforms with all electric consumers scaled by 0.6–1.2 and a spinning reserve of 3–9 MW. Left: by mean demand and reserve. Right: the same points against the margin of one GT, its rating minus the reserve minus the mean demand.</w:t>
      </w:r>
    </w:p>
    <w:bookmarkEnd w:id="58"/>
    <w:bookmarkStart w:id="62" w:name="benchmark-checks"/>
    <w:p>
      <w:pPr>
        <w:pStyle w:val="Heading2"/>
      </w:pPr>
      <w:r>
        <w:t xml:space="preserve">3.6 Benchmark checks</w:t>
      </w:r>
    </w:p>
    <w:p>
      <w:pPr>
        <w:pStyle w:val="FirstParagraph"/>
        <w:keepNext/>
      </w:pPr>
      <w:r>
        <w:rPr>
          <w:bCs/>
          <w:b/>
        </w:rPr>
        <w:t xml:space="preserve">Table 6.</w:t>
      </w:r>
      <w:r>
        <w:t xml:space="preserve"> </w:t>
      </w:r>
      <w:r>
        <w:t xml:space="preserve">Model results against published benchmarks.</w:t>
      </w:r>
    </w:p>
    <w:tbl>
      <w:tblPr>
        <w:tblStyle w:val="Table"/>
        <w:tblW w:type="pct" w:w="5000"/>
        <w:tblLook w:firstRow="1" w:lastRow="0" w:firstColumn="0" w:lastColumn="0" w:noHBand="0" w:noVBand="0" w:val="0020"/>
        <w:jc w:val="start"/>
        <w:tblBorders>
          <w:top w:val="single" w:sz="4" w:space="0" w:color="000000"/>
          <w:bottom w:val="single" w:sz="4" w:space="0" w:color="000000"/>
          <w:left w:val="nil" w:sz="4" w:space="0" w:color="000000"/>
          <w:right w:val="nil" w:sz="4" w:space="0" w:color="000000"/>
          <w:insideH w:val="nil" w:sz="4" w:space="0" w:color="000000"/>
          <w:insideV w:val="nil" w:sz="4" w:space="0" w:color="000000"/>
        </w:tblBorders>
      </w:tblPr>
      <w:tblGrid>
        <w:gridCol w:w="4926"/>
        <w:gridCol w:w="1231"/>
        <w:gridCol w:w="1847"/>
        <w:gridCol w:w="1354"/>
      </w:tblGrid>
      <w:tr>
        <w:trPr>
          <w:tblHeader w:val="true"/>
          <w:tblHeader/>
        </w:trPr>
        <w:tc>
          <w:tcPr>
            <w:tcW w:type="dxa" w:w="4926"/>
            <w:tcBorders>
              <w:bottom w:val="single" w:sz="4" w:space="0" w:color="000000"/>
            </w:tcBorders>
          </w:tcPr>
          <w:p>
            <w:pPr>
              <w:pStyle w:val="Compact"/>
              <w:spacing w:line="240" w:lineRule="auto" w:after="20"/>
              <w:jc w:val="left"/>
            </w:pPr>
            <w:r>
              <w:rPr>
                <w:b/>
                <w:sz w:val="20"/>
              </w:rPr>
              <w:t xml:space="preserve">Benchmark</w:t>
            </w:r>
          </w:p>
        </w:tc>
        <w:tc>
          <w:tcPr>
            <w:tcW w:type="dxa" w:w="1231"/>
            <w:tcBorders>
              <w:bottom w:val="single" w:sz="4" w:space="0" w:color="000000"/>
            </w:tcBorders>
          </w:tcPr>
          <w:p>
            <w:pPr>
              <w:pStyle w:val="Compact"/>
              <w:spacing w:line="240" w:lineRule="auto" w:after="20"/>
              <w:jc w:val="left"/>
            </w:pPr>
            <w:r>
              <w:rPr>
                <w:b/>
                <w:sz w:val="20"/>
              </w:rPr>
              <w:t xml:space="preserve">Model</w:t>
            </w:r>
          </w:p>
        </w:tc>
        <w:tc>
          <w:tcPr>
            <w:tcW w:type="dxa" w:w="1847"/>
            <w:tcBorders>
              <w:bottom w:val="single" w:sz="4" w:space="0" w:color="000000"/>
            </w:tcBorders>
          </w:tcPr>
          <w:p>
            <w:pPr>
              <w:pStyle w:val="Compact"/>
              <w:spacing w:line="240" w:lineRule="auto" w:after="20"/>
              <w:jc w:val="left"/>
            </w:pPr>
            <w:r>
              <w:rPr>
                <w:b/>
                <w:sz w:val="20"/>
              </w:rPr>
              <w:t xml:space="preserve">Published</w:t>
            </w:r>
          </w:p>
        </w:tc>
        <w:tc>
          <w:tcPr>
            <w:tcW w:type="dxa" w:w="1354"/>
            <w:tcBorders>
              <w:bottom w:val="single" w:sz="4" w:space="0" w:color="000000"/>
            </w:tcBorders>
          </w:tcPr>
          <w:p>
            <w:pPr>
              <w:pStyle w:val="Compact"/>
              <w:spacing w:line="240" w:lineRule="auto" w:after="20"/>
              <w:jc w:val="left"/>
            </w:pPr>
            <w:r>
              <w:rPr>
                <w:b/>
                <w:sz w:val="20"/>
              </w:rPr>
              <w:t xml:space="preserve">Status</w:t>
            </w:r>
          </w:p>
        </w:tc>
      </w:tr>
      <w:tr>
        <w:tc>
          <w:tcPr>
            <w:tcW w:type="dxa" w:w="4926"/>
          </w:tcPr>
          <w:p>
            <w:pPr>
              <w:pStyle w:val="Compact"/>
              <w:spacing w:line="240" w:lineRule="auto" w:after="20"/>
              <w:jc w:val="left"/>
            </w:pPr>
            <w:r>
              <w:rPr>
                <w:sz w:val="20"/>
              </w:rPr>
              <w:t xml:space="preserve">Platform power, three real oil platforms (Voldsund et al. 2013, 2014)</w:t>
            </w:r>
          </w:p>
        </w:tc>
        <w:tc>
          <w:tcPr>
            <w:tcW w:type="dxa" w:w="1231"/>
          </w:tcPr>
          <w:p>
            <w:pPr>
              <w:pStyle w:val="Compact"/>
              <w:spacing w:line="240" w:lineRule="auto" w:after="20"/>
              <w:jc w:val="left"/>
            </w:pPr>
            <w:r>
              <w:rPr>
                <w:sz w:val="20"/>
              </w:rPr>
              <w:t xml:space="preserve">20.3 MW</w:t>
            </w:r>
          </w:p>
        </w:tc>
        <w:tc>
          <w:tcPr>
            <w:tcW w:type="dxa" w:w="1847"/>
          </w:tcPr>
          <w:p>
            <w:pPr>
              <w:pStyle w:val="Compact"/>
              <w:spacing w:line="240" w:lineRule="auto" w:after="20"/>
              <w:jc w:val="left"/>
            </w:pPr>
            <w:r>
              <w:rPr>
                <w:sz w:val="20"/>
              </w:rPr>
              <w:t xml:space="preserve">17–30 MW</w:t>
            </w:r>
          </w:p>
        </w:tc>
        <w:tc>
          <w:tcPr>
            <w:tcW w:type="dxa" w:w="1354"/>
          </w:tcPr>
          <w:p>
            <w:pPr>
              <w:pStyle w:val="Compact"/>
              <w:spacing w:line="240" w:lineRule="auto" w:after="20"/>
              <w:jc w:val="left"/>
            </w:pPr>
            <w:r>
              <w:rPr>
                <w:sz w:val="20"/>
              </w:rPr>
              <w:t xml:space="preserve">within</w:t>
            </w:r>
          </w:p>
        </w:tc>
      </w:tr>
      <w:tr>
        <w:tc>
          <w:tcPr>
            <w:tcW w:type="dxa" w:w="4926"/>
          </w:tcPr>
          <w:p>
            <w:pPr>
              <w:pStyle w:val="Compact"/>
              <w:spacing w:line="240" w:lineRule="auto" w:after="20"/>
              <w:jc w:val="left"/>
            </w:pPr>
            <w:r>
              <w:rPr>
                <w:sz w:val="20"/>
              </w:rPr>
              <w:t xml:space="preserve">Platform power, six modeled platforms (Nguyen et al. 2013)</w:t>
            </w:r>
          </w:p>
        </w:tc>
        <w:tc>
          <w:tcPr>
            <w:tcW w:type="dxa" w:w="1231"/>
          </w:tcPr>
          <w:p>
            <w:pPr>
              <w:pStyle w:val="Compact"/>
              <w:spacing w:line="240" w:lineRule="auto" w:after="20"/>
              <w:jc w:val="left"/>
            </w:pPr>
            <w:r>
              <w:rPr>
                <w:sz w:val="20"/>
              </w:rPr>
              <w:t xml:space="preserve">20.3 MW</w:t>
            </w:r>
          </w:p>
        </w:tc>
        <w:tc>
          <w:tcPr>
            <w:tcW w:type="dxa" w:w="1847"/>
          </w:tcPr>
          <w:p>
            <w:pPr>
              <w:pStyle w:val="Compact"/>
              <w:spacing w:line="240" w:lineRule="auto" w:after="20"/>
              <w:jc w:val="left"/>
            </w:pPr>
            <w:r>
              <w:rPr>
                <w:sz w:val="20"/>
              </w:rPr>
              <w:t xml:space="preserve">22.6–31.1 MW</w:t>
            </w:r>
          </w:p>
        </w:tc>
        <w:tc>
          <w:tcPr>
            <w:tcW w:type="dxa" w:w="1354"/>
          </w:tcPr>
          <w:p>
            <w:pPr>
              <w:pStyle w:val="Compact"/>
              <w:spacing w:line="240" w:lineRule="auto" w:after="20"/>
              <w:jc w:val="left"/>
            </w:pPr>
            <w:r>
              <w:rPr>
                <w:sz w:val="20"/>
              </w:rPr>
              <w:t xml:space="preserve">below range</w:t>
            </w:r>
          </w:p>
        </w:tc>
      </w:tr>
      <w:tr>
        <w:tc>
          <w:tcPr>
            <w:tcW w:type="dxa" w:w="4926"/>
          </w:tcPr>
          <w:p>
            <w:pPr>
              <w:pStyle w:val="Compact"/>
              <w:spacing w:line="240" w:lineRule="auto" w:after="20"/>
              <w:jc w:val="left"/>
            </w:pPr>
            <w:r>
              <w:rPr>
                <w:sz w:val="20"/>
              </w:rPr>
              <w:t xml:space="preserve">Platform power, Johan Castberg (Statoil 2017)</w:t>
            </w:r>
          </w:p>
        </w:tc>
        <w:tc>
          <w:tcPr>
            <w:tcW w:type="dxa" w:w="1231"/>
          </w:tcPr>
          <w:p>
            <w:pPr>
              <w:pStyle w:val="Compact"/>
              <w:spacing w:line="240" w:lineRule="auto" w:after="20"/>
              <w:jc w:val="left"/>
            </w:pPr>
            <w:r>
              <w:rPr>
                <w:sz w:val="20"/>
              </w:rPr>
              <w:t xml:space="preserve">20.3 MW</w:t>
            </w:r>
          </w:p>
        </w:tc>
        <w:tc>
          <w:tcPr>
            <w:tcW w:type="dxa" w:w="1847"/>
          </w:tcPr>
          <w:p>
            <w:pPr>
              <w:pStyle w:val="Compact"/>
              <w:spacing w:line="240" w:lineRule="auto" w:after="20"/>
              <w:jc w:val="left"/>
            </w:pPr>
            <w:r>
              <w:rPr>
                <w:sz w:val="20"/>
              </w:rPr>
              <w:t xml:space="preserve">25 MW</w:t>
            </w:r>
          </w:p>
        </w:tc>
        <w:tc>
          <w:tcPr>
            <w:tcW w:type="dxa" w:w="1354"/>
          </w:tcPr>
          <w:p>
            <w:pPr>
              <w:pStyle w:val="Compact"/>
              <w:spacing w:line="240" w:lineRule="auto" w:after="20"/>
              <w:jc w:val="left"/>
            </w:pPr>
            <w:r>
              <w:rPr>
                <w:sz w:val="20"/>
              </w:rPr>
              <w:t xml:space="preserve">within 20 %</w:t>
            </w:r>
          </w:p>
        </w:tc>
      </w:tr>
      <w:tr>
        <w:tc>
          <w:tcPr>
            <w:tcW w:type="dxa" w:w="4926"/>
          </w:tcPr>
          <w:p>
            <w:pPr>
              <w:pStyle w:val="Compact"/>
              <w:spacing w:line="240" w:lineRule="auto" w:after="20"/>
              <w:jc w:val="left"/>
            </w:pPr>
            <w:r>
              <w:rPr>
                <w:sz w:val="20"/>
              </w:rPr>
              <w:t xml:space="preserve">Platform power implied by Hywind Tampen (Equinor 2023)</w:t>
            </w:r>
          </w:p>
        </w:tc>
        <w:tc>
          <w:tcPr>
            <w:tcW w:type="dxa" w:w="1231"/>
          </w:tcPr>
          <w:p>
            <w:pPr>
              <w:pStyle w:val="Compact"/>
              <w:spacing w:line="240" w:lineRule="auto" w:after="20"/>
              <w:jc w:val="left"/>
            </w:pPr>
            <w:r>
              <w:rPr>
                <w:sz w:val="20"/>
              </w:rPr>
              <w:t xml:space="preserve">20.3 MW</w:t>
            </w:r>
          </w:p>
        </w:tc>
        <w:tc>
          <w:tcPr>
            <w:tcW w:type="dxa" w:w="1847"/>
          </w:tcPr>
          <w:p>
            <w:pPr>
              <w:pStyle w:val="Compact"/>
              <w:spacing w:line="240" w:lineRule="auto" w:after="20"/>
              <w:jc w:val="left"/>
            </w:pPr>
            <w:r>
              <w:rPr>
                <w:sz w:val="20"/>
              </w:rPr>
              <w:t xml:space="preserve">25.1 MW</w:t>
            </w:r>
          </w:p>
        </w:tc>
        <w:tc>
          <w:tcPr>
            <w:tcW w:type="dxa" w:w="1354"/>
          </w:tcPr>
          <w:p>
            <w:pPr>
              <w:pStyle w:val="Compact"/>
              <w:spacing w:line="240" w:lineRule="auto" w:after="20"/>
              <w:jc w:val="left"/>
            </w:pPr>
            <w:r>
              <w:rPr>
                <w:sz w:val="20"/>
              </w:rPr>
              <w:t xml:space="preserve">within 20 %</w:t>
            </w:r>
          </w:p>
        </w:tc>
      </w:tr>
      <w:tr>
        <w:tc>
          <w:tcPr>
            <w:tcW w:type="dxa" w:w="4926"/>
          </w:tcPr>
          <w:p>
            <w:pPr>
              <w:pStyle w:val="Compact"/>
              <w:spacing w:line="240" w:lineRule="auto" w:after="20"/>
              <w:jc w:val="left"/>
            </w:pPr>
            <w:r>
              <w:rPr>
                <w:sz w:val="20"/>
              </w:rPr>
              <w:t xml:space="preserve">Wind capacity factor, Hywind Tampen design (Equinor 2023)</w:t>
            </w:r>
          </w:p>
        </w:tc>
        <w:tc>
          <w:tcPr>
            <w:tcW w:type="dxa" w:w="1231"/>
          </w:tcPr>
          <w:p>
            <w:pPr>
              <w:pStyle w:val="Compact"/>
              <w:spacing w:line="240" w:lineRule="auto" w:after="20"/>
              <w:jc w:val="left"/>
            </w:pPr>
            <w:r>
              <w:rPr>
                <w:sz w:val="20"/>
              </w:rPr>
              <w:t xml:space="preserve">50.9 %</w:t>
            </w:r>
          </w:p>
        </w:tc>
        <w:tc>
          <w:tcPr>
            <w:tcW w:type="dxa" w:w="1847"/>
          </w:tcPr>
          <w:p>
            <w:pPr>
              <w:pStyle w:val="Compact"/>
              <w:spacing w:line="240" w:lineRule="auto" w:after="20"/>
              <w:jc w:val="left"/>
            </w:pPr>
            <w:r>
              <w:rPr>
                <w:sz w:val="20"/>
              </w:rPr>
              <w:t xml:space="preserve">49.8 %</w:t>
            </w:r>
          </w:p>
        </w:tc>
        <w:tc>
          <w:tcPr>
            <w:tcW w:type="dxa" w:w="1354"/>
          </w:tcPr>
          <w:p>
            <w:pPr>
              <w:pStyle w:val="Compact"/>
              <w:spacing w:line="240" w:lineRule="auto" w:after="20"/>
              <w:jc w:val="left"/>
            </w:pPr>
            <w:r>
              <w:rPr>
                <w:sz w:val="20"/>
              </w:rPr>
              <w:t xml:space="preserve">agrees</w:t>
            </w:r>
          </w:p>
        </w:tc>
      </w:tr>
      <w:tr>
        <w:tc>
          <w:tcPr>
            <w:tcW w:type="dxa" w:w="4926"/>
          </w:tcPr>
          <w:p>
            <w:pPr>
              <w:pStyle w:val="Compact"/>
              <w:spacing w:line="240" w:lineRule="auto" w:after="20"/>
              <w:jc w:val="left"/>
            </w:pPr>
            <w:r>
              <w:rPr>
                <w:sz w:val="20"/>
              </w:rPr>
              <w:t xml:space="preserve">Wind capacity factor, Hywind Tampen Q1 2025 (Norwegian Offshore Wind 2025)</w:t>
            </w:r>
          </w:p>
        </w:tc>
        <w:tc>
          <w:tcPr>
            <w:tcW w:type="dxa" w:w="1231"/>
          </w:tcPr>
          <w:p>
            <w:pPr>
              <w:pStyle w:val="Compact"/>
              <w:spacing w:line="240" w:lineRule="auto" w:after="20"/>
              <w:jc w:val="left"/>
            </w:pPr>
            <w:r>
              <w:rPr>
                <w:sz w:val="20"/>
              </w:rPr>
              <w:t xml:space="preserve">50.9 %</w:t>
            </w:r>
          </w:p>
        </w:tc>
        <w:tc>
          <w:tcPr>
            <w:tcW w:type="dxa" w:w="1847"/>
          </w:tcPr>
          <w:p>
            <w:pPr>
              <w:pStyle w:val="Compact"/>
              <w:spacing w:line="240" w:lineRule="auto" w:after="20"/>
              <w:jc w:val="left"/>
            </w:pPr>
            <w:r>
              <w:rPr>
                <w:sz w:val="20"/>
              </w:rPr>
              <w:t xml:space="preserve">58.4 % (winter)</w:t>
            </w:r>
          </w:p>
        </w:tc>
        <w:tc>
          <w:tcPr>
            <w:tcW w:type="dxa" w:w="1354"/>
          </w:tcPr>
          <w:p>
            <w:pPr>
              <w:pStyle w:val="Compact"/>
              <w:spacing w:line="240" w:lineRule="auto" w:after="20"/>
              <w:jc w:val="left"/>
            </w:pPr>
            <w:r>
              <w:rPr>
                <w:sz w:val="20"/>
              </w:rPr>
              <w:t xml:space="preserve">within 20 %</w:t>
            </w:r>
          </w:p>
        </w:tc>
      </w:tr>
      <w:tr>
        <w:tc>
          <w:tcPr>
            <w:tcW w:type="dxa" w:w="4926"/>
          </w:tcPr>
          <w:p>
            <w:pPr>
              <w:pStyle w:val="Compact"/>
              <w:spacing w:line="240" w:lineRule="auto" w:after="20"/>
              <w:jc w:val="left"/>
            </w:pPr>
            <w:r>
              <w:rPr>
                <w:sz w:val="20"/>
              </w:rPr>
              <w:t xml:space="preserve">CO</w:t>
            </w:r>
            <w:r>
              <w:rPr>
                <w:sz w:val="20"/>
                <w:vertAlign w:val="subscript"/>
              </w:rPr>
              <w:t xml:space="preserve">2</w:t>
            </w:r>
            <w:r>
              <w:rPr>
                <w:sz w:val="20"/>
              </w:rPr>
              <w:t xml:space="preserve"> </w:t>
            </w:r>
            <w:r>
              <w:rPr>
                <w:sz w:val="20"/>
              </w:rPr>
              <w:t xml:space="preserve">avoided per MWh wind, two GTs kept online (Equinor 2023)</w:t>
            </w:r>
          </w:p>
        </w:tc>
        <w:tc>
          <w:tcPr>
            <w:tcW w:type="dxa" w:w="1231"/>
          </w:tcPr>
          <w:p>
            <w:pPr>
              <w:pStyle w:val="Compact"/>
              <w:spacing w:line="240" w:lineRule="auto" w:after="20"/>
              <w:jc w:val="left"/>
            </w:pPr>
            <w:r>
              <w:rPr>
                <w:sz w:val="20"/>
              </w:rPr>
              <w:t xml:space="preserve">0.51 t/MWh</w:t>
            </w:r>
          </w:p>
        </w:tc>
        <w:tc>
          <w:tcPr>
            <w:tcW w:type="dxa" w:w="1847"/>
          </w:tcPr>
          <w:p>
            <w:pPr>
              <w:pStyle w:val="Compact"/>
              <w:spacing w:line="240" w:lineRule="auto" w:after="20"/>
              <w:jc w:val="left"/>
            </w:pPr>
            <w:r>
              <w:rPr>
                <w:sz w:val="20"/>
              </w:rPr>
              <w:t xml:space="preserve">0.52 t/MWh</w:t>
            </w:r>
          </w:p>
        </w:tc>
        <w:tc>
          <w:tcPr>
            <w:tcW w:type="dxa" w:w="1354"/>
          </w:tcPr>
          <w:p>
            <w:pPr>
              <w:pStyle w:val="Compact"/>
              <w:spacing w:line="240" w:lineRule="auto" w:after="20"/>
              <w:jc w:val="left"/>
            </w:pPr>
            <w:r>
              <w:rPr>
                <w:sz w:val="20"/>
              </w:rPr>
              <w:t xml:space="preserve">agrees</w:t>
            </w:r>
          </w:p>
        </w:tc>
      </w:tr>
      <w:tr>
        <w:tc>
          <w:tcPr>
            <w:tcW w:type="dxa" w:w="4926"/>
          </w:tcPr>
          <w:p>
            <w:pPr>
              <w:pStyle w:val="Compact"/>
              <w:spacing w:line="240" w:lineRule="auto" w:after="20"/>
              <w:jc w:val="left"/>
            </w:pPr>
            <w:r>
              <w:rPr>
                <w:sz w:val="20"/>
              </w:rPr>
              <w:t xml:space="preserve">Water injection specific energy (Svendsen et al. 2023)</w:t>
            </w:r>
          </w:p>
        </w:tc>
        <w:tc>
          <w:tcPr>
            <w:tcW w:type="dxa" w:w="1231"/>
          </w:tcPr>
          <w:p>
            <w:pPr>
              <w:pStyle w:val="Compact"/>
              <w:spacing w:line="240" w:lineRule="auto" w:after="20"/>
              <w:jc w:val="left"/>
            </w:pPr>
            <w:r>
              <w:rPr>
                <w:sz w:val="20"/>
              </w:rPr>
              <w:t xml:space="preserve">8.8 kWh/m³</w:t>
            </w:r>
          </w:p>
        </w:tc>
        <w:tc>
          <w:tcPr>
            <w:tcW w:type="dxa" w:w="1847"/>
          </w:tcPr>
          <w:p>
            <w:pPr>
              <w:pStyle w:val="Compact"/>
              <w:spacing w:line="240" w:lineRule="auto" w:after="20"/>
              <w:jc w:val="left"/>
            </w:pPr>
            <w:r>
              <w:rPr>
                <w:sz w:val="20"/>
              </w:rPr>
              <w:t xml:space="preserve">9.0 kWh/m³</w:t>
            </w:r>
          </w:p>
        </w:tc>
        <w:tc>
          <w:tcPr>
            <w:tcW w:type="dxa" w:w="1354"/>
          </w:tcPr>
          <w:p>
            <w:pPr>
              <w:pStyle w:val="Compact"/>
              <w:spacing w:line="240" w:lineRule="auto" w:after="20"/>
              <w:jc w:val="left"/>
            </w:pPr>
            <w:r>
              <w:rPr>
                <w:sz w:val="20"/>
              </w:rPr>
              <w:t xml:space="preserve">agrees</w:t>
            </w:r>
          </w:p>
        </w:tc>
      </w:tr>
      <w:tr>
        <w:tc>
          <w:tcPr>
            <w:tcW w:type="dxa" w:w="4926"/>
          </w:tcPr>
          <w:p>
            <w:pPr>
              <w:pStyle w:val="Compact"/>
              <w:spacing w:line="240" w:lineRule="auto" w:after="20"/>
              <w:jc w:val="left"/>
            </w:pPr>
            <w:r>
              <w:rPr>
                <w:sz w:val="20"/>
              </w:rPr>
              <w:t xml:space="preserve">CO</w:t>
            </w:r>
            <w:r>
              <w:rPr>
                <w:sz w:val="20"/>
                <w:vertAlign w:val="subscript"/>
              </w:rPr>
              <w:t xml:space="preserve">2</w:t>
            </w:r>
            <w:r>
              <w:rPr>
                <w:sz w:val="20"/>
              </w:rPr>
              <w:t xml:space="preserve"> </w:t>
            </w:r>
            <w:r>
              <w:rPr>
                <w:sz w:val="20"/>
              </w:rPr>
              <w:t xml:space="preserve">intensity, Norwegian shelf 2023 (Offshore Norge 2024)</w:t>
            </w:r>
          </w:p>
        </w:tc>
        <w:tc>
          <w:tcPr>
            <w:tcW w:type="dxa" w:w="1231"/>
          </w:tcPr>
          <w:p>
            <w:pPr>
              <w:pStyle w:val="Compact"/>
              <w:spacing w:line="240" w:lineRule="auto" w:after="20"/>
              <w:jc w:val="left"/>
            </w:pPr>
            <w:r>
              <w:rPr>
                <w:sz w:val="20"/>
              </w:rPr>
              <w:t xml:space="preserve">3.1 kg/boe</w:t>
            </w:r>
          </w:p>
        </w:tc>
        <w:tc>
          <w:tcPr>
            <w:tcW w:type="dxa" w:w="1847"/>
          </w:tcPr>
          <w:p>
            <w:pPr>
              <w:pStyle w:val="Compact"/>
              <w:spacing w:line="240" w:lineRule="auto" w:after="20"/>
              <w:jc w:val="left"/>
            </w:pPr>
            <w:r>
              <w:rPr>
                <w:sz w:val="20"/>
              </w:rPr>
              <w:t xml:space="preserve">7.3 kg/boe</w:t>
            </w:r>
          </w:p>
        </w:tc>
        <w:tc>
          <w:tcPr>
            <w:tcW w:type="dxa" w:w="1354"/>
          </w:tcPr>
          <w:p>
            <w:pPr>
              <w:pStyle w:val="Compact"/>
              <w:spacing w:line="240" w:lineRule="auto" w:after="20"/>
              <w:jc w:val="left"/>
            </w:pPr>
            <w:r>
              <w:rPr>
                <w:sz w:val="20"/>
              </w:rPr>
              <w:t xml:space="preserve">lower</w:t>
            </w:r>
          </w:p>
        </w:tc>
      </w:tr>
    </w:tbl>
    <w:p>
      <w:pPr>
        <w:pStyle w:val="BodyText"/>
        <w:spacing w:before="200"/>
      </w:pPr>
      <w:r>
        <w:t xml:space="preserve">The model results are compared with the published benchmarks in Table 6 and</w:t>
      </w:r>
      <w:r>
        <w:t xml:space="preserve"> </w:t>
      </w:r>
      <w:r>
        <w:t xml:space="preserve">Figure 9. The platform power, the wind resource and the pump energy agree with</w:t>
      </w:r>
      <w:r>
        <w:t xml:space="preserve"> </w:t>
      </w:r>
      <w:r>
        <w:t xml:space="preserve">the published values. The platform power lies within the range of</w:t>
      </w:r>
      <w:r>
        <w:t xml:space="preserve"> </w:t>
      </w:r>
      <w:r>
        <w:t xml:space="preserve">processing-plant power of three real oil platforms and within 20 % of the</w:t>
      </w:r>
      <w:r>
        <w:t xml:space="preserve"> </w:t>
      </w:r>
      <w:r>
        <w:t xml:space="preserve">other references. It is, however, below the range of the six platforms</w:t>
      </w:r>
      <w:r>
        <w:t xml:space="preserve"> </w:t>
      </w:r>
      <w:r>
        <w:t xml:space="preserve">modeled by Nguyen et al. (2013), in which gas compression alone</w:t>
      </w:r>
      <w:r>
        <w:t xml:space="preserve"> </w:t>
      </w:r>
      <w:r>
        <w:t xml:space="preserve">accounts for 42–56 % of a demand of 22.6–31.1 MW, compared with 28 % of 20.3</w:t>
      </w:r>
      <w:r>
        <w:t xml:space="preserve"> </w:t>
      </w:r>
      <w:r>
        <w:t xml:space="preserve">MW in the present model. The capacity factor obtained with ERA5 is within 2 %</w:t>
      </w:r>
      <w:r>
        <w:t xml:space="preserve"> </w:t>
      </w:r>
      <w:r>
        <w:t xml:space="preserve">of the 49.8 % expected for Hywind Tampen, although that farm uses smaller</w:t>
      </w:r>
      <w:r>
        <w:t xml:space="preserve"> </w:t>
      </w:r>
      <w:r>
        <w:t xml:space="preserve">floating turbines.</w:t>
      </w:r>
    </w:p>
    <w:p>
      <w:pPr>
        <w:pStyle w:val="BodyText"/>
      </w:pPr>
      <w:r>
        <w:t xml:space="preserve">The CO</w:t>
      </w:r>
      <w:r>
        <w:rPr>
          <w:vertAlign w:val="subscript"/>
        </w:rPr>
        <w:t xml:space="preserve">2</w:t>
      </w:r>
      <w:r>
        <w:t xml:space="preserve"> </w:t>
      </w:r>
      <w:r>
        <w:t xml:space="preserve">avoided per MWh of wind is the most demanding check, as it tests the</w:t>
      </w:r>
      <w:r>
        <w:t xml:space="preserve"> </w:t>
      </w:r>
      <w:r>
        <w:t xml:space="preserve">wind model, the part-load fuel model, the CO</w:t>
      </w:r>
      <w:r>
        <w:rPr>
          <w:vertAlign w:val="subscript"/>
        </w:rPr>
        <w:t xml:space="preserve">2</w:t>
      </w:r>
      <w:r>
        <w:t xml:space="preserve"> </w:t>
      </w:r>
      <w:r>
        <w:t xml:space="preserve">factor and the scheduling</w:t>
      </w:r>
      <w:r>
        <w:t xml:space="preserve"> </w:t>
      </w:r>
      <w:r>
        <w:t xml:space="preserve">together. When the model keeps two GTs online and only reduces their load, as</w:t>
      </w:r>
      <w:r>
        <w:t xml:space="preserve"> </w:t>
      </w:r>
      <w:r>
        <w:t xml:space="preserve">assumed in the Hywind Tampen estimate, it avoids 0.51 t/MWh, against the</w:t>
      </w:r>
      <w:r>
        <w:t xml:space="preserve"> </w:t>
      </w:r>
      <w:r>
        <w:t xml:space="preserve">published value of 0.52 t/MWh. When a GT may be stopped in windy hours, as in</w:t>
      </w:r>
      <w:r>
        <w:t xml:space="preserve"> </w:t>
      </w:r>
      <w:r>
        <w:t xml:space="preserve">Case 2, it avoids 0.71 t/MWh, since the no-load fuel of the stopped unit is</w:t>
      </w:r>
      <w:r>
        <w:t xml:space="preserve"> </w:t>
      </w:r>
      <w:r>
        <w:t xml:space="preserve">saved as well. The published value is derived from the expected annual figures of the wind</w:t>
      </w:r>
      <w:r>
        <w:t xml:space="preserve"> </w:t>
      </w:r>
      <w:r>
        <w:t xml:space="preserve">farm, about 200 kt of CO</w:t>
      </w:r>
      <w:r>
        <w:rPr>
          <w:vertAlign w:val="subscript"/>
        </w:rPr>
        <w:t xml:space="preserve">2</w:t>
      </w:r>
      <w:r>
        <w:t xml:space="preserve"> </w:t>
      </w:r>
      <w:r>
        <w:t xml:space="preserve">avoided per year (Equinor 2023), and not from</w:t>
      </w:r>
      <w:r>
        <w:t xml:space="preserve"> </w:t>
      </w:r>
      <w:r>
        <w:t xml:space="preserve">measurements, so this comparison is a check of consistency rather than a</w:t>
      </w:r>
      <w:r>
        <w:t xml:space="preserve"> </w:t>
      </w:r>
      <w:r>
        <w:t xml:space="preserve">validation. The model agrees with it only when it is operated as assumed in</w:t>
      </w:r>
      <w:r>
        <w:t xml:space="preserve"> </w:t>
      </w:r>
      <w:r>
        <w:t xml:space="preserve">that estimate; with a GT allowed to stop, as in Case 2, the model value is 36</w:t>
      </w:r>
      <w:r>
        <w:t xml:space="preserve"> </w:t>
      </w:r>
      <w:r>
        <w:t xml:space="preserve">% higher. The difference shows to what extent the benefit of wind depends on</w:t>
      </w:r>
      <w:r>
        <w:t xml:space="preserve"> </w:t>
      </w:r>
      <w:r>
        <w:t xml:space="preserve">the operating practice rather than on the wind farm itself.</w:t>
      </w:r>
    </w:p>
    <w:p>
      <w:pPr>
        <w:pStyle w:val="BodyText"/>
      </w:pPr>
      <w:r>
        <w:t xml:space="preserve">The field data support the fuel and emission model (Figure 9, right). The</w:t>
      </w:r>
      <w:r>
        <w:t xml:space="preserve"> </w:t>
      </w:r>
      <w:r>
        <w:t xml:space="preserve">Gullfaks field center emitted 2.32–2.40 kg CO</w:t>
      </w:r>
      <w:r>
        <w:rPr>
          <w:vertAlign w:val="subscript"/>
        </w:rPr>
        <w:t xml:space="preserve">2</w:t>
      </w:r>
      <w:r>
        <w:t xml:space="preserve"> </w:t>
      </w:r>
      <w:r>
        <w:t xml:space="preserve">per Sm³ of fuel gas in</w:t>
      </w:r>
      <w:r>
        <w:t xml:space="preserve"> </w:t>
      </w:r>
      <w:r>
        <w:t xml:space="preserve">2021–2024, which is consistent with the 2.34 kg/Sm³ used here. After Hywind</w:t>
      </w:r>
      <w:r>
        <w:t xml:space="preserve"> </w:t>
      </w:r>
      <w:r>
        <w:t xml:space="preserve">Tampen started supplying power, the fuel gas use decreased by 30 % at Gullfaks</w:t>
      </w:r>
      <w:r>
        <w:t xml:space="preserve"> </w:t>
      </w:r>
      <w:r>
        <w:t xml:space="preserve">(2021–2023) and by 11 % at Snorre (2021–2024), and the diesel use at Snorre</w:t>
      </w:r>
      <w:r>
        <w:t xml:space="preserve"> </w:t>
      </w:r>
      <w:r>
        <w:t xml:space="preserve">fell from 15.6 kt to about 3 kt, whereas the fuel use was unchanged at</w:t>
      </w:r>
      <w:r>
        <w:t xml:space="preserve"> </w:t>
      </w:r>
      <w:r>
        <w:t xml:space="preserve">Statfjord, which receives no wind power. Since production also declined over</w:t>
      </w:r>
      <w:r>
        <w:t xml:space="preserve"> </w:t>
      </w:r>
      <w:r>
        <w:t xml:space="preserve">the period, not all of the reduction can be attributed to the wind farm. The</w:t>
      </w:r>
      <w:r>
        <w:t xml:space="preserve"> </w:t>
      </w:r>
      <w:r>
        <w:t xml:space="preserve">CO</w:t>
      </w:r>
      <w:r>
        <w:rPr>
          <w:vertAlign w:val="subscript"/>
        </w:rPr>
        <w:t xml:space="preserve">2</w:t>
      </w:r>
      <w:r>
        <w:t xml:space="preserve"> </w:t>
      </w:r>
      <w:r>
        <w:t xml:space="preserve">intensity of the model is lower than the shelf average and the field</w:t>
      </w:r>
      <w:r>
        <w:t xml:space="preserve"> </w:t>
      </w:r>
      <w:r>
        <w:t xml:space="preserve">values (9–14 kg/boe at Gullfaks and Snorre, 55–78 kg/boe at the late-life</w:t>
      </w:r>
      <w:r>
        <w:t xml:space="preserve"> </w:t>
      </w:r>
      <w:r>
        <w:t xml:space="preserve">Statfjord), as expected from the system boundary: the model covers only power</w:t>
      </w:r>
      <w:r>
        <w:t xml:space="preserve"> </w:t>
      </w:r>
      <w:r>
        <w:t xml:space="preserve">generation on an efficient platform at plateau rate, whereas the field values</w:t>
      </w:r>
      <w:r>
        <w:t xml:space="preserve"> </w:t>
      </w:r>
      <w:r>
        <w:t xml:space="preserve">include flaring, diesel, gas re-injection compression and the lower production</w:t>
      </w:r>
      <w:r>
        <w:t xml:space="preserve"> </w:t>
      </w:r>
      <w:r>
        <w:t xml:space="preserve">of mature fields. The like-for-like checks, i.e. the fuel gas factor and the</w:t>
      </w:r>
      <w:r>
        <w:t xml:space="preserve"> </w:t>
      </w:r>
      <w:r>
        <w:t xml:space="preserve">CO</w:t>
      </w:r>
      <w:r>
        <w:rPr>
          <w:vertAlign w:val="subscript"/>
        </w:rPr>
        <w:t xml:space="preserve">2</w:t>
      </w:r>
      <w:r>
        <w:t xml:space="preserve"> </w:t>
      </w:r>
      <w:r>
        <w:t xml:space="preserve">avoided per MWh, agree, which indicates that the difference originates</w:t>
      </w:r>
      <w:r>
        <w:t xml:space="preserve"> </w:t>
      </w:r>
      <w:r>
        <w:t xml:space="preserve">from the boundary and not from the power system model.</w:t>
      </w:r>
    </w:p>
    <w:p>
      <w:pPr>
        <w:pStyle w:val="Figure"/>
      </w:pPr>
      <w:r>
        <w:drawing>
          <wp:inline>
            <wp:extent cx="5759999" cy="4741971"/>
            <wp:effectExtent b="0" l="0" r="0" t="0"/>
            <wp:docPr descr="" title="" id="60" name="Picture"/>
            <a:graphic>
              <a:graphicData uri="http://schemas.openxmlformats.org/drawingml/2006/picture">
                <pic:pic>
                  <pic:nvPicPr>
                    <pic:cNvPr descr="results/paper/fig10_validation.png" id="61" name="Picture"/>
                    <pic:cNvPicPr>
                      <a:picLocks noChangeArrowheads="1" noChangeAspect="1"/>
                    </pic:cNvPicPr>
                  </pic:nvPicPr>
                  <pic:blipFill>
                    <a:blip r:embed="rId59"/>
                    <a:stretch>
                      <a:fillRect/>
                    </a:stretch>
                  </pic:blipFill>
                  <pic:spPr bwMode="auto">
                    <a:xfrm>
                      <a:off x="0" y="0"/>
                      <a:ext cx="5759999" cy="4741971"/>
                    </a:xfrm>
                    <a:prstGeom prst="rect">
                      <a:avLst/>
                    </a:prstGeom>
                    <a:noFill/>
                    <a:ln w="9525">
                      <a:noFill/>
                      <a:headEnd/>
                      <a:tailEnd/>
                    </a:ln>
                  </pic:spPr>
                </pic:pic>
              </a:graphicData>
            </a:graphic>
          </wp:inline>
        </w:drawing>
      </w:r>
    </w:p>
    <w:p>
      <w:pPr>
        <w:pStyle w:val="FigureCaption"/>
      </w:pPr>
      <w:r>
        <w:rPr>
          <w:bCs/>
          <w:b/>
        </w:rPr>
        <w:t xml:space="preserve">Figure 9.</w:t>
      </w:r>
      <w:r>
        <w:t xml:space="preserve"> </w:t>
      </w:r>
      <w:r>
        <w:t xml:space="preserve">Left: model results divided by published benchmarks (1 = equal; shaded: ±20 %; gray bars: published ranges). Right: CO</w:t>
      </w:r>
      <w:r>
        <w:rPr>
          <w:vertAlign w:val="subscript"/>
        </w:rPr>
        <w:t xml:space="preserve">2</w:t>
      </w:r>
      <w:r>
        <w:t xml:space="preserve"> </w:t>
      </w:r>
      <w:r>
        <w:t xml:space="preserve">intensity of the Gullfaks, Snorre and Statfjord field centers (gray: GT-powered; teal: receiving Hywind Tampen power) with the model Case 1 value (dashed).</w:t>
      </w:r>
    </w:p>
    <w:bookmarkEnd w:id="62"/>
    <w:bookmarkStart w:id="63" w:name="economic-indicators-1"/>
    <w:p>
      <w:pPr>
        <w:pStyle w:val="Heading2"/>
      </w:pPr>
      <w:r>
        <w:t xml:space="preserve">3.7 Economic indicators</w:t>
      </w:r>
    </w:p>
    <w:p>
      <w:pPr>
        <w:pStyle w:val="FirstParagraph"/>
        <w:keepNext/>
      </w:pPr>
      <w:r>
        <w:rPr>
          <w:bCs/>
          <w:b/>
        </w:rPr>
        <w:t xml:space="preserve">Table 7.</w:t>
      </w:r>
      <w:r>
        <w:t xml:space="preserve"> </w:t>
      </w:r>
      <w:r>
        <w:t xml:space="preserve">Economic indicators (real NOK, 20 years; abatement cost range</w:t>
      </w:r>
      <w:r>
        <w:t xml:space="preserve"> </w:t>
      </w:r>
      <w:r>
        <w:t xml:space="preserve">from the O&amp;M range of floating wind).</w:t>
      </w:r>
    </w:p>
    <w:tbl>
      <w:tblPr>
        <w:tblStyle w:val="Table"/>
        <w:tblW w:type="pct" w:w="5000"/>
        <w:tblLook w:firstRow="1" w:lastRow="0" w:firstColumn="0" w:lastColumn="0" w:noHBand="0" w:noVBand="0" w:val="0020"/>
        <w:jc w:val="start"/>
        <w:tblBorders>
          <w:top w:val="single" w:sz="4" w:space="0" w:color="000000"/>
          <w:bottom w:val="single" w:sz="4" w:space="0" w:color="000000"/>
          <w:left w:val="nil" w:sz="4" w:space="0" w:color="000000"/>
          <w:right w:val="nil" w:sz="4" w:space="0" w:color="000000"/>
          <w:insideH w:val="nil" w:sz="4" w:space="0" w:color="000000"/>
          <w:insideV w:val="nil" w:sz="4" w:space="0" w:color="000000"/>
        </w:tblBorders>
      </w:tblPr>
      <w:tblGrid>
        <w:gridCol w:w="2369"/>
        <w:gridCol w:w="1125"/>
        <w:gridCol w:w="1540"/>
        <w:gridCol w:w="1954"/>
        <w:gridCol w:w="2369"/>
      </w:tblGrid>
      <w:tr>
        <w:trPr>
          <w:tblHeader w:val="true"/>
          <w:tblHeader/>
        </w:trPr>
        <w:tc>
          <w:tcPr>
            <w:tcW w:type="dxa" w:w="2369"/>
            <w:tcBorders>
              <w:bottom w:val="single" w:sz="4" w:space="0" w:color="000000"/>
            </w:tcBorders>
          </w:tcPr>
          <w:p>
            <w:pPr>
              <w:pStyle w:val="Compact"/>
              <w:spacing w:line="240" w:lineRule="auto" w:after="20"/>
              <w:jc w:val="left"/>
            </w:pPr>
            <w:r>
              <w:rPr>
                <w:b/>
                <w:sz w:val="20"/>
              </w:rPr>
              <w:t xml:space="preserve">Measure</w:t>
            </w:r>
          </w:p>
        </w:tc>
        <w:tc>
          <w:tcPr>
            <w:tcW w:type="dxa" w:w="1125"/>
            <w:tcBorders>
              <w:bottom w:val="single" w:sz="4" w:space="0" w:color="000000"/>
            </w:tcBorders>
          </w:tcPr>
          <w:p>
            <w:pPr>
              <w:pStyle w:val="Compact"/>
              <w:spacing w:line="240" w:lineRule="auto" w:after="20"/>
              <w:jc w:val="left"/>
            </w:pPr>
            <w:r>
              <w:rPr>
                <w:b/>
                <w:sz w:val="20"/>
              </w:rPr>
              <w:t xml:space="preserve">CO</w:t>
            </w:r>
            <w:r>
              <w:rPr>
                <w:b/>
                <w:sz w:val="20"/>
                <w:vertAlign w:val="subscript"/>
              </w:rPr>
              <w:t xml:space="preserve">2</w:t>
            </w:r>
            <w:r>
              <w:rPr>
                <w:b/>
                <w:sz w:val="20"/>
              </w:rPr>
              <w:t xml:space="preserve"> </w:t>
            </w:r>
            <w:r>
              <w:rPr>
                <w:b/>
                <w:sz w:val="20"/>
              </w:rPr>
              <w:t xml:space="preserve">avoided [kt/yr]</w:t>
            </w:r>
          </w:p>
        </w:tc>
        <w:tc>
          <w:tcPr>
            <w:tcW w:type="dxa" w:w="1540"/>
            <w:tcBorders>
              <w:bottom w:val="single" w:sz="4" w:space="0" w:color="000000"/>
            </w:tcBorders>
          </w:tcPr>
          <w:p>
            <w:pPr>
              <w:pStyle w:val="Compact"/>
              <w:spacing w:line="240" w:lineRule="auto" w:after="20"/>
              <w:jc w:val="left"/>
            </w:pPr>
            <w:r>
              <w:rPr>
                <w:b/>
                <w:sz w:val="20"/>
              </w:rPr>
              <w:t xml:space="preserve">Fuel value saved [MNOK/yr]</w:t>
            </w:r>
          </w:p>
        </w:tc>
        <w:tc>
          <w:tcPr>
            <w:tcW w:type="dxa" w:w="1954"/>
            <w:tcBorders>
              <w:bottom w:val="single" w:sz="4" w:space="0" w:color="000000"/>
            </w:tcBorders>
          </w:tcPr>
          <w:p>
            <w:pPr>
              <w:pStyle w:val="Compact"/>
              <w:spacing w:line="240" w:lineRule="auto" w:after="20"/>
              <w:jc w:val="left"/>
            </w:pPr>
            <w:r>
              <w:rPr>
                <w:b/>
                <w:sz w:val="20"/>
              </w:rPr>
              <w:t xml:space="preserve">Abatement cost [NOK/t], 7 % / 4 %</w:t>
            </w:r>
          </w:p>
        </w:tc>
        <w:tc>
          <w:tcPr>
            <w:tcW w:type="dxa" w:w="2369"/>
            <w:tcBorders>
              <w:bottom w:val="single" w:sz="4" w:space="0" w:color="000000"/>
            </w:tcBorders>
          </w:tcPr>
          <w:p>
            <w:pPr>
              <w:pStyle w:val="Compact"/>
              <w:spacing w:line="240" w:lineRule="auto" w:after="20"/>
              <w:jc w:val="left"/>
            </w:pPr>
            <w:r>
              <w:rPr>
                <w:b/>
                <w:sz w:val="20"/>
              </w:rPr>
              <w:t xml:space="preserve">Break-even investment [MNOK], fuel / fuel + CO</w:t>
            </w:r>
            <w:r>
              <w:rPr>
                <w:b/>
                <w:sz w:val="20"/>
                <w:vertAlign w:val="subscript"/>
              </w:rPr>
              <w:t xml:space="preserve">2</w:t>
            </w:r>
          </w:p>
        </w:tc>
      </w:tr>
      <w:tr>
        <w:tc>
          <w:tcPr>
            <w:tcW w:type="dxa" w:w="2369"/>
          </w:tcPr>
          <w:p>
            <w:pPr>
              <w:pStyle w:val="Compact"/>
              <w:spacing w:line="240" w:lineRule="auto" w:after="20"/>
              <w:jc w:val="left"/>
            </w:pPr>
            <w:r>
              <w:rPr>
                <w:sz w:val="20"/>
              </w:rPr>
              <w:t xml:space="preserve">Wind farm, fixed demand (Case 2 vs 1)</w:t>
            </w:r>
          </w:p>
        </w:tc>
        <w:tc>
          <w:tcPr>
            <w:tcW w:type="dxa" w:w="1125"/>
          </w:tcPr>
          <w:p>
            <w:pPr>
              <w:pStyle w:val="Compact"/>
              <w:spacing w:line="240" w:lineRule="auto" w:after="20"/>
              <w:jc w:val="left"/>
            </w:pPr>
            <w:r>
              <w:rPr>
                <w:sz w:val="20"/>
              </w:rPr>
              <w:t xml:space="preserve">63.0</w:t>
            </w:r>
          </w:p>
        </w:tc>
        <w:tc>
          <w:tcPr>
            <w:tcW w:type="dxa" w:w="1540"/>
          </w:tcPr>
          <w:p>
            <w:pPr>
              <w:pStyle w:val="Compact"/>
              <w:spacing w:line="240" w:lineRule="auto" w:after="20"/>
              <w:jc w:val="left"/>
            </w:pPr>
            <w:r>
              <w:rPr>
                <w:sz w:val="20"/>
              </w:rPr>
              <w:t xml:space="preserve">112.8</w:t>
            </w:r>
          </w:p>
        </w:tc>
        <w:tc>
          <w:tcPr>
            <w:tcW w:type="dxa" w:w="1954"/>
          </w:tcPr>
          <w:p>
            <w:pPr>
              <w:pStyle w:val="Compact"/>
              <w:spacing w:line="240" w:lineRule="auto" w:after="20"/>
              <w:jc w:val="left"/>
            </w:pPr>
            <w:r>
              <w:rPr>
                <w:sz w:val="20"/>
              </w:rPr>
              <w:t xml:space="preserve">2,180–2,519 / 1,347–1,686</w:t>
            </w:r>
          </w:p>
        </w:tc>
        <w:tc>
          <w:tcPr>
            <w:tcW w:type="dxa" w:w="2369"/>
          </w:tcPr>
          <w:p>
            <w:pPr>
              <w:pStyle w:val="Compact"/>
              <w:spacing w:line="240" w:lineRule="auto" w:after="20"/>
              <w:jc w:val="left"/>
            </w:pPr>
            <w:r>
              <w:rPr>
                <w:sz w:val="20"/>
              </w:rPr>
              <w:t xml:space="preserve">–</w:t>
            </w:r>
          </w:p>
        </w:tc>
      </w:tr>
      <w:tr>
        <w:tc>
          <w:tcPr>
            <w:tcW w:type="dxa" w:w="2369"/>
          </w:tcPr>
          <w:p>
            <w:pPr>
              <w:pStyle w:val="Compact"/>
              <w:spacing w:line="240" w:lineRule="auto" w:after="20"/>
              <w:jc w:val="left"/>
            </w:pPr>
            <w:r>
              <w:rPr>
                <w:sz w:val="20"/>
              </w:rPr>
              <w:t xml:space="preserve">Wind farm with flexibility (Case 3 vs 1)</w:t>
            </w:r>
          </w:p>
        </w:tc>
        <w:tc>
          <w:tcPr>
            <w:tcW w:type="dxa" w:w="1125"/>
          </w:tcPr>
          <w:p>
            <w:pPr>
              <w:pStyle w:val="Compact"/>
              <w:spacing w:line="240" w:lineRule="auto" w:after="20"/>
              <w:jc w:val="left"/>
            </w:pPr>
            <w:r>
              <w:rPr>
                <w:sz w:val="20"/>
              </w:rPr>
              <w:t xml:space="preserve">70.2</w:t>
            </w:r>
          </w:p>
        </w:tc>
        <w:tc>
          <w:tcPr>
            <w:tcW w:type="dxa" w:w="1540"/>
          </w:tcPr>
          <w:p>
            <w:pPr>
              <w:pStyle w:val="Compact"/>
              <w:spacing w:line="240" w:lineRule="auto" w:after="20"/>
              <w:jc w:val="left"/>
            </w:pPr>
            <w:r>
              <w:rPr>
                <w:sz w:val="20"/>
              </w:rPr>
              <w:t xml:space="preserve">125.7</w:t>
            </w:r>
          </w:p>
        </w:tc>
        <w:tc>
          <w:tcPr>
            <w:tcW w:type="dxa" w:w="1954"/>
          </w:tcPr>
          <w:p>
            <w:pPr>
              <w:pStyle w:val="Compact"/>
              <w:spacing w:line="240" w:lineRule="auto" w:after="20"/>
              <w:jc w:val="left"/>
            </w:pPr>
            <w:r>
              <w:rPr>
                <w:sz w:val="20"/>
              </w:rPr>
              <w:t xml:space="preserve">1,774–2,078 / 1,026–1,330</w:t>
            </w:r>
          </w:p>
        </w:tc>
        <w:tc>
          <w:tcPr>
            <w:tcW w:type="dxa" w:w="2369"/>
          </w:tcPr>
          <w:p>
            <w:pPr>
              <w:pStyle w:val="Compact"/>
              <w:spacing w:line="240" w:lineRule="auto" w:after="20"/>
              <w:jc w:val="left"/>
            </w:pPr>
            <w:r>
              <w:rPr>
                <w:sz w:val="20"/>
              </w:rPr>
              <w:t xml:space="preserve">–</w:t>
            </w:r>
          </w:p>
        </w:tc>
      </w:tr>
      <w:tr>
        <w:tc>
          <w:tcPr>
            <w:tcW w:type="dxa" w:w="2369"/>
          </w:tcPr>
          <w:p>
            <w:pPr>
              <w:pStyle w:val="Compact"/>
              <w:spacing w:line="240" w:lineRule="auto" w:after="20"/>
              <w:jc w:val="left"/>
            </w:pPr>
            <w:r>
              <w:rPr>
                <w:sz w:val="20"/>
              </w:rPr>
              <w:t xml:space="preserve">Flexibility (Case 3 vs 2)</w:t>
            </w:r>
          </w:p>
        </w:tc>
        <w:tc>
          <w:tcPr>
            <w:tcW w:type="dxa" w:w="1125"/>
          </w:tcPr>
          <w:p>
            <w:pPr>
              <w:pStyle w:val="Compact"/>
              <w:spacing w:line="240" w:lineRule="auto" w:after="20"/>
              <w:jc w:val="left"/>
            </w:pPr>
            <w:r>
              <w:rPr>
                <w:sz w:val="20"/>
              </w:rPr>
              <w:t xml:space="preserve">7.2</w:t>
            </w:r>
          </w:p>
        </w:tc>
        <w:tc>
          <w:tcPr>
            <w:tcW w:type="dxa" w:w="1540"/>
          </w:tcPr>
          <w:p>
            <w:pPr>
              <w:pStyle w:val="Compact"/>
              <w:spacing w:line="240" w:lineRule="auto" w:after="20"/>
              <w:jc w:val="left"/>
            </w:pPr>
            <w:r>
              <w:rPr>
                <w:sz w:val="20"/>
              </w:rPr>
              <w:t xml:space="preserve">12.9</w:t>
            </w:r>
          </w:p>
        </w:tc>
        <w:tc>
          <w:tcPr>
            <w:tcW w:type="dxa" w:w="1954"/>
          </w:tcPr>
          <w:p>
            <w:pPr>
              <w:pStyle w:val="Compact"/>
              <w:spacing w:line="240" w:lineRule="auto" w:after="20"/>
              <w:jc w:val="left"/>
            </w:pPr>
            <w:r>
              <w:rPr>
                <w:sz w:val="20"/>
              </w:rPr>
              <w:t xml:space="preserve">−1,799 before implementation cost</w:t>
            </w:r>
          </w:p>
        </w:tc>
        <w:tc>
          <w:tcPr>
            <w:tcW w:type="dxa" w:w="2369"/>
          </w:tcPr>
          <w:p>
            <w:pPr>
              <w:pStyle w:val="Compact"/>
              <w:spacing w:line="240" w:lineRule="auto" w:after="20"/>
              <w:jc w:val="left"/>
            </w:pPr>
            <w:r>
              <w:rPr>
                <w:sz w:val="20"/>
              </w:rPr>
              <w:t xml:space="preserve">137 / 288</w:t>
            </w:r>
          </w:p>
        </w:tc>
      </w:tr>
      <w:tr>
        <w:tc>
          <w:tcPr>
            <w:tcW w:type="dxa" w:w="2369"/>
          </w:tcPr>
          <w:p>
            <w:pPr>
              <w:pStyle w:val="Compact"/>
              <w:spacing w:line="240" w:lineRule="auto" w:after="20"/>
              <w:jc w:val="left"/>
            </w:pPr>
            <w:r>
              <w:rPr>
                <w:sz w:val="20"/>
              </w:rPr>
              <w:t xml:space="preserve">Battery 4 MW / 4 MWh (Case 4 vs 3)</w:t>
            </w:r>
          </w:p>
        </w:tc>
        <w:tc>
          <w:tcPr>
            <w:tcW w:type="dxa" w:w="1125"/>
          </w:tcPr>
          <w:p>
            <w:pPr>
              <w:pStyle w:val="Compact"/>
              <w:spacing w:line="240" w:lineRule="auto" w:after="20"/>
              <w:jc w:val="left"/>
            </w:pPr>
            <w:r>
              <w:rPr>
                <w:sz w:val="20"/>
              </w:rPr>
              <w:t xml:space="preserve">0.3</w:t>
            </w:r>
          </w:p>
        </w:tc>
        <w:tc>
          <w:tcPr>
            <w:tcW w:type="dxa" w:w="1540"/>
          </w:tcPr>
          <w:p>
            <w:pPr>
              <w:pStyle w:val="Compact"/>
              <w:spacing w:line="240" w:lineRule="auto" w:after="20"/>
              <w:jc w:val="left"/>
            </w:pPr>
            <w:r>
              <w:rPr>
                <w:sz w:val="20"/>
              </w:rPr>
              <w:t xml:space="preserve">0.5</w:t>
            </w:r>
          </w:p>
        </w:tc>
        <w:tc>
          <w:tcPr>
            <w:tcW w:type="dxa" w:w="1954"/>
          </w:tcPr>
          <w:p>
            <w:pPr>
              <w:pStyle w:val="Compact"/>
              <w:spacing w:line="240" w:lineRule="auto" w:after="20"/>
              <w:jc w:val="left"/>
            </w:pPr>
            <w:r>
              <w:rPr>
                <w:sz w:val="20"/>
              </w:rPr>
              <w:t xml:space="preserve">−1,562 before battery cost</w:t>
            </w:r>
          </w:p>
        </w:tc>
        <w:tc>
          <w:tcPr>
            <w:tcW w:type="dxa" w:w="2369"/>
          </w:tcPr>
          <w:p>
            <w:pPr>
              <w:pStyle w:val="Compact"/>
              <w:spacing w:line="240" w:lineRule="auto" w:after="20"/>
              <w:jc w:val="left"/>
            </w:pPr>
            <w:r>
              <w:rPr>
                <w:sz w:val="20"/>
              </w:rPr>
              <w:t xml:space="preserve">5 / 13</w:t>
            </w:r>
          </w:p>
        </w:tc>
      </w:tr>
      <w:tr>
        <w:tc>
          <w:tcPr>
            <w:tcW w:type="dxa" w:w="2369"/>
          </w:tcPr>
          <w:p>
            <w:pPr>
              <w:pStyle w:val="Compact"/>
              <w:spacing w:line="240" w:lineRule="auto" w:after="20"/>
              <w:jc w:val="left"/>
            </w:pPr>
            <w:r>
              <w:rPr>
                <w:sz w:val="20"/>
              </w:rPr>
              <w:t xml:space="preserve">Small GT replacing one main GT (flexible)</w:t>
            </w:r>
          </w:p>
        </w:tc>
        <w:tc>
          <w:tcPr>
            <w:tcW w:type="dxa" w:w="1125"/>
          </w:tcPr>
          <w:p>
            <w:pPr>
              <w:pStyle w:val="Compact"/>
              <w:spacing w:line="240" w:lineRule="auto" w:after="20"/>
              <w:jc w:val="left"/>
            </w:pPr>
            <w:r>
              <w:rPr>
                <w:sz w:val="20"/>
              </w:rPr>
              <w:t xml:space="preserve">9.7</w:t>
            </w:r>
          </w:p>
        </w:tc>
        <w:tc>
          <w:tcPr>
            <w:tcW w:type="dxa" w:w="1540"/>
          </w:tcPr>
          <w:p>
            <w:pPr>
              <w:pStyle w:val="Compact"/>
              <w:spacing w:line="240" w:lineRule="auto" w:after="20"/>
              <w:jc w:val="left"/>
            </w:pPr>
            <w:r>
              <w:rPr>
                <w:sz w:val="20"/>
              </w:rPr>
              <w:t xml:space="preserve">17.4</w:t>
            </w:r>
          </w:p>
        </w:tc>
        <w:tc>
          <w:tcPr>
            <w:tcW w:type="dxa" w:w="1954"/>
          </w:tcPr>
          <w:p>
            <w:pPr>
              <w:pStyle w:val="Compact"/>
              <w:spacing w:line="240" w:lineRule="auto" w:after="20"/>
              <w:jc w:val="left"/>
            </w:pPr>
            <w:r>
              <w:rPr>
                <w:sz w:val="20"/>
              </w:rPr>
              <w:t xml:space="preserve">−1,786 before GT cost</w:t>
            </w:r>
          </w:p>
        </w:tc>
        <w:tc>
          <w:tcPr>
            <w:tcW w:type="dxa" w:w="2369"/>
          </w:tcPr>
          <w:p>
            <w:pPr>
              <w:pStyle w:val="Compact"/>
              <w:spacing w:line="240" w:lineRule="auto" w:after="20"/>
              <w:jc w:val="left"/>
            </w:pPr>
            <w:r>
              <w:rPr>
                <w:sz w:val="20"/>
              </w:rPr>
              <w:t xml:space="preserve">184 / 391</w:t>
            </w:r>
          </w:p>
        </w:tc>
      </w:tr>
    </w:tbl>
    <w:p>
      <w:pPr>
        <w:pStyle w:val="BodyText"/>
        <w:spacing w:before="200"/>
      </w:pPr>
      <w:r>
        <w:t xml:space="preserve">The economic indicators are given in Table 7. With an investment of 2.5</w:t>
      </w:r>
      <w:r>
        <w:t xml:space="preserve"> </w:t>
      </w:r>
      <w:r>
        <w:t xml:space="preserve">billion NOK for 30 MW, the wind farm with fixed demand avoids CO</w:t>
      </w:r>
      <w:r>
        <w:rPr>
          <w:vertAlign w:val="subscript"/>
        </w:rPr>
        <w:t xml:space="preserve">2</w:t>
      </w:r>
      <w:r>
        <w:t xml:space="preserve"> </w:t>
      </w:r>
      <w:r>
        <w:t xml:space="preserve">at</w:t>
      </w:r>
      <w:r>
        <w:t xml:space="preserve"> </w:t>
      </w:r>
      <w:r>
        <w:t xml:space="preserve">2,180–2,519 NOK/t at a 7 % discount rate and at 1,347–1,686 NOK/t at 4 %.</w:t>
      </w:r>
      <w:r>
        <w:t xml:space="preserve"> </w:t>
      </w:r>
      <w:r>
        <w:t xml:space="preserve">These values are of the same order as the abatement cost of the</w:t>
      </w:r>
      <w:r>
        <w:t xml:space="preserve"> </w:t>
      </w:r>
      <w:r>
        <w:t xml:space="preserve">power-from-shore projects most recently approved on the Norwegian shelf, just</w:t>
      </w:r>
      <w:r>
        <w:t xml:space="preserve"> </w:t>
      </w:r>
      <w:r>
        <w:t xml:space="preserve">under 2,000 NOK/t (Norwegian Offshore Directorate 2025), and close to the CO</w:t>
      </w:r>
      <w:r>
        <w:rPr>
          <w:vertAlign w:val="subscript"/>
        </w:rPr>
        <w:t xml:space="preserve">2</w:t>
      </w:r>
      <w:r>
        <w:t xml:space="preserve"> </w:t>
      </w:r>
      <w:r>
        <w:t xml:space="preserve">price of 2,000 NOK/t</w:t>
      </w:r>
      <w:r>
        <w:t xml:space="preserve"> </w:t>
      </w:r>
      <w:r>
        <w:t xml:space="preserve">targeted for 2030 (Norwegian Ministry of Climate and Environment 2021). Scheduling the flexible loads lowers the</w:t>
      </w:r>
      <w:r>
        <w:t xml:space="preserve"> </w:t>
      </w:r>
      <w:r>
        <w:t xml:space="preserve">abatement cost of the same wind farm by about 400 NOK/t, to 1,774–2,078 NOK/t</w:t>
      </w:r>
      <w:r>
        <w:t xml:space="preserve"> </w:t>
      </w:r>
      <w:r>
        <w:t xml:space="preserve">at 7 %, since 11 % more CO</w:t>
      </w:r>
      <w:r>
        <w:rPr>
          <w:vertAlign w:val="subscript"/>
        </w:rPr>
        <w:t xml:space="preserve">2</w:t>
      </w:r>
      <w:r>
        <w:t xml:space="preserve"> </w:t>
      </w:r>
      <w:r>
        <w:t xml:space="preserve">is avoided and 11 % more fuel is saved for the</w:t>
      </w:r>
      <w:r>
        <w:t xml:space="preserve"> </w:t>
      </w:r>
      <w:r>
        <w:t xml:space="preserve">same investment.</w:t>
      </w:r>
    </w:p>
    <w:p>
      <w:pPr>
        <w:pStyle w:val="BodyText"/>
      </w:pPr>
      <w:r>
        <w:t xml:space="preserve">Flexibility on its own gives a net saving before any implementation cost, as</w:t>
      </w:r>
      <w:r>
        <w:t xml:space="preserve"> </w:t>
      </w:r>
      <w:r>
        <w:t xml:space="preserve">the fuel saved is worth about 1,800 NOK per tonne of CO</w:t>
      </w:r>
      <w:r>
        <w:rPr>
          <w:vertAlign w:val="subscript"/>
        </w:rPr>
        <w:t xml:space="preserve">2</w:t>
      </w:r>
      <w:r>
        <w:t xml:space="preserve"> </w:t>
      </w:r>
      <w:r>
        <w:t xml:space="preserve">avoided. An operator</w:t>
      </w:r>
      <w:r>
        <w:t xml:space="preserve"> </w:t>
      </w:r>
      <w:r>
        <w:t xml:space="preserve">could spend up to 137 MNOK on control systems and process modifications and</w:t>
      </w:r>
      <w:r>
        <w:t xml:space="preserve"> </w:t>
      </w:r>
      <w:r>
        <w:t xml:space="preserve">still break even on the fuel saved alone, or up to 288 MNOK when the avoided</w:t>
      </w:r>
      <w:r>
        <w:t xml:space="preserve"> </w:t>
      </w:r>
      <w:r>
        <w:t xml:space="preserve">CO</w:t>
      </w:r>
      <w:r>
        <w:rPr>
          <w:vertAlign w:val="subscript"/>
        </w:rPr>
        <w:t xml:space="preserve">2</w:t>
      </w:r>
      <w:r>
        <w:t xml:space="preserve"> </w:t>
      </w:r>
      <w:r>
        <w:t xml:space="preserve">cost is included. The 4 MW / 4 MWh battery breaks even only at an</w:t>
      </w:r>
      <w:r>
        <w:t xml:space="preserve"> </w:t>
      </w:r>
      <w:r>
        <w:t xml:space="preserve">investment below 5–13 MNOK, which is low for an offshore installation of that</w:t>
      </w:r>
      <w:r>
        <w:t xml:space="preserve"> </w:t>
      </w:r>
      <w:r>
        <w:t xml:space="preserve">size. A small GT replacing one main GT breaks even below 184–391 MNOK, before</w:t>
      </w:r>
      <w:r>
        <w:t xml:space="preserve"> </w:t>
      </w:r>
      <w:r>
        <w:t xml:space="preserve">its additional maintenance and its 262 starts per year are taken into account.</w:t>
      </w:r>
    </w:p>
    <w:bookmarkEnd w:id="63"/>
    <w:bookmarkStart w:id="67" w:name="weather-years"/>
    <w:p>
      <w:pPr>
        <w:pStyle w:val="Heading2"/>
      </w:pPr>
      <w:r>
        <w:t xml:space="preserve">3.8 Weather years</w:t>
      </w:r>
    </w:p>
    <w:p>
      <w:pPr>
        <w:pStyle w:val="FirstParagraph"/>
        <w:keepNext/>
      </w:pPr>
      <w:r>
        <w:rPr>
          <w:bCs/>
          <w:b/>
        </w:rPr>
        <w:t xml:space="preserve">Table 8.</w:t>
      </w:r>
      <w:r>
        <w:t xml:space="preserve"> </w:t>
      </w:r>
      <w:r>
        <w:t xml:space="preserve">Results for ten weather years (ERA5, 2014–2023).</w:t>
      </w:r>
    </w:p>
    <w:tbl>
      <w:tblPr>
        <w:tblStyle w:val="Table"/>
        <w:tblW w:type="pct" w:w="5000"/>
        <w:tblLook w:firstRow="1" w:lastRow="0" w:firstColumn="0" w:lastColumn="0" w:noHBand="0" w:noVBand="0" w:val="0020"/>
        <w:jc w:val="start"/>
        <w:tblBorders>
          <w:top w:val="single" w:sz="4" w:space="0" w:color="000000"/>
          <w:bottom w:val="single" w:sz="4" w:space="0" w:color="000000"/>
          <w:left w:val="nil" w:sz="4" w:space="0" w:color="000000"/>
          <w:right w:val="nil" w:sz="4" w:space="0" w:color="000000"/>
          <w:insideH w:val="nil" w:sz="4" w:space="0" w:color="000000"/>
          <w:insideV w:val="nil" w:sz="4" w:space="0" w:color="000000"/>
        </w:tblBorders>
      </w:tblPr>
      <w:tblGrid>
        <w:gridCol w:w="3680"/>
        <w:gridCol w:w="1577"/>
        <w:gridCol w:w="2524"/>
        <w:gridCol w:w="1577"/>
      </w:tblGrid>
      <w:tr>
        <w:trPr>
          <w:tblHeader w:val="true"/>
          <w:tblHeader/>
        </w:trPr>
        <w:tc>
          <w:tcPr>
            <w:tcW w:type="dxa" w:w="3680"/>
            <w:tcBorders>
              <w:bottom w:val="single" w:sz="4" w:space="0" w:color="000000"/>
            </w:tcBorders>
          </w:tcPr>
          <w:p>
            <w:pPr>
              <w:pStyle w:val="Compact"/>
              <w:spacing w:line="240" w:lineRule="auto" w:after="20"/>
              <w:jc w:val="left"/>
            </w:pPr>
          </w:p>
        </w:tc>
        <w:tc>
          <w:tcPr>
            <w:tcW w:type="dxa" w:w="1577"/>
            <w:tcBorders>
              <w:bottom w:val="single" w:sz="4" w:space="0" w:color="000000"/>
            </w:tcBorders>
          </w:tcPr>
          <w:p>
            <w:pPr>
              <w:pStyle w:val="Compact"/>
              <w:spacing w:line="240" w:lineRule="auto" w:after="20"/>
              <w:jc w:val="left"/>
            </w:pPr>
            <w:r>
              <w:rPr>
                <w:b/>
                <w:sz w:val="20"/>
              </w:rPr>
              <w:t xml:space="preserve">Mean</w:t>
            </w:r>
          </w:p>
        </w:tc>
        <w:tc>
          <w:tcPr>
            <w:tcW w:type="dxa" w:w="2524"/>
            <w:tcBorders>
              <w:bottom w:val="single" w:sz="4" w:space="0" w:color="000000"/>
            </w:tcBorders>
          </w:tcPr>
          <w:p>
            <w:pPr>
              <w:pStyle w:val="Compact"/>
              <w:spacing w:line="240" w:lineRule="auto" w:after="20"/>
              <w:jc w:val="left"/>
            </w:pPr>
            <w:r>
              <w:rPr>
                <w:b/>
                <w:sz w:val="20"/>
              </w:rPr>
              <w:t xml:space="preserve">Range</w:t>
            </w:r>
          </w:p>
        </w:tc>
        <w:tc>
          <w:tcPr>
            <w:tcW w:type="dxa" w:w="1577"/>
            <w:tcBorders>
              <w:bottom w:val="single" w:sz="4" w:space="0" w:color="000000"/>
            </w:tcBorders>
          </w:tcPr>
          <w:p>
            <w:pPr>
              <w:pStyle w:val="Compact"/>
              <w:spacing w:line="240" w:lineRule="auto" w:after="20"/>
              <w:jc w:val="left"/>
            </w:pPr>
            <w:r>
              <w:rPr>
                <w:b/>
                <w:sz w:val="20"/>
              </w:rPr>
              <w:t xml:space="preserve">2023</w:t>
            </w:r>
          </w:p>
        </w:tc>
      </w:tr>
      <w:tr>
        <w:tc>
          <w:tcPr>
            <w:tcW w:type="dxa" w:w="3680"/>
          </w:tcPr>
          <w:p>
            <w:pPr>
              <w:pStyle w:val="Compact"/>
              <w:spacing w:line="240" w:lineRule="auto" w:after="20"/>
              <w:jc w:val="left"/>
            </w:pPr>
            <w:r>
              <w:rPr>
                <w:sz w:val="20"/>
              </w:rPr>
              <w:t xml:space="preserve">Wind capacity factor</w:t>
            </w:r>
          </w:p>
        </w:tc>
        <w:tc>
          <w:tcPr>
            <w:tcW w:type="dxa" w:w="1577"/>
          </w:tcPr>
          <w:p>
            <w:pPr>
              <w:pStyle w:val="Compact"/>
              <w:spacing w:line="240" w:lineRule="auto" w:after="20"/>
              <w:jc w:val="left"/>
            </w:pPr>
            <w:r>
              <w:rPr>
                <w:sz w:val="20"/>
              </w:rPr>
              <w:t xml:space="preserve">54.2 %</w:t>
            </w:r>
          </w:p>
        </w:tc>
        <w:tc>
          <w:tcPr>
            <w:tcW w:type="dxa" w:w="2524"/>
          </w:tcPr>
          <w:p>
            <w:pPr>
              <w:pStyle w:val="Compact"/>
              <w:spacing w:line="240" w:lineRule="auto" w:after="20"/>
              <w:jc w:val="left"/>
            </w:pPr>
            <w:r>
              <w:rPr>
                <w:sz w:val="20"/>
              </w:rPr>
              <w:t xml:space="preserve">50.3–59.8 %</w:t>
            </w:r>
          </w:p>
        </w:tc>
        <w:tc>
          <w:tcPr>
            <w:tcW w:type="dxa" w:w="1577"/>
          </w:tcPr>
          <w:p>
            <w:pPr>
              <w:pStyle w:val="Compact"/>
              <w:spacing w:line="240" w:lineRule="auto" w:after="20"/>
              <w:jc w:val="left"/>
            </w:pPr>
            <w:r>
              <w:rPr>
                <w:sz w:val="20"/>
              </w:rPr>
              <w:t xml:space="preserve">50.9 %</w:t>
            </w:r>
          </w:p>
        </w:tc>
      </w:tr>
      <w:tr>
        <w:tc>
          <w:tcPr>
            <w:tcW w:type="dxa" w:w="3680"/>
          </w:tcPr>
          <w:p>
            <w:pPr>
              <w:pStyle w:val="Compact"/>
              <w:spacing w:line="240" w:lineRule="auto" w:after="20"/>
              <w:jc w:val="left"/>
            </w:pPr>
            <w:r>
              <w:rPr>
                <w:sz w:val="20"/>
              </w:rPr>
              <w:t xml:space="preserve">CO</w:t>
            </w:r>
            <w:r>
              <w:rPr>
                <w:sz w:val="20"/>
                <w:vertAlign w:val="subscript"/>
              </w:rPr>
              <w:t xml:space="preserve">2</w:t>
            </w:r>
            <w:r>
              <w:rPr>
                <w:sz w:val="20"/>
              </w:rPr>
              <w:t xml:space="preserve"> </w:t>
            </w:r>
            <w:r>
              <w:rPr>
                <w:sz w:val="20"/>
              </w:rPr>
              <w:t xml:space="preserve">reduction, Case 2 vs 1</w:t>
            </w:r>
          </w:p>
        </w:tc>
        <w:tc>
          <w:tcPr>
            <w:tcW w:type="dxa" w:w="1577"/>
          </w:tcPr>
          <w:p>
            <w:pPr>
              <w:pStyle w:val="Compact"/>
              <w:spacing w:line="240" w:lineRule="auto" w:after="20"/>
              <w:jc w:val="left"/>
            </w:pPr>
            <w:r>
              <w:rPr>
                <w:sz w:val="20"/>
              </w:rPr>
              <w:t xml:space="preserve">51.8 %</w:t>
            </w:r>
          </w:p>
        </w:tc>
        <w:tc>
          <w:tcPr>
            <w:tcW w:type="dxa" w:w="2524"/>
          </w:tcPr>
          <w:p>
            <w:pPr>
              <w:pStyle w:val="Compact"/>
              <w:spacing w:line="240" w:lineRule="auto" w:after="20"/>
              <w:jc w:val="left"/>
            </w:pPr>
            <w:r>
              <w:rPr>
                <w:sz w:val="20"/>
              </w:rPr>
              <w:t xml:space="preserve">48.5–55.6 %</w:t>
            </w:r>
          </w:p>
        </w:tc>
        <w:tc>
          <w:tcPr>
            <w:tcW w:type="dxa" w:w="1577"/>
          </w:tcPr>
          <w:p>
            <w:pPr>
              <w:pStyle w:val="Compact"/>
              <w:spacing w:line="240" w:lineRule="auto" w:after="20"/>
              <w:jc w:val="left"/>
            </w:pPr>
            <w:r>
              <w:rPr>
                <w:sz w:val="20"/>
              </w:rPr>
              <w:t xml:space="preserve">49.4 %</w:t>
            </w:r>
          </w:p>
        </w:tc>
      </w:tr>
      <w:tr>
        <w:tc>
          <w:tcPr>
            <w:tcW w:type="dxa" w:w="3680"/>
          </w:tcPr>
          <w:p>
            <w:pPr>
              <w:pStyle w:val="Compact"/>
              <w:spacing w:line="240" w:lineRule="auto" w:after="20"/>
              <w:jc w:val="left"/>
            </w:pPr>
            <w:r>
              <w:rPr>
                <w:sz w:val="20"/>
              </w:rPr>
              <w:t xml:space="preserve">CO</w:t>
            </w:r>
            <w:r>
              <w:rPr>
                <w:sz w:val="20"/>
                <w:vertAlign w:val="subscript"/>
              </w:rPr>
              <w:t xml:space="preserve">2</w:t>
            </w:r>
            <w:r>
              <w:rPr>
                <w:sz w:val="20"/>
              </w:rPr>
              <w:t xml:space="preserve"> </w:t>
            </w:r>
            <w:r>
              <w:rPr>
                <w:sz w:val="20"/>
              </w:rPr>
              <w:t xml:space="preserve">reduction, Case 3 vs 1</w:t>
            </w:r>
          </w:p>
        </w:tc>
        <w:tc>
          <w:tcPr>
            <w:tcW w:type="dxa" w:w="1577"/>
          </w:tcPr>
          <w:p>
            <w:pPr>
              <w:pStyle w:val="Compact"/>
              <w:spacing w:line="240" w:lineRule="auto" w:after="20"/>
              <w:jc w:val="left"/>
            </w:pPr>
            <w:r>
              <w:rPr>
                <w:sz w:val="20"/>
              </w:rPr>
              <w:t xml:space="preserve">57.1 %</w:t>
            </w:r>
          </w:p>
        </w:tc>
        <w:tc>
          <w:tcPr>
            <w:tcW w:type="dxa" w:w="2524"/>
          </w:tcPr>
          <w:p>
            <w:pPr>
              <w:pStyle w:val="Compact"/>
              <w:spacing w:line="240" w:lineRule="auto" w:after="20"/>
              <w:jc w:val="left"/>
            </w:pPr>
            <w:r>
              <w:rPr>
                <w:sz w:val="20"/>
              </w:rPr>
              <w:t xml:space="preserve">54.5–60.3 %</w:t>
            </w:r>
          </w:p>
        </w:tc>
        <w:tc>
          <w:tcPr>
            <w:tcW w:type="dxa" w:w="1577"/>
          </w:tcPr>
          <w:p>
            <w:pPr>
              <w:pStyle w:val="Compact"/>
              <w:spacing w:line="240" w:lineRule="auto" w:after="20"/>
              <w:jc w:val="left"/>
            </w:pPr>
            <w:r>
              <w:rPr>
                <w:sz w:val="20"/>
              </w:rPr>
              <w:t xml:space="preserve">55.0 %</w:t>
            </w:r>
          </w:p>
        </w:tc>
      </w:tr>
      <w:tr>
        <w:tc>
          <w:tcPr>
            <w:tcW w:type="dxa" w:w="3680"/>
          </w:tcPr>
          <w:p>
            <w:pPr>
              <w:pStyle w:val="Compact"/>
              <w:spacing w:line="240" w:lineRule="auto" w:after="20"/>
              <w:jc w:val="left"/>
            </w:pPr>
            <w:r>
              <w:rPr>
                <w:sz w:val="20"/>
              </w:rPr>
              <w:t xml:space="preserve">Flexibility benefit, Case 2 − 3</w:t>
            </w:r>
          </w:p>
        </w:tc>
        <w:tc>
          <w:tcPr>
            <w:tcW w:type="dxa" w:w="1577"/>
          </w:tcPr>
          <w:p>
            <w:pPr>
              <w:pStyle w:val="Compact"/>
              <w:spacing w:line="240" w:lineRule="auto" w:after="20"/>
              <w:jc w:val="left"/>
            </w:pPr>
            <w:r>
              <w:rPr>
                <w:sz w:val="20"/>
              </w:rPr>
              <w:t xml:space="preserve">6.8 kt (11.0 %)</w:t>
            </w:r>
          </w:p>
        </w:tc>
        <w:tc>
          <w:tcPr>
            <w:tcW w:type="dxa" w:w="2524"/>
          </w:tcPr>
          <w:p>
            <w:pPr>
              <w:pStyle w:val="Compact"/>
              <w:spacing w:line="240" w:lineRule="auto" w:after="20"/>
              <w:jc w:val="left"/>
            </w:pPr>
            <w:r>
              <w:rPr>
                <w:sz w:val="20"/>
              </w:rPr>
              <w:t xml:space="preserve">5.9–7.7 kt (10.5–11.7 %)</w:t>
            </w:r>
          </w:p>
        </w:tc>
        <w:tc>
          <w:tcPr>
            <w:tcW w:type="dxa" w:w="1577"/>
          </w:tcPr>
          <w:p>
            <w:pPr>
              <w:pStyle w:val="Compact"/>
              <w:spacing w:line="240" w:lineRule="auto" w:after="20"/>
              <w:jc w:val="left"/>
            </w:pPr>
            <w:r>
              <w:rPr>
                <w:sz w:val="20"/>
              </w:rPr>
              <w:t xml:space="preserve">7.2 kt (11.1 %)</w:t>
            </w:r>
          </w:p>
        </w:tc>
      </w:tr>
      <w:tr>
        <w:tc>
          <w:tcPr>
            <w:tcW w:type="dxa" w:w="3680"/>
          </w:tcPr>
          <w:p>
            <w:pPr>
              <w:pStyle w:val="Compact"/>
              <w:spacing w:line="240" w:lineRule="auto" w:after="20"/>
              <w:jc w:val="left"/>
            </w:pPr>
            <w:r>
              <w:rPr>
                <w:sz w:val="20"/>
              </w:rPr>
              <w:t xml:space="preserve">Hours with two GTs, Case 2 / Case 3</w:t>
            </w:r>
          </w:p>
        </w:tc>
        <w:tc>
          <w:tcPr>
            <w:tcW w:type="dxa" w:w="1577"/>
          </w:tcPr>
          <w:p>
            <w:pPr>
              <w:pStyle w:val="Compact"/>
              <w:spacing w:line="240" w:lineRule="auto" w:after="20"/>
              <w:jc w:val="left"/>
            </w:pPr>
          </w:p>
        </w:tc>
        <w:tc>
          <w:tcPr>
            <w:tcW w:type="dxa" w:w="2524"/>
          </w:tcPr>
          <w:p>
            <w:pPr>
              <w:pStyle w:val="Compact"/>
              <w:spacing w:line="240" w:lineRule="auto" w:after="20"/>
              <w:jc w:val="left"/>
            </w:pPr>
            <w:r>
              <w:rPr>
                <w:sz w:val="20"/>
              </w:rPr>
              <w:t xml:space="preserve">1,082–1,889 / 4–66</w:t>
            </w:r>
          </w:p>
        </w:tc>
        <w:tc>
          <w:tcPr>
            <w:tcW w:type="dxa" w:w="1577"/>
          </w:tcPr>
          <w:p>
            <w:pPr>
              <w:pStyle w:val="Compact"/>
              <w:spacing w:line="240" w:lineRule="auto" w:after="20"/>
              <w:jc w:val="left"/>
            </w:pPr>
            <w:r>
              <w:rPr>
                <w:sz w:val="20"/>
              </w:rPr>
              <w:t xml:space="preserve">1,702 / 28</w:t>
            </w:r>
          </w:p>
        </w:tc>
      </w:tr>
      <w:tr>
        <w:tc>
          <w:tcPr>
            <w:tcW w:type="dxa" w:w="3680"/>
          </w:tcPr>
          <w:p>
            <w:pPr>
              <w:pStyle w:val="Compact"/>
              <w:spacing w:line="240" w:lineRule="auto" w:after="20"/>
              <w:jc w:val="left"/>
            </w:pPr>
            <w:r>
              <w:rPr>
                <w:sz w:val="20"/>
              </w:rPr>
              <w:t xml:space="preserve">Battery benefit, Case 3 − 4</w:t>
            </w:r>
          </w:p>
        </w:tc>
        <w:tc>
          <w:tcPr>
            <w:tcW w:type="dxa" w:w="1577"/>
          </w:tcPr>
          <w:p>
            <w:pPr>
              <w:pStyle w:val="Compact"/>
              <w:spacing w:line="240" w:lineRule="auto" w:after="20"/>
              <w:jc w:val="left"/>
            </w:pPr>
            <w:r>
              <w:rPr>
                <w:sz w:val="20"/>
              </w:rPr>
              <w:t xml:space="preserve">0.35 kt</w:t>
            </w:r>
          </w:p>
        </w:tc>
        <w:tc>
          <w:tcPr>
            <w:tcW w:type="dxa" w:w="2524"/>
          </w:tcPr>
          <w:p>
            <w:pPr>
              <w:pStyle w:val="Compact"/>
              <w:spacing w:line="240" w:lineRule="auto" w:after="20"/>
              <w:jc w:val="left"/>
            </w:pPr>
            <w:r>
              <w:rPr>
                <w:sz w:val="20"/>
              </w:rPr>
              <w:t xml:space="preserve">0.25–0.42 kt</w:t>
            </w:r>
          </w:p>
        </w:tc>
        <w:tc>
          <w:tcPr>
            <w:tcW w:type="dxa" w:w="1577"/>
          </w:tcPr>
          <w:p>
            <w:pPr>
              <w:pStyle w:val="Compact"/>
              <w:spacing w:line="240" w:lineRule="auto" w:after="20"/>
              <w:jc w:val="left"/>
            </w:pPr>
            <w:r>
              <w:rPr>
                <w:sz w:val="20"/>
              </w:rPr>
              <w:t xml:space="preserve">0.32 kt</w:t>
            </w:r>
          </w:p>
        </w:tc>
      </w:tr>
      <w:tr>
        <w:tc>
          <w:tcPr>
            <w:tcW w:type="dxa" w:w="3680"/>
          </w:tcPr>
          <w:p>
            <w:pPr>
              <w:pStyle w:val="Compact"/>
              <w:spacing w:line="240" w:lineRule="auto" w:after="20"/>
              <w:jc w:val="left"/>
            </w:pPr>
            <w:r>
              <w:rPr>
                <w:sz w:val="20"/>
              </w:rPr>
              <w:t xml:space="preserve">Maximum injection deficit</w:t>
            </w:r>
          </w:p>
        </w:tc>
        <w:tc>
          <w:tcPr>
            <w:tcW w:type="dxa" w:w="1577"/>
          </w:tcPr>
          <w:p>
            <w:pPr>
              <w:pStyle w:val="Compact"/>
              <w:spacing w:line="240" w:lineRule="auto" w:after="20"/>
              <w:jc w:val="left"/>
            </w:pPr>
          </w:p>
        </w:tc>
        <w:tc>
          <w:tcPr>
            <w:tcW w:type="dxa" w:w="2524"/>
          </w:tcPr>
          <w:p>
            <w:pPr>
              <w:pStyle w:val="Compact"/>
              <w:spacing w:line="240" w:lineRule="auto" w:after="20"/>
              <w:jc w:val="left"/>
            </w:pPr>
            <w:r>
              <w:rPr>
                <w:sz w:val="20"/>
              </w:rPr>
              <w:t xml:space="preserve">25.8–59.3 h</w:t>
            </w:r>
          </w:p>
        </w:tc>
        <w:tc>
          <w:tcPr>
            <w:tcW w:type="dxa" w:w="1577"/>
          </w:tcPr>
          <w:p>
            <w:pPr>
              <w:pStyle w:val="Compact"/>
              <w:spacing w:line="240" w:lineRule="auto" w:after="20"/>
              <w:jc w:val="left"/>
            </w:pPr>
            <w:r>
              <w:rPr>
                <w:sz w:val="20"/>
              </w:rPr>
              <w:t xml:space="preserve">27.5 h</w:t>
            </w:r>
          </w:p>
        </w:tc>
      </w:tr>
    </w:tbl>
    <w:p>
      <w:pPr>
        <w:pStyle w:val="BodyText"/>
        <w:spacing w:before="200"/>
      </w:pPr>
      <w:r>
        <w:t xml:space="preserve">The results for the ten weather years are summarized in Table 8 and Figure 10.</w:t>
      </w:r>
      <w:r>
        <w:t xml:space="preserve"> </w:t>
      </w:r>
      <w:r>
        <w:t xml:space="preserve">The weather year affects the benefit of wind more than the benefit of</w:t>
      </w:r>
      <w:r>
        <w:t xml:space="preserve"> </w:t>
      </w:r>
      <w:r>
        <w:t xml:space="preserve">flexibility. Over the ten years, the capacity factor of the wind farm ranges</w:t>
      </w:r>
      <w:r>
        <w:t xml:space="preserve"> </w:t>
      </w:r>
      <w:r>
        <w:t xml:space="preserve">from 50.3 % to 59.8 %, and 2023 is one of the calmer years. The reduction with</w:t>
      </w:r>
      <w:r>
        <w:t xml:space="preserve"> </w:t>
      </w:r>
      <w:r>
        <w:t xml:space="preserve">fixed demand (Case 2) ranges from 48.5 % to 55.6 %, whereas the additional</w:t>
      </w:r>
      <w:r>
        <w:t xml:space="preserve"> </w:t>
      </w:r>
      <w:r>
        <w:t xml:space="preserve">saving from flexibility is remarkably stable at 10.5–11.7 % of the Case 2</w:t>
      </w:r>
      <w:r>
        <w:t xml:space="preserve"> </w:t>
      </w:r>
      <w:r>
        <w:t xml:space="preserve">emissions, or 5.9–7.7 kt/yr, with a mean of 11.0 %, almost exactly the 2023</w:t>
      </w:r>
      <w:r>
        <w:t xml:space="preserve"> </w:t>
      </w:r>
      <w:r>
        <w:t xml:space="preserve">value. In absolute terms, the saving is largest in the calm years 2016, 2021</w:t>
      </w:r>
      <w:r>
        <w:t xml:space="preserve"> </w:t>
      </w:r>
      <w:r>
        <w:t xml:space="preserve">and 2023, in which a second GT is needed most often with fixed demand, and</w:t>
      </w:r>
      <w:r>
        <w:t xml:space="preserve"> </w:t>
      </w:r>
      <w:r>
        <w:t xml:space="preserve">smallest in the windy year 2022. Flexibility removes 96–100 % of the hours</w:t>
      </w:r>
      <w:r>
        <w:t xml:space="preserve"> </w:t>
      </w:r>
      <w:r>
        <w:t xml:space="preserve">with two GTs online in every year, and in no year is production lost or demand</w:t>
      </w:r>
      <w:r>
        <w:t xml:space="preserve"> </w:t>
      </w:r>
      <w:r>
        <w:t xml:space="preserve">left unmet.</w:t>
      </w:r>
    </w:p>
    <w:p>
      <w:pPr>
        <w:pStyle w:val="BodyText"/>
      </w:pPr>
      <w:r>
        <w:t xml:space="preserve">The injection deficit varies more between the years than the saving does. Its</w:t>
      </w:r>
      <w:r>
        <w:t xml:space="preserve"> </w:t>
      </w:r>
      <w:r>
        <w:t xml:space="preserve">maximum ranges from 26 to 59 h, which is below the 72 h limit in every year,</w:t>
      </w:r>
      <w:r>
        <w:t xml:space="preserve"> </w:t>
      </w:r>
      <w:r>
        <w:t xml:space="preserve">and up to 28 h remain to be caught up at the end of a year. In 2016 and 2017,</w:t>
      </w:r>
      <w:r>
        <w:t xml:space="preserve"> </w:t>
      </w:r>
      <w:r>
        <w:t xml:space="preserve">the years with the largest deficits, a limit of 24 h still captures 98 % of</w:t>
      </w:r>
      <w:r>
        <w:t xml:space="preserve"> </w:t>
      </w:r>
      <w:r>
        <w:t xml:space="preserve">the saving obtained with 72 h (58.4 against 58.3 kt in 2016 and 52.7 against</w:t>
      </w:r>
      <w:r>
        <w:t xml:space="preserve"> </w:t>
      </w:r>
      <w:r>
        <w:t xml:space="preserve">52.6 kt in 2017). The conclusion that about one day of deferral is sufficient</w:t>
      </w:r>
      <w:r>
        <w:t xml:space="preserve"> </w:t>
      </w:r>
      <w:r>
        <w:t xml:space="preserve">thus holds for all the weather years tested.</w:t>
      </w:r>
    </w:p>
    <w:p>
      <w:pPr>
        <w:pStyle w:val="Figure"/>
      </w:pPr>
      <w:r>
        <w:drawing>
          <wp:inline>
            <wp:extent cx="5759999" cy="2790927"/>
            <wp:effectExtent b="0" l="0" r="0" t="0"/>
            <wp:docPr descr="" title="" id="65" name="Picture"/>
            <a:graphic>
              <a:graphicData uri="http://schemas.openxmlformats.org/drawingml/2006/picture">
                <pic:pic>
                  <pic:nvPicPr>
                    <pic:cNvPr descr="results/paper/fig11_multi_year.png" id="66" name="Picture"/>
                    <pic:cNvPicPr>
                      <a:picLocks noChangeArrowheads="1" noChangeAspect="1"/>
                    </pic:cNvPicPr>
                  </pic:nvPicPr>
                  <pic:blipFill>
                    <a:blip r:embed="rId64"/>
                    <a:stretch>
                      <a:fillRect/>
                    </a:stretch>
                  </pic:blipFill>
                  <pic:spPr bwMode="auto">
                    <a:xfrm>
                      <a:off x="0" y="0"/>
                      <a:ext cx="5759999" cy="2790927"/>
                    </a:xfrm>
                    <a:prstGeom prst="rect">
                      <a:avLst/>
                    </a:prstGeom>
                    <a:noFill/>
                    <a:ln w="9525">
                      <a:noFill/>
                      <a:headEnd/>
                      <a:tailEnd/>
                    </a:ln>
                  </pic:spPr>
                </pic:pic>
              </a:graphicData>
            </a:graphic>
          </wp:inline>
        </w:drawing>
      </w:r>
    </w:p>
    <w:p>
      <w:pPr>
        <w:pStyle w:val="FigureCaption"/>
      </w:pPr>
      <w:r>
        <w:rPr>
          <w:bCs/>
          <w:b/>
        </w:rPr>
        <w:t xml:space="preserve">Figure 10.</w:t>
      </w:r>
      <w:r>
        <w:t xml:space="preserve"> </w:t>
      </w:r>
      <w:r>
        <w:t xml:space="preserve">Flexibility benefit (Case 2 − Case 3, bars) and wind capacity factor (line) for the weather years 2014–2023.</w:t>
      </w:r>
    </w:p>
    <w:bookmarkEnd w:id="67"/>
    <w:bookmarkEnd w:id="68"/>
    <w:bookmarkStart w:id="74" w:name="discussion"/>
    <w:p>
      <w:pPr>
        <w:pStyle w:val="Heading1"/>
      </w:pPr>
      <w:r>
        <w:t xml:space="preserve">4. Discussion</w:t>
      </w:r>
    </w:p>
    <w:p>
      <w:pPr>
        <w:pStyle w:val="FirstParagraph"/>
      </w:pPr>
      <w:r>
        <w:t xml:space="preserve">The results presented above show that the benefit of flexible scheduling is</w:t>
      </w:r>
      <w:r>
        <w:t xml:space="preserve"> </w:t>
      </w:r>
      <w:r>
        <w:t xml:space="preserve">obtained through the unit commitment of the GTs. This mechanism is discussed</w:t>
      </w:r>
      <w:r>
        <w:t xml:space="preserve"> </w:t>
      </w:r>
      <w:r>
        <w:t xml:space="preserve">in Section 4.1, and the results are compared with earlier studies in Section</w:t>
      </w:r>
      <w:r>
        <w:t xml:space="preserve"> </w:t>
      </w:r>
      <w:r>
        <w:t xml:space="preserve">4.2. The practical implementation, the robustness of the conclusions and the</w:t>
      </w:r>
      <w:r>
        <w:t xml:space="preserve"> </w:t>
      </w:r>
      <w:r>
        <w:t xml:space="preserve">limitations of the study are discussed in Sections 4.3–4.5.</w:t>
      </w:r>
    </w:p>
    <w:bookmarkStart w:id="69" w:name="why-load-flexibility-works"/>
    <w:p>
      <w:pPr>
        <w:pStyle w:val="Heading2"/>
      </w:pPr>
      <w:r>
        <w:t xml:space="preserve">4.1 Why load flexibility works</w:t>
      </w:r>
    </w:p>
    <w:p>
      <w:pPr>
        <w:pStyle w:val="FirstParagraph"/>
      </w:pPr>
      <w:r>
        <w:t xml:space="preserve">Flexible demand saves fuel through two linked effects. Deferring injection in</w:t>
      </w:r>
      <w:r>
        <w:t xml:space="preserve"> </w:t>
      </w:r>
      <w:r>
        <w:t xml:space="preserve">the hours in which the wind is just too weak for one turbine to carry the load</w:t>
      </w:r>
      <w:r>
        <w:t xml:space="preserve"> </w:t>
      </w:r>
      <w:r>
        <w:t xml:space="preserve">with 5 MW in reserve keeps the second turbine off, which saves its no-load</w:t>
      </w:r>
      <w:r>
        <w:t xml:space="preserve"> </w:t>
      </w:r>
      <w:r>
        <w:t xml:space="preserve">fuel, and the deferred injection then uses wind that would otherwise be</w:t>
      </w:r>
      <w:r>
        <w:t xml:space="preserve"> </w:t>
      </w:r>
      <w:r>
        <w:t xml:space="preserve">curtailed. The commitment effect is the larger one (58 % of the saving), and</w:t>
      </w:r>
      <w:r>
        <w:t xml:space="preserve"> </w:t>
      </w:r>
      <w:r>
        <w:t xml:space="preserve">it explains three of the results of Section 3: almost all of the 1,702 hours</w:t>
      </w:r>
      <w:r>
        <w:t xml:space="preserve"> </w:t>
      </w:r>
      <w:r>
        <w:t xml:space="preserve">with two GTs online are avoided; about one day of deficit capacity is</w:t>
      </w:r>
      <w:r>
        <w:t xml:space="preserve"> </w:t>
      </w:r>
      <w:r>
        <w:t xml:space="preserve">sufficient, since these hours occur in short spells between windy periods; and</w:t>
      </w:r>
      <w:r>
        <w:t xml:space="preserve"> </w:t>
      </w:r>
      <w:r>
        <w:t xml:space="preserve">the saving is reduced to the energy part alone under operating rules that keep</w:t>
      </w:r>
      <w:r>
        <w:t xml:space="preserve"> </w:t>
      </w:r>
      <w:r>
        <w:t xml:space="preserve">two GTs online in any case (3.1 kt instead of 7.2 kt).</w:t>
      </w:r>
    </w:p>
    <w:p>
      <w:pPr>
        <w:pStyle w:val="BodyText"/>
      </w:pPr>
      <w:r>
        <w:t xml:space="preserve">The energy-shifting part is limited by the wind that can be absorbed. The</w:t>
      </w:r>
      <w:r>
        <w:t xml:space="preserve"> </w:t>
      </w:r>
      <w:r>
        <w:t xml:space="preserve">curtailment decreases by only 13 %, since one GT must remain online and a 30</w:t>
      </w:r>
      <w:r>
        <w:t xml:space="preserve"> </w:t>
      </w:r>
      <w:r>
        <w:t xml:space="preserve">MW farm often produces more power than the platform can use, even with</w:t>
      </w:r>
      <w:r>
        <w:t xml:space="preserve"> </w:t>
      </w:r>
      <w:r>
        <w:t xml:space="preserve">injection at full rate. For the same reason, the value of flexibility does not</w:t>
      </w:r>
      <w:r>
        <w:t xml:space="preserve"> </w:t>
      </w:r>
      <w:r>
        <w:t xml:space="preserve">increase with the size of the wind farm: a larger farm covers the demand more</w:t>
      </w:r>
      <w:r>
        <w:t xml:space="preserve"> </w:t>
      </w:r>
      <w:r>
        <w:t xml:space="preserve">often, so that a second GT is needed in fewer hours, and the additional wind</w:t>
      </w:r>
      <w:r>
        <w:t xml:space="preserve"> </w:t>
      </w:r>
      <w:r>
        <w:t xml:space="preserve">in windy hours cannot be absorbed. Flexibility is thus most valuable when the</w:t>
      </w:r>
      <w:r>
        <w:t xml:space="preserve"> </w:t>
      </w:r>
      <w:r>
        <w:t xml:space="preserve">wind farm capacity is of the same order as the platform demand, as in the base</w:t>
      </w:r>
      <w:r>
        <w:t xml:space="preserve"> </w:t>
      </w:r>
      <w:r>
        <w:t xml:space="preserve">case and at Hywind Tampen.</w:t>
      </w:r>
    </w:p>
    <w:p>
      <w:pPr>
        <w:pStyle w:val="BodyText"/>
      </w:pPr>
      <w:r>
        <w:t xml:space="preserve">The small effect of the battery in Case 4 has the same cause. With one GT</w:t>
      </w:r>
      <w:r>
        <w:t xml:space="preserve"> </w:t>
      </w:r>
      <w:r>
        <w:t xml:space="preserve">always online, a battery cannot remove the main remaining loss, which is a</w:t>
      </w:r>
      <w:r>
        <w:t xml:space="preserve"> </w:t>
      </w:r>
      <w:r>
        <w:t xml:space="preserve">turbine idling near minimum load. The large saving (38.7 kt, −32 %) is</w:t>
      </w:r>
      <w:r>
        <w:t xml:space="preserve"> </w:t>
      </w:r>
      <w:r>
        <w:t xml:space="preserve">obtained only when the battery, or grid-forming wind turbines, can replace the</w:t>
      </w:r>
      <w:r>
        <w:t xml:space="preserve"> </w:t>
      </w:r>
      <w:r>
        <w:t xml:space="preserve">last running GT. Svendsen (2022) found the same for a battery</w:t>
      </w:r>
      <w:r>
        <w:t xml:space="preserve"> </w:t>
      </w:r>
      <w:r>
        <w:t xml:space="preserve">providing reserve. The present results show in addition that process</w:t>
      </w:r>
      <w:r>
        <w:t xml:space="preserve"> </w:t>
      </w:r>
      <w:r>
        <w:t xml:space="preserve">flexibility gives much of this benefit without new equipment, since both</w:t>
      </w:r>
      <w:r>
        <w:t xml:space="preserve"> </w:t>
      </w:r>
      <w:r>
        <w:t xml:space="preserve">measures reduce the number of GTs that must be online.</w:t>
      </w:r>
    </w:p>
    <w:p>
      <w:pPr>
        <w:pStyle w:val="BodyText"/>
      </w:pPr>
      <w:r>
        <w:t xml:space="preserve">A small GT acts on a different part of the loss: it does not reduce the number</w:t>
      </w:r>
      <w:r>
        <w:t xml:space="preserve"> </w:t>
      </w:r>
      <w:r>
        <w:t xml:space="preserve">of running units, but the no-load fuel of the unit that runs. Its saving</w:t>
      </w:r>
      <w:r>
        <w:t xml:space="preserve"> </w:t>
      </w:r>
      <w:r>
        <w:t xml:space="preserve">therefore adds almost fully to that of flexibility (Section 3.4). A retrofit</w:t>
      </w:r>
      <w:r>
        <w:t xml:space="preserve"> </w:t>
      </w:r>
      <w:r>
        <w:t xml:space="preserve">could thus proceed in stages, by first using the flexibility of the existing</w:t>
      </w:r>
      <w:r>
        <w:t xml:space="preserve"> </w:t>
      </w:r>
      <w:r>
        <w:t xml:space="preserve">process at no investment, and then considering the replacement of one main GT</w:t>
      </w:r>
      <w:r>
        <w:t xml:space="preserve"> </w:t>
      </w:r>
      <w:r>
        <w:t xml:space="preserve">by a smaller unit at its next major overhaul, provided that the small unit</w:t>
      </w:r>
      <w:r>
        <w:t xml:space="preserve"> </w:t>
      </w:r>
      <w:r>
        <w:t xml:space="preserve">tolerates about 260 starts a year.</w:t>
      </w:r>
    </w:p>
    <w:bookmarkEnd w:id="69"/>
    <w:bookmarkStart w:id="70" w:name="comparison-with-earlier-studies"/>
    <w:p>
      <w:pPr>
        <w:pStyle w:val="Heading2"/>
      </w:pPr>
      <w:r>
        <w:t xml:space="preserve">4.2 Comparison with earlier studies</w:t>
      </w:r>
    </w:p>
    <w:p>
      <w:pPr>
        <w:pStyle w:val="FirstParagraph"/>
      </w:pPr>
      <w:r>
        <w:t xml:space="preserve">Most studies of wind-powered platforms report the benefit of wind at fixed</w:t>
      </w:r>
      <w:r>
        <w:t xml:space="preserve"> </w:t>
      </w:r>
      <w:r>
        <w:t xml:space="preserve">demand, which corresponds to Case 2 in the present study. This understates the</w:t>
      </w:r>
      <w:r>
        <w:t xml:space="preserve"> </w:t>
      </w:r>
      <w:r>
        <w:t xml:space="preserve">potential of the same wind farm, as the emissions with fixed demand are 12 %</w:t>
      </w:r>
      <w:r>
        <w:t xml:space="preserve"> </w:t>
      </w:r>
      <w:r>
        <w:t xml:space="preserve">higher than when the platform schedules its flexible loads. The CO</w:t>
      </w:r>
      <w:r>
        <w:rPr>
          <w:vertAlign w:val="subscript"/>
        </w:rPr>
        <w:t xml:space="preserve">2</w:t>
      </w:r>
      <w:r>
        <w:t xml:space="preserve"> </w:t>
      </w:r>
      <w:r>
        <w:t xml:space="preserve">avoided</w:t>
      </w:r>
      <w:r>
        <w:t xml:space="preserve"> </w:t>
      </w:r>
      <w:r>
        <w:t xml:space="preserve">per MWh of wind, which is the usual metric for wind integration, is 0.71 t/MWh</w:t>
      </w:r>
      <w:r>
        <w:t xml:space="preserve"> </w:t>
      </w:r>
      <w:r>
        <w:t xml:space="preserve">in Case 2, 0.74 t/MWh in Case 3 and 0.51 t/MWh if two GTs are kept online.</w:t>
      </w:r>
      <w:r>
        <w:t xml:space="preserve"> </w:t>
      </w:r>
      <w:r>
        <w:t xml:space="preserve">Values reported for different platforms can therefore only be compared if the</w:t>
      </w:r>
      <w:r>
        <w:t xml:space="preserve"> </w:t>
      </w:r>
      <w:r>
        <w:t xml:space="preserve">GT operating practice behind them is stated.</w:t>
      </w:r>
    </w:p>
    <w:p>
      <w:pPr>
        <w:pStyle w:val="BodyText"/>
      </w:pPr>
      <w:r>
        <w:t xml:space="preserve">The economic performance of flexibility also differs from that of wind</w:t>
      </w:r>
      <w:r>
        <w:t xml:space="preserve"> </w:t>
      </w:r>
      <w:r>
        <w:t xml:space="preserve">integration. Riboldi and Nord (2018) found that integrating wind is</w:t>
      </w:r>
      <w:r>
        <w:t xml:space="preserve"> </w:t>
      </w:r>
      <w:r>
        <w:t xml:space="preserve">profitable only with favorable gas and CO</w:t>
      </w:r>
      <w:r>
        <w:rPr>
          <w:vertAlign w:val="subscript"/>
        </w:rPr>
        <w:t xml:space="preserve">2</w:t>
      </w:r>
      <w:r>
        <w:t xml:space="preserve"> </w:t>
      </w:r>
      <w:r>
        <w:t xml:space="preserve">prices. Flexibility, in contrast,</w:t>
      </w:r>
      <w:r>
        <w:t xml:space="preserve"> </w:t>
      </w:r>
      <w:r>
        <w:t xml:space="preserve">requires no investment in power generation, its schedule does not depend on</w:t>
      </w:r>
      <w:r>
        <w:t xml:space="preserve"> </w:t>
      </w:r>
      <w:r>
        <w:t xml:space="preserve">prices, and the fuel it saves is worth about 1,800 NOK per tonne of CO</w:t>
      </w:r>
      <w:r>
        <w:rPr>
          <w:vertAlign w:val="subscript"/>
        </w:rPr>
        <w:t xml:space="preserve">2</w:t>
      </w:r>
      <w:r>
        <w:t xml:space="preserve"> </w:t>
      </w:r>
      <w:r>
        <w:t xml:space="preserve">avoided at the base-case gas price alone. It is thus profitable without any</w:t>
      </w:r>
      <w:r>
        <w:t xml:space="preserve"> </w:t>
      </w:r>
      <w:r>
        <w:t xml:space="preserve">carbon price, which is relevant in regions where emissions are not priced. The</w:t>
      </w:r>
      <w:r>
        <w:t xml:space="preserve"> </w:t>
      </w:r>
      <w:r>
        <w:t xml:space="preserve">wind farm, by comparison, requires about 1,800–2,500 NOK/t at a 7 % discount</w:t>
      </w:r>
      <w:r>
        <w:t xml:space="preserve"> </w:t>
      </w:r>
      <w:r>
        <w:t xml:space="preserve">rate to break even, which is of the same order as power from shore</w:t>
      </w:r>
      <w:r>
        <w:t xml:space="preserve"> </w:t>
      </w:r>
      <w:r>
        <w:t xml:space="preserve">(Norwegian Petroleum Directorate et al. 2020; Norwegian Offshore Directorate 2025), and flexibility lowers this value by about 400</w:t>
      </w:r>
      <w:r>
        <w:t xml:space="preserve"> </w:t>
      </w:r>
      <w:r>
        <w:t xml:space="preserve">NOK/t.</w:t>
      </w:r>
    </w:p>
    <w:p>
      <w:pPr>
        <w:pStyle w:val="BodyText"/>
      </w:pPr>
      <w:r>
        <w:t xml:space="preserve">The comparison with onshore demand response is less direct than it may appear.</w:t>
      </w:r>
      <w:r>
        <w:t xml:space="preserve"> </w:t>
      </w:r>
      <w:r>
        <w:t xml:space="preserve">Industrial studies consider the response to electricity prices</w:t>
      </w:r>
      <w:r>
        <w:t xml:space="preserve"> </w:t>
      </w:r>
      <w:r>
        <w:t xml:space="preserve">(Zhang and Grossmann 2016; Golmohamadi 2022), whereas on an off-grid platform the</w:t>
      </w:r>
      <w:r>
        <w:t xml:space="preserve"> </w:t>
      </w:r>
      <w:r>
        <w:t xml:space="preserve">value of a load shift arises from discrete decisions of the platform’s own</w:t>
      </w:r>
      <w:r>
        <w:t xml:space="preserve"> </w:t>
      </w:r>
      <w:r>
        <w:t xml:space="preserve">power plant, i.e. whether a GT must be started or can be stopped. This value</w:t>
      </w:r>
      <w:r>
        <w:t xml:space="preserve"> </w:t>
      </w:r>
      <w:r>
        <w:t xml:space="preserve">depends on the state of the system hour by hour, and a model of energy</w:t>
      </w:r>
      <w:r>
        <w:t xml:space="preserve"> </w:t>
      </w:r>
      <w:r>
        <w:t xml:space="preserve">shifting alone, without unit commitment, would not capture most of it.</w:t>
      </w:r>
    </w:p>
    <w:bookmarkEnd w:id="70"/>
    <w:bookmarkStart w:id="71" w:name="practical-implementation"/>
    <w:p>
      <w:pPr>
        <w:pStyle w:val="Heading2"/>
      </w:pPr>
      <w:r>
        <w:t xml:space="preserve">4.3 Practical implementation</w:t>
      </w:r>
    </w:p>
    <w:p>
      <w:pPr>
        <w:pStyle w:val="FirstParagraph"/>
      </w:pPr>
      <w:r>
        <w:t xml:space="preserve">This flexibility already exists on most oil platforms with water injection.</w:t>
      </w:r>
      <w:r>
        <w:t xml:space="preserve"> </w:t>
      </w:r>
      <w:r>
        <w:t xml:space="preserve">Its use requires no new equipment, but it requires a power management system</w:t>
      </w:r>
      <w:r>
        <w:t xml:space="preserve"> </w:t>
      </w:r>
      <w:r>
        <w:t xml:space="preserve">that coordinates the injection with the GTs and a wind forecast, whereas these</w:t>
      </w:r>
      <w:r>
        <w:t xml:space="preserve"> </w:t>
      </w:r>
      <w:r>
        <w:t xml:space="preserve">are usually controlled separately today.</w:t>
      </w:r>
    </w:p>
    <w:p>
      <w:pPr>
        <w:pStyle w:val="BodyText"/>
      </w:pPr>
      <w:r>
        <w:t xml:space="preserve">The requirement on the reservoir is modest. A deferral of about 24 h, with an</w:t>
      </w:r>
      <w:r>
        <w:t xml:space="preserve"> </w:t>
      </w:r>
      <w:r>
        <w:t xml:space="preserve">average of 9.0 h, is short compared with the months over which voidage</w:t>
      </w:r>
      <w:r>
        <w:t xml:space="preserve"> </w:t>
      </w:r>
      <w:r>
        <w:t xml:space="preserve">replacement is normally managed. It must nevertheless be confirmed for each</w:t>
      </w:r>
      <w:r>
        <w:t xml:space="preserve"> </w:t>
      </w:r>
      <w:r>
        <w:t xml:space="preserve">field, since a reservoir close to its bubble point, for example, may not</w:t>
      </w:r>
      <w:r>
        <w:t xml:space="preserve"> </w:t>
      </w:r>
      <w:r>
        <w:t xml:space="preserve">accept even short pressure drops.</w:t>
      </w:r>
    </w:p>
    <w:p>
      <w:pPr>
        <w:pStyle w:val="BodyText"/>
      </w:pPr>
      <w:r>
        <w:t xml:space="preserve">The schedule also changes the duty of the injection pumps. Without a cost,</w:t>
      </w:r>
      <w:r>
        <w:t xml:space="preserve"> </w:t>
      </w:r>
      <w:r>
        <w:t xml:space="preserve">they start 731 times a year in Case 3, about twice a day. A modest start cost</w:t>
      </w:r>
      <w:r>
        <w:t xml:space="preserve"> </w:t>
      </w:r>
      <w:r>
        <w:t xml:space="preserve">reduces this to 100–160 starts a year at a loss of only 1–2 % of the saving</w:t>
      </w:r>
      <w:r>
        <w:t xml:space="preserve"> </w:t>
      </w:r>
      <w:r>
        <w:t xml:space="preserve">(Section 3.4), so pump wear is not an obstacle; an operator can choose the</w:t>
      </w:r>
      <w:r>
        <w:t xml:space="preserve"> </w:t>
      </w:r>
      <w:r>
        <w:t xml:space="preserve">start frequency it accepts.</w:t>
      </w:r>
    </w:p>
    <w:p>
      <w:pPr>
        <w:pStyle w:val="BodyText"/>
      </w:pPr>
      <w:r>
        <w:t xml:space="preserve">Operating practice deserves at least as much attention as hardware. The number</w:t>
      </w:r>
      <w:r>
        <w:t xml:space="preserve"> </w:t>
      </w:r>
      <w:r>
        <w:t xml:space="preserve">of GTs that must be online, and the definition of reserve, affect the</w:t>
      </w:r>
      <w:r>
        <w:t xml:space="preserve"> </w:t>
      </w:r>
      <w:r>
        <w:t xml:space="preserve">emissions more than any price or the battery size. Rules that keep two GTs</w:t>
      </w:r>
      <w:r>
        <w:t xml:space="preserve"> </w:t>
      </w:r>
      <w:r>
        <w:t xml:space="preserve">online for redundancy increase the emissions by 40 % with fixed demand and by</w:t>
      </w:r>
      <w:r>
        <w:t xml:space="preserve"> </w:t>
      </w:r>
      <w:r>
        <w:t xml:space="preserve">53 % with flexible demand and remove most of the value of flexibility. Such</w:t>
      </w:r>
      <w:r>
        <w:t xml:space="preserve"> </w:t>
      </w:r>
      <w:r>
        <w:t xml:space="preserve">rules exist for good reasons of safety and regularity. Two measures can relax</w:t>
      </w:r>
      <w:r>
        <w:t xml:space="preserve"> </w:t>
      </w:r>
      <w:r>
        <w:t xml:space="preserve">them without new generation. Running injection pumps can serve as reserve,</w:t>
      </w:r>
      <w:r>
        <w:t xml:space="preserve"> </w:t>
      </w:r>
      <w:r>
        <w:t xml:space="preserve">since tripping them is fast and costs no production; this alone captures about</w:t>
      </w:r>
      <w:r>
        <w:t xml:space="preserve"> </w:t>
      </w:r>
      <w:r>
        <w:t xml:space="preserve">60 % of the benefit of flexibility. Grid-forming batteries that provide</w:t>
      </w:r>
      <w:r>
        <w:t xml:space="preserve"> </w:t>
      </w:r>
      <w:r>
        <w:t xml:space="preserve">reserve and stability without a running GT would go further and are the</w:t>
      </w:r>
      <w:r>
        <w:t xml:space="preserve"> </w:t>
      </w:r>
      <w:r>
        <w:t xml:space="preserve">logical next step after demand flexibility.</w:t>
      </w:r>
    </w:p>
    <w:p>
      <w:pPr>
        <w:pStyle w:val="BodyText"/>
      </w:pPr>
      <w:r>
        <w:t xml:space="preserve">The approach should be transferable to other installations. The demand and</w:t>
      </w:r>
      <w:r>
        <w:t xml:space="preserve"> </w:t>
      </w:r>
      <w:r>
        <w:t xml:space="preserve">reserve map (Section 3.5) gives a simple screening rule: a platform gains</w:t>
      </w:r>
      <w:r>
        <w:t xml:space="preserve"> </w:t>
      </w:r>
      <w:r>
        <w:t xml:space="preserve">most, about 10–12 %, when its mean demand exceeds the rating of one GT minus</w:t>
      </w:r>
      <w:r>
        <w:t xml:space="preserve"> </w:t>
      </w:r>
      <w:r>
        <w:t xml:space="preserve">the reserve, and about 4–5 % otherwise, provided it has a large deferrable</w:t>
      </w:r>
      <w:r>
        <w:t xml:space="preserve"> </w:t>
      </w:r>
      <w:r>
        <w:t xml:space="preserve">consumer and a wind supply of the same order as its demand. On other types of</w:t>
      </w:r>
      <w:r>
        <w:t xml:space="preserve"> </w:t>
      </w:r>
      <w:r>
        <w:t xml:space="preserve">installations, gas export compression, electric heating and the regeneration</w:t>
      </w:r>
      <w:r>
        <w:t xml:space="preserve"> </w:t>
      </w:r>
      <w:r>
        <w:t xml:space="preserve">of glycol or other process chemicals could be deferrable, but only where</w:t>
      </w:r>
      <w:r>
        <w:t xml:space="preserve"> </w:t>
      </w:r>
      <w:r>
        <w:t xml:space="preserve">buffer storage such as line pack or tank volume is available.</w:t>
      </w:r>
    </w:p>
    <w:bookmarkEnd w:id="71"/>
    <w:bookmarkStart w:id="72" w:name="robustness-of-the-conclusions"/>
    <w:p>
      <w:pPr>
        <w:pStyle w:val="Heading2"/>
      </w:pPr>
      <w:r>
        <w:t xml:space="preserve">4.4 Robustness of the conclusions</w:t>
      </w:r>
    </w:p>
    <w:p>
      <w:pPr>
        <w:pStyle w:val="FirstParagraph"/>
      </w:pPr>
      <w:r>
        <w:t xml:space="preserve">The saving is determined by the number of hours in which, at fixed demand, the</w:t>
      </w:r>
      <w:r>
        <w:t xml:space="preserve"> </w:t>
      </w:r>
      <w:r>
        <w:t xml:space="preserve">platform runs one GT more than its load requires. The sensitivity runs confirm</w:t>
      </w:r>
      <w:r>
        <w:t xml:space="preserve"> </w:t>
      </w:r>
      <w:r>
        <w:t xml:space="preserve">the expected direction of the main assumptions: a larger reserve, a reserve</w:t>
      </w:r>
      <w:r>
        <w:t xml:space="preserve"> </w:t>
      </w:r>
      <w:r>
        <w:t xml:space="preserve">that covers the wind, a higher GT minimum load and a demand above the margin</w:t>
      </w:r>
      <w:r>
        <w:t xml:space="preserve"> </w:t>
      </w:r>
      <w:r>
        <w:t xml:space="preserve">of one GT all increase the value of flexibility, whereas a wind farm much</w:t>
      </w:r>
      <w:r>
        <w:t xml:space="preserve"> </w:t>
      </w:r>
      <w:r>
        <w:t xml:space="preserve">larger than the demand, or injection pumps that already count as reserve,</w:t>
      </w:r>
      <w:r>
        <w:t xml:space="preserve"> </w:t>
      </w:r>
      <w:r>
        <w:t xml:space="preserve">reduce it.</w:t>
      </w:r>
    </w:p>
    <w:p>
      <w:pPr>
        <w:pStyle w:val="BodyText"/>
      </w:pPr>
      <w:r>
        <w:t xml:space="preserve">The assumptions on the flexible load have less effect than might be expected.</w:t>
      </w:r>
      <w:r>
        <w:t xml:space="preserve"> </w:t>
      </w:r>
      <w:r>
        <w:t xml:space="preserve">Since injection is reduced by stopping whole pumps, the assumed minimum pump</w:t>
      </w:r>
      <w:r>
        <w:t xml:space="preserve"> </w:t>
      </w:r>
      <w:r>
        <w:t xml:space="preserve">flow changes the cost of running one pump at low rate but hardly affects the</w:t>
      </w:r>
      <w:r>
        <w:t xml:space="preserve"> </w:t>
      </w:r>
      <w:r>
        <w:t xml:space="preserve">saving. The injection target has a larger effect: a lower target leaves more</w:t>
      </w:r>
      <w:r>
        <w:t xml:space="preserve"> </w:t>
      </w:r>
      <w:r>
        <w:t xml:space="preserve">room for catching up, and at a target of 100 % deferred injection could never</w:t>
      </w:r>
      <w:r>
        <w:t xml:space="preserve"> </w:t>
      </w:r>
      <w:r>
        <w:t xml:space="preserve">be caught up and the flexibility would vanish. The heat balance was never</w:t>
      </w:r>
      <w:r>
        <w:t xml:space="preserve"> </w:t>
      </w:r>
      <w:r>
        <w:t xml:space="preserve">binding in the base cases, since the waste heat of the running GT always</w:t>
      </w:r>
      <w:r>
        <w:t xml:space="preserve"> </w:t>
      </w:r>
      <w:r>
        <w:t xml:space="preserve">covered the heat demand of 3 MW. A platform with a larger heat demand, or one</w:t>
      </w:r>
      <w:r>
        <w:t xml:space="preserve"> </w:t>
      </w:r>
      <w:r>
        <w:t xml:space="preserve">that relies on the heat of the GTs to be stopped, would save less unless its</w:t>
      </w:r>
      <w:r>
        <w:t xml:space="preserve"> </w:t>
      </w:r>
      <w:r>
        <w:t xml:space="preserve">heat demand can be scheduled as well.</w:t>
      </w:r>
    </w:p>
    <w:p>
      <w:pPr>
        <w:pStyle w:val="BodyText"/>
      </w:pPr>
      <w:r>
        <w:t xml:space="preserve">The result that production should never be shed is the most robust one, since</w:t>
      </w:r>
      <w:r>
        <w:t xml:space="preserve"> </w:t>
      </w:r>
      <w:r>
        <w:t xml:space="preserve">the lost oil and gas are worth about a hundred times more than the fuel saved,</w:t>
      </w:r>
      <w:r>
        <w:t xml:space="preserve"> </w:t>
      </w:r>
      <w:r>
        <w:t xml:space="preserve">and no plausible change in prices or efficiencies reverses this.</w:t>
      </w:r>
    </w:p>
    <w:bookmarkEnd w:id="72"/>
    <w:bookmarkStart w:id="73" w:name="limitations-and-future-work"/>
    <w:p>
      <w:pPr>
        <w:pStyle w:val="Heading2"/>
      </w:pPr>
      <w:r>
        <w:t xml:space="preserve">4.5 Limitations and future work</w:t>
      </w:r>
    </w:p>
    <w:p>
      <w:pPr>
        <w:pStyle w:val="FirstParagraph"/>
      </w:pPr>
      <w:r>
        <w:t xml:space="preserve">The platform is generic, and the fluid composition, the minimum-flow limits,</w:t>
      </w:r>
      <w:r>
        <w:t xml:space="preserve"> </w:t>
      </w:r>
      <w:r>
        <w:t xml:space="preserve">the injection target and the deficit limit were assumed, although the results</w:t>
      </w:r>
      <w:r>
        <w:t xml:space="preserve"> </w:t>
      </w:r>
      <w:r>
        <w:t xml:space="preserve">are insensitive to the deficit limit, the prices and the battery size. The</w:t>
      </w:r>
      <w:r>
        <w:t xml:space="preserve"> </w:t>
      </w:r>
      <w:r>
        <w:t xml:space="preserve">process is represented by steady states, and the transient compressor</w:t>
      </w:r>
      <w:r>
        <w:t xml:space="preserve"> </w:t>
      </w:r>
      <w:r>
        <w:t xml:space="preserve">behavior, the start-up times of pumps and GTs beyond a start cost, and the</w:t>
      </w:r>
      <w:r>
        <w:t xml:space="preserve"> </w:t>
      </w:r>
      <w:r>
        <w:t xml:space="preserve">reservoir response to deferred injection are not modeled. The GT part-load</w:t>
      </w:r>
      <w:r>
        <w:t xml:space="preserve"> </w:t>
      </w:r>
      <w:r>
        <w:t xml:space="preserve">curve is a Willans line derived from LEOGO, and the curve of a real machine,</w:t>
      </w:r>
      <w:r>
        <w:t xml:space="preserve"> </w:t>
      </w:r>
      <w:r>
        <w:t xml:space="preserve">including its emissions at very low load, may differ.</w:t>
      </w:r>
    </w:p>
    <w:p>
      <w:pPr>
        <w:pStyle w:val="BodyText"/>
      </w:pPr>
      <w:r>
        <w:t xml:space="preserve">The weekly schedules assume perfect wind foresight, but hourly re-planning</w:t>
      </w:r>
      <w:r>
        <w:t xml:space="preserve"> </w:t>
      </w:r>
      <w:r>
        <w:t xml:space="preserve">with a persistence forecast retains 94 % of the saving when the injection</w:t>
      </w:r>
      <w:r>
        <w:t xml:space="preserve"> </w:t>
      </w:r>
      <w:r>
        <w:t xml:space="preserve">deficit may be carried over (Section 3.4). The hourly model does not resolve</w:t>
      </w:r>
      <w:r>
        <w:t xml:space="preserve"> </w:t>
      </w:r>
      <w:r>
        <w:t xml:space="preserve">forecast errors within the hour, which decide whether a GT must be started at</w:t>
      </w:r>
      <w:r>
        <w:t xml:space="preserve"> </w:t>
      </w:r>
      <w:r>
        <w:t xml:space="preserve">short notice. The ten weather years cover one site and one platform, without</w:t>
      </w:r>
      <w:r>
        <w:t xml:space="preserve"> </w:t>
      </w:r>
      <w:r>
        <w:t xml:space="preserve">power import or export. The economic indicators are based on the cost of a</w:t>
      </w:r>
      <w:r>
        <w:t xml:space="preserve"> </w:t>
      </w:r>
      <w:r>
        <w:t xml:space="preserve">single first-of-a-kind floating wind farm and exclude the cost of implementing</w:t>
      </w:r>
      <w:r>
        <w:t xml:space="preserve"> </w:t>
      </w:r>
      <w:r>
        <w:t xml:space="preserve">flexibility, the battery or the small GT, for which only break-even values are</w:t>
      </w:r>
      <w:r>
        <w:t xml:space="preserve"> </w:t>
      </w:r>
      <w:r>
        <w:t xml:space="preserve">given. The small GT uses the relative part-load curve of the main units, since</w:t>
      </w:r>
      <w:r>
        <w:t xml:space="preserve"> </w:t>
      </w:r>
      <w:r>
        <w:t xml:space="preserve">its manufacturer publishes only the full-load rating.</w:t>
      </w:r>
    </w:p>
    <w:p>
      <w:pPr>
        <w:pStyle w:val="BodyText"/>
      </w:pPr>
      <w:r>
        <w:t xml:space="preserve">Several directions for further work follow from these limitations. A simple</w:t>
      </w:r>
      <w:r>
        <w:t xml:space="preserve"> </w:t>
      </w:r>
      <w:r>
        <w:t xml:space="preserve">reservoir pressure model would test the injection schedule against reservoir</w:t>
      </w:r>
      <w:r>
        <w:t xml:space="preserve"> </w:t>
      </w:r>
      <w:r>
        <w:t xml:space="preserve">limits, and a sub-hourly model of the power system would test the use of</w:t>
      </w:r>
      <w:r>
        <w:t xml:space="preserve"> </w:t>
      </w:r>
      <w:r>
        <w:t xml:space="preserve">injection pumps as fast reserve. Data from a platform with wind supply, such</w:t>
      </w:r>
      <w:r>
        <w:t xml:space="preserve"> </w:t>
      </w:r>
      <w:r>
        <w:t xml:space="preserve">as those served by Hywind Tampen, would allow the model to be calibrated.</w:t>
      </w:r>
      <w:r>
        <w:t xml:space="preserve"> </w:t>
      </w:r>
      <w:r>
        <w:t xml:space="preserve">Finally, combining load flexibility with grid-forming storage and the</w:t>
      </w:r>
      <w:r>
        <w:t xml:space="preserve"> </w:t>
      </w:r>
      <w:r>
        <w:t xml:space="preserve">investment cost of the whole system would show to what extent an off-grid</w:t>
      </w:r>
      <w:r>
        <w:t xml:space="preserve"> </w:t>
      </w:r>
      <w:r>
        <w:t xml:space="preserve">platform can be decarbonized before power from shore is required.</w:t>
      </w:r>
    </w:p>
    <w:bookmarkEnd w:id="73"/>
    <w:bookmarkEnd w:id="74"/>
    <w:bookmarkStart w:id="75" w:name="conclusions"/>
    <w:p>
      <w:pPr>
        <w:pStyle w:val="Heading1"/>
      </w:pPr>
      <w:r>
        <w:t xml:space="preserve">5. Conclusions</w:t>
      </w:r>
    </w:p>
    <w:p>
      <w:pPr>
        <w:pStyle w:val="FirstParagraph"/>
      </w:pPr>
      <w:r>
        <w:t xml:space="preserve">The electric demand of a generic North Sea oil platform was mapped with a</w:t>
      </w:r>
      <w:r>
        <w:t xml:space="preserve"> </w:t>
      </w:r>
      <w:r>
        <w:t xml:space="preserve">process model, the consumers were classified according to their flexibility,</w:t>
      </w:r>
      <w:r>
        <w:t xml:space="preserve"> </w:t>
      </w:r>
      <w:r>
        <w:t xml:space="preserve">and the flexible consumers were scheduled together with the gas turbines and a</w:t>
      </w:r>
      <w:r>
        <w:t xml:space="preserve"> </w:t>
      </w:r>
      <w:r>
        <w:t xml:space="preserve">30 MW wind farm, hour by hour, for ten weather years. Four cases were</w:t>
      </w:r>
      <w:r>
        <w:t xml:space="preserve"> </w:t>
      </w:r>
      <w:r>
        <w:t xml:space="preserve">investigated in order to separate the effect of the wind farm from that of</w:t>
      </w:r>
      <w:r>
        <w:t xml:space="preserve"> </w:t>
      </w:r>
      <w:r>
        <w:t xml:space="preserve">demand flexibility and of a battery, and the model was checked against</w:t>
      </w:r>
      <w:r>
        <w:t xml:space="preserve"> </w:t>
      </w:r>
      <w:r>
        <w:t xml:space="preserve">published data for Hywind Tampen and three North Sea field centers.</w:t>
      </w:r>
    </w:p>
    <w:p>
      <w:pPr>
        <w:pStyle w:val="BodyText"/>
      </w:pPr>
      <w:r>
        <w:t xml:space="preserve">With fixed demand, the wind farm halves the CO</w:t>
      </w:r>
      <w:r>
        <w:rPr>
          <w:vertAlign w:val="subscript"/>
        </w:rPr>
        <w:t xml:space="preserve">2</w:t>
      </w:r>
      <w:r>
        <w:t xml:space="preserve"> </w:t>
      </w:r>
      <w:r>
        <w:t xml:space="preserve">emissions of the 20 MW</w:t>
      </w:r>
      <w:r>
        <w:t xml:space="preserve"> </w:t>
      </w:r>
      <w:r>
        <w:t xml:space="preserve">platform (−49 %). Scheduling the flexible consumers reduces the emissions by a</w:t>
      </w:r>
      <w:r>
        <w:t xml:space="preserve"> </w:t>
      </w:r>
      <w:r>
        <w:t xml:space="preserve">further 11 % (7.2 kt/yr) without lost production, and the saving remains</w:t>
      </w:r>
      <w:r>
        <w:t xml:space="preserve"> </w:t>
      </w:r>
      <w:r>
        <w:t xml:space="preserve">between 10.5 % and 11.7 % across the ten weather years. All of the useful</w:t>
      </w:r>
      <w:r>
        <w:t xml:space="preserve"> </w:t>
      </w:r>
      <w:r>
        <w:t xml:space="preserve">flexibility is provided by water injection: shedding production is never</w:t>
      </w:r>
      <w:r>
        <w:t xml:space="preserve"> </w:t>
      </w:r>
      <w:r>
        <w:t xml:space="preserve">profitable, and a deferral of about 24 h is sufficient. Deferring injection</w:t>
      </w:r>
      <w:r>
        <w:t xml:space="preserve"> </w:t>
      </w:r>
      <w:r>
        <w:t xml:space="preserve">out of the hours that would need a second GT saves the no-load fuel of that</w:t>
      </w:r>
      <w:r>
        <w:t xml:space="preserve"> </w:t>
      </w:r>
      <w:r>
        <w:t xml:space="preserve">unit (58 % of the saving), and catching it up in windy hours uses wind that</w:t>
      </w:r>
      <w:r>
        <w:t xml:space="preserve"> </w:t>
      </w:r>
      <w:r>
        <w:t xml:space="preserve">would otherwise be curtailed (42 %). Operating rules that keep two GTs online</w:t>
      </w:r>
      <w:r>
        <w:t xml:space="preserve"> </w:t>
      </w:r>
      <w:r>
        <w:t xml:space="preserve">therefore remove most of the saving, whereas counting the injection pumps as</w:t>
      </w:r>
      <w:r>
        <w:t xml:space="preserve"> </w:t>
      </w:r>
      <w:r>
        <w:t xml:space="preserve">trippable reserve captures about 60 % of it without any scheduling.</w:t>
      </w:r>
    </w:p>
    <w:p>
      <w:pPr>
        <w:pStyle w:val="BodyText"/>
      </w:pPr>
      <w:r>
        <w:t xml:space="preserve">The benefit depends on one simple quantity, the margin of one GT: it is about</w:t>
      </w:r>
      <w:r>
        <w:t xml:space="preserve"> </w:t>
      </w:r>
      <w:r>
        <w:t xml:space="preserve">4–5 % when one GT can carry the mean demand plus the reserve, and 8–12 % when</w:t>
      </w:r>
      <w:r>
        <w:t xml:space="preserve"> </w:t>
      </w:r>
      <w:r>
        <w:t xml:space="preserve">the mean demand exceeds its rating minus the reserve. It is robust to the GT</w:t>
      </w:r>
      <w:r>
        <w:t xml:space="preserve"> </w:t>
      </w:r>
      <w:r>
        <w:t xml:space="preserve">minimum load, a reserve that covers the wind, pump start costs and the solver</w:t>
      </w:r>
      <w:r>
        <w:t xml:space="preserve"> </w:t>
      </w:r>
      <w:r>
        <w:t xml:space="preserve">tolerance, and a persistence wind forecast retains 94 % of it when the</w:t>
      </w:r>
      <w:r>
        <w:t xml:space="preserve"> </w:t>
      </w:r>
      <w:r>
        <w:t xml:space="preserve">injection deficit may be carried over from one plan to the next. Prices and</w:t>
      </w:r>
      <w:r>
        <w:t xml:space="preserve"> </w:t>
      </w:r>
      <w:r>
        <w:t xml:space="preserve">battery size alone have little effect. Flexibility pays for itself through</w:t>
      </w:r>
      <w:r>
        <w:t xml:space="preserve"> </w:t>
      </w:r>
      <w:r>
        <w:t xml:space="preserve">fuel savings, breaks even for an implementation cost of up to 137 MNOK and</w:t>
      </w:r>
      <w:r>
        <w:t xml:space="preserve"> </w:t>
      </w:r>
      <w:r>
        <w:t xml:space="preserve">lowers the abatement cost of the wind farm from 2,180–2,519 to 1,774–2,078</w:t>
      </w:r>
      <w:r>
        <w:t xml:space="preserve"> </w:t>
      </w:r>
      <w:r>
        <w:t xml:space="preserve">NOK/t. Although the exact values would differ from one platform to another,</w:t>
      </w:r>
      <w:r>
        <w:t xml:space="preserve"> </w:t>
      </w:r>
      <w:r>
        <w:t xml:space="preserve">the scheduling of topside loads is a low-cost measure that should be</w:t>
      </w:r>
      <w:r>
        <w:t xml:space="preserve"> </w:t>
      </w:r>
      <w:r>
        <w:t xml:space="preserve">considered together with any integration of wind power on off-grid platforms.</w:t>
      </w:r>
      <w:r>
        <w:t xml:space="preserve"> </w:t>
      </w:r>
      <w:r>
        <w:t xml:space="preserve">Two questions remain open: which limits the reservoir pressure places on the</w:t>
      </w:r>
      <w:r>
        <w:t xml:space="preserve"> </w:t>
      </w:r>
      <w:r>
        <w:t xml:space="preserve">injection schedule, and whether grid-forming storage can safely remove the</w:t>
      </w:r>
      <w:r>
        <w:t xml:space="preserve"> </w:t>
      </w:r>
      <w:r>
        <w:t xml:space="preserve">last running GT.</w:t>
      </w:r>
    </w:p>
    <w:bookmarkEnd w:id="75"/>
    <w:bookmarkStart w:id="76" w:name="nomenclature"/>
    <w:p>
      <w:pPr>
        <w:pStyle w:val="Heading1"/>
      </w:pPr>
      <w:r>
        <w:t xml:space="preserve">Nomenclature</w:t>
      </w:r>
    </w:p>
    <w:tbl>
      <w:tblPr>
        <w:tblStyle w:val="Table"/>
        <w:tblW w:type="pct" w:w="5000"/>
        <w:tblLook w:firstRow="1" w:lastRow="0" w:firstColumn="0" w:lastColumn="0" w:noHBand="0" w:noVBand="0" w:val="0020"/>
        <w:jc w:val="start"/>
        <w:tblBorders>
          <w:top w:val="single" w:sz="4" w:space="0" w:color="000000"/>
          <w:bottom w:val="single" w:sz="4" w:space="0" w:color="000000"/>
          <w:left w:val="nil" w:sz="4" w:space="0" w:color="000000"/>
          <w:right w:val="nil" w:sz="4" w:space="0" w:color="000000"/>
          <w:insideH w:val="nil" w:sz="4" w:space="0" w:color="000000"/>
          <w:insideV w:val="nil" w:sz="4" w:space="0" w:color="000000"/>
        </w:tblBorders>
      </w:tblPr>
      <w:tblGrid>
        <w:gridCol w:w="1872"/>
        <w:gridCol w:w="4680"/>
        <w:gridCol w:w="2808"/>
      </w:tblGrid>
      <w:tr>
        <w:trPr>
          <w:tblHeader w:val="true"/>
          <w:tblHeader/>
        </w:trPr>
        <w:tc>
          <w:tcPr>
            <w:tcW w:type="dxa" w:w="1872"/>
            <w:tcBorders>
              <w:bottom w:val="single" w:sz="4" w:space="0" w:color="000000"/>
            </w:tcBorders>
          </w:tcPr>
          <w:p>
            <w:pPr>
              <w:pStyle w:val="Compact"/>
              <w:spacing w:line="240" w:lineRule="auto" w:after="20"/>
              <w:jc w:val="left"/>
            </w:pPr>
            <w:r>
              <w:rPr>
                <w:b/>
                <w:sz w:val="20"/>
              </w:rPr>
              <w:t xml:space="preserve">Symbol</w:t>
            </w:r>
          </w:p>
        </w:tc>
        <w:tc>
          <w:tcPr>
            <w:tcW w:type="dxa" w:w="4680"/>
            <w:tcBorders>
              <w:bottom w:val="single" w:sz="4" w:space="0" w:color="000000"/>
            </w:tcBorders>
          </w:tcPr>
          <w:p>
            <w:pPr>
              <w:pStyle w:val="Compact"/>
              <w:spacing w:line="240" w:lineRule="auto" w:after="20"/>
              <w:jc w:val="left"/>
            </w:pPr>
            <w:r>
              <w:rPr>
                <w:b/>
                <w:sz w:val="20"/>
              </w:rPr>
              <w:t xml:space="preserve">Description</w:t>
            </w:r>
          </w:p>
        </w:tc>
        <w:tc>
          <w:tcPr>
            <w:tcW w:type="dxa" w:w="2808"/>
            <w:tcBorders>
              <w:bottom w:val="single" w:sz="4" w:space="0" w:color="000000"/>
            </w:tcBorders>
          </w:tcPr>
          <w:p>
            <w:pPr>
              <w:pStyle w:val="Compact"/>
              <w:spacing w:line="240" w:lineRule="auto" w:after="20"/>
              <w:jc w:val="left"/>
            </w:pPr>
            <w:r>
              <w:rPr>
                <w:b/>
                <w:sz w:val="20"/>
              </w:rPr>
              <w:t xml:space="preserve">Unit</w:t>
            </w:r>
          </w:p>
        </w:tc>
      </w:tr>
      <w:tr>
        <w:tc>
          <w:tcPr>
            <w:tcW w:type="dxa" w:w="1872"/>
          </w:tcPr>
          <w:p>
            <w:pPr>
              <w:pStyle w:val="Compact"/>
              <w:spacing w:line="240" w:lineRule="auto" w:after="20"/>
              <w:jc w:val="left"/>
            </w:pPr>
            <w:r>
              <w:rPr>
                <w:iCs/>
                <w:i/>
                <w:sz w:val="20"/>
              </w:rPr>
              <w:t xml:space="preserve">Sets and indices</w:t>
            </w:r>
          </w:p>
        </w:tc>
        <w:tc>
          <w:tcPr>
            <w:tcW w:type="dxa" w:w="4680"/>
          </w:tcPr>
          <w:p>
            <w:pPr>
              <w:pStyle w:val="Compact"/>
              <w:spacing w:line="240" w:lineRule="auto" w:after="20"/>
              <w:jc w:val="left"/>
            </w:pPr>
          </w:p>
        </w:tc>
        <w:tc>
          <w:tcPr>
            <w:tcW w:type="dxa" w:w="2808"/>
          </w:tcPr>
          <w:p>
            <w:pPr>
              <w:pStyle w:val="Compact"/>
              <w:spacing w:line="240" w:lineRule="auto" w:after="20"/>
              <w:jc w:val="left"/>
            </w:pPr>
          </w:p>
        </w:tc>
      </w:tr>
      <w:tr>
        <w:tc>
          <w:tcPr>
            <w:tcW w:type="dxa" w:w="1872"/>
          </w:tcPr>
          <w:p>
            <w:pPr>
              <w:pStyle w:val="Compact"/>
              <w:spacing w:line="240" w:lineRule="auto" w:after="20"/>
              <w:jc w:val="left"/>
            </w:pPr>
            <m:oMath>
              <m:r>
                <m:t>t</m:t>
              </m:r>
              <m:r>
                <m:rPr>
                  <m:sty m:val="p"/>
                </m:rPr>
                <m:t>∈</m:t>
              </m:r>
              <m:r>
                <m:t>T</m:t>
              </m:r>
            </m:oMath>
          </w:p>
        </w:tc>
        <w:tc>
          <w:tcPr>
            <w:tcW w:type="dxa" w:w="4680"/>
          </w:tcPr>
          <w:p>
            <w:pPr>
              <w:pStyle w:val="Compact"/>
              <w:spacing w:line="240" w:lineRule="auto" w:after="20"/>
              <w:jc w:val="left"/>
            </w:pPr>
            <w:r>
              <w:rPr>
                <w:sz w:val="20"/>
              </w:rPr>
              <w:t xml:space="preserve">hours of a scheduling window</w:t>
            </w:r>
          </w:p>
        </w:tc>
        <w:tc>
          <w:tcPr>
            <w:tcW w:type="dxa" w:w="2808"/>
          </w:tcPr>
          <w:p>
            <w:pPr>
              <w:pStyle w:val="Compact"/>
              <w:spacing w:line="240" w:lineRule="auto" w:after="20"/>
              <w:jc w:val="left"/>
            </w:pPr>
            <w:r>
              <w:rPr>
                <w:sz w:val="20"/>
              </w:rPr>
              <w:t xml:space="preserve">–</w:t>
            </w:r>
          </w:p>
        </w:tc>
      </w:tr>
      <w:tr>
        <w:tc>
          <w:tcPr>
            <w:tcW w:type="dxa" w:w="1872"/>
          </w:tcPr>
          <w:p>
            <w:pPr>
              <w:pStyle w:val="Compact"/>
              <w:spacing w:line="240" w:lineRule="auto" w:after="20"/>
              <w:jc w:val="left"/>
            </w:pPr>
            <m:oMath>
              <m:r>
                <m:t>g</m:t>
              </m:r>
              <m:r>
                <m:rPr>
                  <m:sty m:val="p"/>
                </m:rPr>
                <m:t>∈</m:t>
              </m:r>
              <m:r>
                <m:t>G</m:t>
              </m:r>
            </m:oMath>
          </w:p>
        </w:tc>
        <w:tc>
          <w:tcPr>
            <w:tcW w:type="dxa" w:w="4680"/>
          </w:tcPr>
          <w:p>
            <w:pPr>
              <w:pStyle w:val="Compact"/>
              <w:spacing w:line="240" w:lineRule="auto" w:after="20"/>
              <w:jc w:val="left"/>
            </w:pPr>
            <w:r>
              <w:rPr>
                <w:sz w:val="20"/>
              </w:rPr>
              <w:t xml:space="preserve">gas turbines</w:t>
            </w:r>
          </w:p>
        </w:tc>
        <w:tc>
          <w:tcPr>
            <w:tcW w:type="dxa" w:w="2808"/>
          </w:tcPr>
          <w:p>
            <w:pPr>
              <w:pStyle w:val="Compact"/>
              <w:spacing w:line="240" w:lineRule="auto" w:after="20"/>
              <w:jc w:val="left"/>
            </w:pPr>
            <w:r>
              <w:rPr>
                <w:sz w:val="20"/>
              </w:rPr>
              <w:t xml:space="preserve">–</w:t>
            </w:r>
          </w:p>
        </w:tc>
      </w:tr>
      <w:tr>
        <w:tc>
          <w:tcPr>
            <w:tcW w:type="dxa" w:w="1872"/>
          </w:tcPr>
          <w:p>
            <w:pPr>
              <w:pStyle w:val="Compact"/>
              <w:spacing w:line="240" w:lineRule="auto" w:after="20"/>
              <w:jc w:val="left"/>
            </w:pPr>
            <w:r>
              <w:rPr>
                <w:iCs/>
                <w:i/>
                <w:sz w:val="20"/>
              </w:rPr>
              <w:t xml:space="preserve">Variables</w:t>
            </w:r>
          </w:p>
        </w:tc>
        <w:tc>
          <w:tcPr>
            <w:tcW w:type="dxa" w:w="4680"/>
          </w:tcPr>
          <w:p>
            <w:pPr>
              <w:pStyle w:val="Compact"/>
              <w:spacing w:line="240" w:lineRule="auto" w:after="20"/>
              <w:jc w:val="left"/>
            </w:pPr>
          </w:p>
        </w:tc>
        <w:tc>
          <w:tcPr>
            <w:tcW w:type="dxa" w:w="2808"/>
          </w:tcPr>
          <w:p>
            <w:pPr>
              <w:pStyle w:val="Compact"/>
              <w:spacing w:line="240" w:lineRule="auto" w:after="20"/>
              <w:jc w:val="left"/>
            </w:pPr>
          </w:p>
        </w:tc>
      </w:tr>
      <w:tr>
        <w:tc>
          <w:tcPr>
            <w:tcW w:type="dxa" w:w="1872"/>
          </w:tcPr>
          <w:p>
            <w:pPr>
              <w:pStyle w:val="Compact"/>
              <w:spacing w:line="240" w:lineRule="auto" w:after="20"/>
              <w:jc w:val="left"/>
            </w:pPr>
            <m:oMath>
              <m:sSub>
                <m:e>
                  <m:r>
                    <m:t>f</m:t>
                  </m:r>
                </m:e>
                <m:sub>
                  <m:r>
                    <m:t>p</m:t>
                  </m:r>
                  <m:r>
                    <m:rPr>
                      <m:sty m:val="p"/>
                    </m:rPr>
                    <m:t>,</m:t>
                  </m:r>
                  <m:r>
                    <m:t>t</m:t>
                  </m:r>
                </m:sub>
              </m:sSub>
            </m:oMath>
          </w:p>
        </w:tc>
        <w:tc>
          <w:tcPr>
            <w:tcW w:type="dxa" w:w="4680"/>
          </w:tcPr>
          <w:p>
            <w:pPr>
              <w:pStyle w:val="Compact"/>
              <w:spacing w:line="240" w:lineRule="auto" w:after="20"/>
              <w:jc w:val="left"/>
            </w:pPr>
            <w:r>
              <w:rPr>
                <w:sz w:val="20"/>
              </w:rPr>
              <w:t xml:space="preserve">production rate, fraction of design</w:t>
            </w:r>
          </w:p>
        </w:tc>
        <w:tc>
          <w:tcPr>
            <w:tcW w:type="dxa" w:w="2808"/>
          </w:tcPr>
          <w:p>
            <w:pPr>
              <w:pStyle w:val="Compact"/>
              <w:spacing w:line="240" w:lineRule="auto" w:after="20"/>
              <w:jc w:val="left"/>
            </w:pPr>
            <w:r>
              <w:rPr>
                <w:sz w:val="20"/>
              </w:rPr>
              <w:t xml:space="preserve">–</w:t>
            </w:r>
          </w:p>
        </w:tc>
      </w:tr>
      <w:tr>
        <w:tc>
          <w:tcPr>
            <w:tcW w:type="dxa" w:w="1872"/>
          </w:tcPr>
          <w:p>
            <w:pPr>
              <w:pStyle w:val="Compact"/>
              <w:spacing w:line="240" w:lineRule="auto" w:after="20"/>
              <w:jc w:val="left"/>
            </w:pPr>
            <m:oMath>
              <m:sSub>
                <m:e>
                  <m:r>
                    <m:t>f</m:t>
                  </m:r>
                </m:e>
                <m:sub>
                  <m:r>
                    <m:t>w</m:t>
                  </m:r>
                  <m:r>
                    <m:t>i</m:t>
                  </m:r>
                  <m:r>
                    <m:rPr>
                      <m:sty m:val="p"/>
                    </m:rPr>
                    <m:t>,</m:t>
                  </m:r>
                  <m:r>
                    <m:t>t</m:t>
                  </m:r>
                </m:sub>
              </m:sSub>
            </m:oMath>
          </w:p>
        </w:tc>
        <w:tc>
          <w:tcPr>
            <w:tcW w:type="dxa" w:w="4680"/>
          </w:tcPr>
          <w:p>
            <w:pPr>
              <w:pStyle w:val="Compact"/>
              <w:spacing w:line="240" w:lineRule="auto" w:after="20"/>
              <w:jc w:val="left"/>
            </w:pPr>
            <w:r>
              <w:rPr>
                <w:sz w:val="20"/>
              </w:rPr>
              <w:t xml:space="preserve">water injection rate, fraction of pump capacity</w:t>
            </w:r>
          </w:p>
        </w:tc>
        <w:tc>
          <w:tcPr>
            <w:tcW w:type="dxa" w:w="2808"/>
          </w:tcPr>
          <w:p>
            <w:pPr>
              <w:pStyle w:val="Compact"/>
              <w:spacing w:line="240" w:lineRule="auto" w:after="20"/>
              <w:jc w:val="left"/>
            </w:pPr>
            <w:r>
              <w:rPr>
                <w:sz w:val="20"/>
              </w:rPr>
              <w:t xml:space="preserve">–</w:t>
            </w:r>
          </w:p>
        </w:tc>
      </w:tr>
      <w:tr>
        <w:tc>
          <w:tcPr>
            <w:tcW w:type="dxa" w:w="1872"/>
          </w:tcPr>
          <w:p>
            <w:pPr>
              <w:pStyle w:val="Compact"/>
              <w:spacing w:line="240" w:lineRule="auto" w:after="20"/>
              <w:jc w:val="left"/>
            </w:pPr>
            <m:oMath>
              <m:sSub>
                <m:e>
                  <m:r>
                    <m:t>D</m:t>
                  </m:r>
                </m:e>
                <m:sub>
                  <m:r>
                    <m:t>t</m:t>
                  </m:r>
                </m:sub>
              </m:sSub>
            </m:oMath>
          </w:p>
        </w:tc>
        <w:tc>
          <w:tcPr>
            <w:tcW w:type="dxa" w:w="4680"/>
          </w:tcPr>
          <w:p>
            <w:pPr>
              <w:pStyle w:val="Compact"/>
              <w:spacing w:line="240" w:lineRule="auto" w:after="20"/>
              <w:jc w:val="left"/>
            </w:pPr>
            <w:r>
              <w:rPr>
                <w:sz w:val="20"/>
              </w:rPr>
              <w:t xml:space="preserve">water injection deficit</w:t>
            </w:r>
          </w:p>
        </w:tc>
        <w:tc>
          <w:tcPr>
            <w:tcW w:type="dxa" w:w="2808"/>
          </w:tcPr>
          <w:p>
            <w:pPr>
              <w:pStyle w:val="Compact"/>
              <w:spacing w:line="240" w:lineRule="auto" w:after="20"/>
              <w:jc w:val="left"/>
            </w:pPr>
            <w:r>
              <w:rPr>
                <w:sz w:val="20"/>
              </w:rPr>
              <w:t xml:space="preserve">h of full-rate injection</w:t>
            </w:r>
          </w:p>
        </w:tc>
      </w:tr>
      <w:tr>
        <w:tc>
          <w:tcPr>
            <w:tcW w:type="dxa" w:w="1872"/>
          </w:tcPr>
          <w:p>
            <w:pPr>
              <w:pStyle w:val="Compact"/>
              <w:spacing w:line="240" w:lineRule="auto" w:after="20"/>
              <w:jc w:val="left"/>
            </w:pPr>
            <m:oMath>
              <m:sSub>
                <m:e>
                  <m:r>
                    <m:t>u</m:t>
                  </m:r>
                </m:e>
                <m:sub>
                  <m:r>
                    <m:t>g</m:t>
                  </m:r>
                  <m:r>
                    <m:rPr>
                      <m:sty m:val="p"/>
                    </m:rPr>
                    <m:t>,</m:t>
                  </m:r>
                  <m:r>
                    <m:t>t</m:t>
                  </m:r>
                </m:sub>
              </m:sSub>
            </m:oMath>
          </w:p>
        </w:tc>
        <w:tc>
          <w:tcPr>
            <w:tcW w:type="dxa" w:w="4680"/>
          </w:tcPr>
          <w:p>
            <w:pPr>
              <w:pStyle w:val="Compact"/>
              <w:spacing w:line="240" w:lineRule="auto" w:after="20"/>
              <w:jc w:val="left"/>
            </w:pPr>
            <w:r>
              <w:rPr>
                <w:sz w:val="20"/>
              </w:rPr>
              <w:t xml:space="preserve">on/off state of gas turbine</w:t>
            </w:r>
            <w:r>
              <w:rPr>
                <w:sz w:val="20"/>
              </w:rPr>
              <w:t xml:space="preserve"> </w:t>
            </w:r>
            <m:oMath>
              <m:r>
                <m:t>g</m:t>
              </m:r>
            </m:oMath>
          </w:p>
        </w:tc>
        <w:tc>
          <w:tcPr>
            <w:tcW w:type="dxa" w:w="2808"/>
          </w:tcPr>
          <w:p>
            <w:pPr>
              <w:pStyle w:val="Compact"/>
              <w:spacing w:line="240" w:lineRule="auto" w:after="20"/>
              <w:jc w:val="left"/>
            </w:pPr>
            <w:r>
              <w:rPr>
                <w:sz w:val="20"/>
              </w:rPr>
              <w:t xml:space="preserve">–</w:t>
            </w:r>
          </w:p>
        </w:tc>
      </w:tr>
      <w:tr>
        <w:tc>
          <w:tcPr>
            <w:tcW w:type="dxa" w:w="1872"/>
          </w:tcPr>
          <w:p>
            <w:pPr>
              <w:pStyle w:val="Compact"/>
              <w:spacing w:line="240" w:lineRule="auto" w:after="20"/>
              <w:jc w:val="left"/>
            </w:pPr>
            <m:oMath>
              <m:sSub>
                <m:e>
                  <m:r>
                    <m:t>s</m:t>
                  </m:r>
                </m:e>
                <m:sub>
                  <m:r>
                    <m:t>g</m:t>
                  </m:r>
                  <m:r>
                    <m:rPr>
                      <m:sty m:val="p"/>
                    </m:rPr>
                    <m:t>,</m:t>
                  </m:r>
                  <m:r>
                    <m:t>t</m:t>
                  </m:r>
                </m:sub>
              </m:sSub>
            </m:oMath>
          </w:p>
        </w:tc>
        <w:tc>
          <w:tcPr>
            <w:tcW w:type="dxa" w:w="4680"/>
          </w:tcPr>
          <w:p>
            <w:pPr>
              <w:pStyle w:val="Compact"/>
              <w:spacing w:line="240" w:lineRule="auto" w:after="20"/>
              <w:jc w:val="left"/>
            </w:pPr>
            <w:r>
              <w:rPr>
                <w:sz w:val="20"/>
              </w:rPr>
              <w:t xml:space="preserve">start-up indicator of gas turbine</w:t>
            </w:r>
            <w:r>
              <w:rPr>
                <w:sz w:val="20"/>
              </w:rPr>
              <w:t xml:space="preserve"> </w:t>
            </w:r>
            <m:oMath>
              <m:r>
                <m:t>g</m:t>
              </m:r>
            </m:oMath>
          </w:p>
        </w:tc>
        <w:tc>
          <w:tcPr>
            <w:tcW w:type="dxa" w:w="2808"/>
          </w:tcPr>
          <w:p>
            <w:pPr>
              <w:pStyle w:val="Compact"/>
              <w:spacing w:line="240" w:lineRule="auto" w:after="20"/>
              <w:jc w:val="left"/>
            </w:pPr>
            <w:r>
              <w:rPr>
                <w:sz w:val="20"/>
              </w:rPr>
              <w:t xml:space="preserve">–</w:t>
            </w:r>
          </w:p>
        </w:tc>
      </w:tr>
      <w:tr>
        <w:tc>
          <w:tcPr>
            <w:tcW w:type="dxa" w:w="1872"/>
          </w:tcPr>
          <w:p>
            <w:pPr>
              <w:pStyle w:val="Compact"/>
              <w:spacing w:line="240" w:lineRule="auto" w:after="20"/>
              <w:jc w:val="left"/>
            </w:pPr>
            <m:oMath>
              <m:sSub>
                <m:e>
                  <m:r>
                    <m:t>P</m:t>
                  </m:r>
                </m:e>
                <m:sub>
                  <m:r>
                    <m:t>g</m:t>
                  </m:r>
                  <m:r>
                    <m:rPr>
                      <m:sty m:val="p"/>
                    </m:rPr>
                    <m:t>,</m:t>
                  </m:r>
                  <m:r>
                    <m:t>t</m:t>
                  </m:r>
                </m:sub>
              </m:sSub>
            </m:oMath>
          </w:p>
        </w:tc>
        <w:tc>
          <w:tcPr>
            <w:tcW w:type="dxa" w:w="4680"/>
          </w:tcPr>
          <w:p>
            <w:pPr>
              <w:pStyle w:val="Compact"/>
              <w:spacing w:line="240" w:lineRule="auto" w:after="20"/>
              <w:jc w:val="left"/>
            </w:pPr>
            <w:r>
              <w:rPr>
                <w:sz w:val="20"/>
              </w:rPr>
              <w:t xml:space="preserve">electric power of gas turbine</w:t>
            </w:r>
            <w:r>
              <w:rPr>
                <w:sz w:val="20"/>
              </w:rPr>
              <w:t xml:space="preserve"> </w:t>
            </w:r>
            <m:oMath>
              <m:r>
                <m:t>g</m:t>
              </m:r>
            </m:oMath>
          </w:p>
        </w:tc>
        <w:tc>
          <w:tcPr>
            <w:tcW w:type="dxa" w:w="2808"/>
          </w:tcPr>
          <w:p>
            <w:pPr>
              <w:pStyle w:val="Compact"/>
              <w:spacing w:line="240" w:lineRule="auto" w:after="20"/>
              <w:jc w:val="left"/>
            </w:pPr>
            <w:r>
              <w:rPr>
                <w:sz w:val="20"/>
              </w:rPr>
              <w:t xml:space="preserve">W</w:t>
            </w:r>
          </w:p>
        </w:tc>
      </w:tr>
      <w:tr>
        <w:tc>
          <w:tcPr>
            <w:tcW w:type="dxa" w:w="1872"/>
          </w:tcPr>
          <w:p>
            <w:pPr>
              <w:pStyle w:val="Compact"/>
              <w:spacing w:line="240" w:lineRule="auto" w:after="20"/>
              <w:jc w:val="left"/>
            </w:pPr>
            <m:oMath>
              <m:sSub>
                <m:e>
                  <m:r>
                    <m:t>Q</m:t>
                  </m:r>
                </m:e>
                <m:sub>
                  <m:r>
                    <m:t>g</m:t>
                  </m:r>
                  <m:r>
                    <m:rPr>
                      <m:sty m:val="p"/>
                    </m:rPr>
                    <m:t>,</m:t>
                  </m:r>
                  <m:r>
                    <m:t>t</m:t>
                  </m:r>
                </m:sub>
              </m:sSub>
            </m:oMath>
          </w:p>
        </w:tc>
        <w:tc>
          <w:tcPr>
            <w:tcW w:type="dxa" w:w="4680"/>
          </w:tcPr>
          <w:p>
            <w:pPr>
              <w:pStyle w:val="Compact"/>
              <w:spacing w:line="240" w:lineRule="auto" w:after="20"/>
              <w:jc w:val="left"/>
            </w:pPr>
            <w:r>
              <w:rPr>
                <w:sz w:val="20"/>
              </w:rPr>
              <w:t xml:space="preserve">fuel energy input of gas turbine</w:t>
            </w:r>
            <w:r>
              <w:rPr>
                <w:sz w:val="20"/>
              </w:rPr>
              <w:t xml:space="preserve"> </w:t>
            </w:r>
            <m:oMath>
              <m:r>
                <m:t>g</m:t>
              </m:r>
            </m:oMath>
            <w:r>
              <w:rPr>
                <w:sz w:val="20"/>
              </w:rPr>
              <w:t xml:space="preserve"> </w:t>
            </w:r>
            <w:r>
              <w:rPr>
                <w:sz w:val="20"/>
              </w:rPr>
              <w:t xml:space="preserve">(LHV)</w:t>
            </w:r>
          </w:p>
        </w:tc>
        <w:tc>
          <w:tcPr>
            <w:tcW w:type="dxa" w:w="2808"/>
          </w:tcPr>
          <w:p>
            <w:pPr>
              <w:pStyle w:val="Compact"/>
              <w:spacing w:line="240" w:lineRule="auto" w:after="20"/>
              <w:jc w:val="left"/>
            </w:pPr>
            <w:r>
              <w:rPr>
                <w:sz w:val="20"/>
              </w:rPr>
              <w:t xml:space="preserve">W</w:t>
            </w:r>
          </w:p>
        </w:tc>
      </w:tr>
      <w:tr>
        <w:tc>
          <w:tcPr>
            <w:tcW w:type="dxa" w:w="1872"/>
          </w:tcPr>
          <w:p>
            <w:pPr>
              <w:pStyle w:val="Compact"/>
              <w:spacing w:line="240" w:lineRule="auto" w:after="20"/>
              <w:jc w:val="left"/>
            </w:pPr>
            <m:oMath>
              <m:sSubSup>
                <m:e>
                  <m:r>
                    <m:t>P</m:t>
                  </m:r>
                </m:e>
                <m:sub>
                  <m:r>
                    <m:t>t</m:t>
                  </m:r>
                </m:sub>
                <m:sup>
                  <m:r>
                    <m:t>w</m:t>
                  </m:r>
                </m:sup>
              </m:sSubSup>
            </m:oMath>
            <w:r>
              <w:rPr>
                <w:sz w:val="20"/>
              </w:rPr>
              <w:t xml:space="preserve">,</w:t>
            </w:r>
            <w:r>
              <w:rPr>
                <w:sz w:val="20"/>
              </w:rPr>
              <w:t xml:space="preserve"> </w:t>
            </w:r>
            <m:oMath>
              <m:sSubSup>
                <m:e>
                  <m:r>
                    <m:t>P</m:t>
                  </m:r>
                </m:e>
                <m:sub>
                  <m:r>
                    <m:t>t</m:t>
                  </m:r>
                </m:sub>
                <m:sup>
                  <m:r>
                    <m:t>c</m:t>
                  </m:r>
                </m:sup>
              </m:sSubSup>
            </m:oMath>
          </w:p>
        </w:tc>
        <w:tc>
          <w:tcPr>
            <w:tcW w:type="dxa" w:w="4680"/>
          </w:tcPr>
          <w:p>
            <w:pPr>
              <w:pStyle w:val="Compact"/>
              <w:spacing w:line="240" w:lineRule="auto" w:after="20"/>
              <w:jc w:val="left"/>
            </w:pPr>
            <w:r>
              <w:rPr>
                <w:sz w:val="20"/>
              </w:rPr>
              <w:t xml:space="preserve">wind power used and curtailed</w:t>
            </w:r>
          </w:p>
        </w:tc>
        <w:tc>
          <w:tcPr>
            <w:tcW w:type="dxa" w:w="2808"/>
          </w:tcPr>
          <w:p>
            <w:pPr>
              <w:pStyle w:val="Compact"/>
              <w:spacing w:line="240" w:lineRule="auto" w:after="20"/>
              <w:jc w:val="left"/>
            </w:pPr>
            <w:r>
              <w:rPr>
                <w:sz w:val="20"/>
              </w:rPr>
              <w:t xml:space="preserve">W</w:t>
            </w:r>
          </w:p>
        </w:tc>
      </w:tr>
      <w:tr>
        <w:tc>
          <w:tcPr>
            <w:tcW w:type="dxa" w:w="1872"/>
          </w:tcPr>
          <w:p>
            <w:pPr>
              <w:pStyle w:val="Compact"/>
              <w:spacing w:line="240" w:lineRule="auto" w:after="20"/>
              <w:jc w:val="left"/>
            </w:pPr>
            <m:oMath>
              <m:sSubSup>
                <m:e>
                  <m:r>
                    <m:t>P</m:t>
                  </m:r>
                </m:e>
                <m:sub>
                  <m:r>
                    <m:t>t</m:t>
                  </m:r>
                </m:sub>
                <m:sup>
                  <m:r>
                    <m:t>h</m:t>
                  </m:r>
                </m:sup>
              </m:sSubSup>
            </m:oMath>
          </w:p>
        </w:tc>
        <w:tc>
          <w:tcPr>
            <w:tcW w:type="dxa" w:w="4680"/>
          </w:tcPr>
          <w:p>
            <w:pPr>
              <w:pStyle w:val="Compact"/>
              <w:spacing w:line="240" w:lineRule="auto" w:after="20"/>
              <w:jc w:val="left"/>
            </w:pPr>
            <w:r>
              <w:rPr>
                <w:sz w:val="20"/>
              </w:rPr>
              <w:t xml:space="preserve">electric heater power</w:t>
            </w:r>
          </w:p>
        </w:tc>
        <w:tc>
          <w:tcPr>
            <w:tcW w:type="dxa" w:w="2808"/>
          </w:tcPr>
          <w:p>
            <w:pPr>
              <w:pStyle w:val="Compact"/>
              <w:spacing w:line="240" w:lineRule="auto" w:after="20"/>
              <w:jc w:val="left"/>
            </w:pPr>
            <w:r>
              <w:rPr>
                <w:sz w:val="20"/>
              </w:rPr>
              <w:t xml:space="preserve">W</w:t>
            </w:r>
          </w:p>
        </w:tc>
      </w:tr>
      <w:tr>
        <w:tc>
          <w:tcPr>
            <w:tcW w:type="dxa" w:w="1872"/>
          </w:tcPr>
          <w:p>
            <w:pPr>
              <w:pStyle w:val="Compact"/>
              <w:spacing w:line="240" w:lineRule="auto" w:after="20"/>
              <w:jc w:val="left"/>
            </w:pPr>
            <m:oMath>
              <m:sSubSup>
                <m:e>
                  <m:r>
                    <m:t>P</m:t>
                  </m:r>
                </m:e>
                <m:sub>
                  <m:r>
                    <m:t>t</m:t>
                  </m:r>
                </m:sub>
                <m:sup>
                  <m:r>
                    <m:t>c</m:t>
                  </m:r>
                  <m:r>
                    <m:t>h</m:t>
                  </m:r>
                </m:sup>
              </m:sSubSup>
            </m:oMath>
            <w:r>
              <w:rPr>
                <w:sz w:val="20"/>
              </w:rPr>
              <w:t xml:space="preserve">,</w:t>
            </w:r>
            <w:r>
              <w:rPr>
                <w:sz w:val="20"/>
              </w:rPr>
              <w:t xml:space="preserve"> </w:t>
            </w:r>
            <m:oMath>
              <m:sSubSup>
                <m:e>
                  <m:r>
                    <m:t>P</m:t>
                  </m:r>
                </m:e>
                <m:sub>
                  <m:r>
                    <m:t>t</m:t>
                  </m:r>
                </m:sub>
                <m:sup>
                  <m:r>
                    <m:t>d</m:t>
                  </m:r>
                  <m:r>
                    <m:t>i</m:t>
                  </m:r>
                  <m:r>
                    <m:t>s</m:t>
                  </m:r>
                </m:sup>
              </m:sSubSup>
            </m:oMath>
            <w:r>
              <w:rPr>
                <w:sz w:val="20"/>
              </w:rPr>
              <w:t xml:space="preserve">,</w:t>
            </w:r>
            <w:r>
              <w:rPr>
                <w:sz w:val="20"/>
              </w:rPr>
              <w:t xml:space="preserve"> </w:t>
            </w:r>
            <m:oMath>
              <m:sSub>
                <m:e>
                  <m:r>
                    <m:t>E</m:t>
                  </m:r>
                </m:e>
                <m:sub>
                  <m:r>
                    <m:t>t</m:t>
                  </m:r>
                </m:sub>
              </m:sSub>
            </m:oMath>
          </w:p>
        </w:tc>
        <w:tc>
          <w:tcPr>
            <w:tcW w:type="dxa" w:w="4680"/>
          </w:tcPr>
          <w:p>
            <w:pPr>
              <w:pStyle w:val="Compact"/>
              <w:spacing w:line="240" w:lineRule="auto" w:after="20"/>
              <w:jc w:val="left"/>
            </w:pPr>
            <w:r>
              <w:rPr>
                <w:sz w:val="20"/>
              </w:rPr>
              <w:t xml:space="preserve">battery charge, discharge and stored energy</w:t>
            </w:r>
          </w:p>
        </w:tc>
        <w:tc>
          <w:tcPr>
            <w:tcW w:type="dxa" w:w="2808"/>
          </w:tcPr>
          <w:p>
            <w:pPr>
              <w:pStyle w:val="Compact"/>
              <w:spacing w:line="240" w:lineRule="auto" w:after="20"/>
              <w:jc w:val="left"/>
            </w:pPr>
            <w:r>
              <w:rPr>
                <w:sz w:val="20"/>
              </w:rPr>
              <w:t xml:space="preserve">W, J</w:t>
            </w:r>
          </w:p>
        </w:tc>
      </w:tr>
      <w:tr>
        <w:tc>
          <w:tcPr>
            <w:tcW w:type="dxa" w:w="1872"/>
          </w:tcPr>
          <w:p>
            <w:pPr>
              <w:pStyle w:val="Compact"/>
              <w:spacing w:line="240" w:lineRule="auto" w:after="20"/>
              <w:jc w:val="left"/>
            </w:pPr>
            <m:oMath>
              <m:sSubSup>
                <m:e>
                  <m:r>
                    <m:t>P</m:t>
                  </m:r>
                </m:e>
                <m:sub>
                  <m:r>
                    <m:t>t</m:t>
                  </m:r>
                </m:sub>
                <m:sup>
                  <m:r>
                    <m:t>d</m:t>
                  </m:r>
                  <m:r>
                    <m:t>e</m:t>
                  </m:r>
                  <m:r>
                    <m:t>m</m:t>
                  </m:r>
                </m:sup>
              </m:sSubSup>
            </m:oMath>
          </w:p>
        </w:tc>
        <w:tc>
          <w:tcPr>
            <w:tcW w:type="dxa" w:w="4680"/>
          </w:tcPr>
          <w:p>
            <w:pPr>
              <w:pStyle w:val="Compact"/>
              <w:spacing w:line="240" w:lineRule="auto" w:after="20"/>
              <w:jc w:val="left"/>
            </w:pPr>
            <w:r>
              <w:rPr>
                <w:sz w:val="20"/>
              </w:rPr>
              <w:t xml:space="preserve">platform electric demand</w:t>
            </w:r>
          </w:p>
        </w:tc>
        <w:tc>
          <w:tcPr>
            <w:tcW w:type="dxa" w:w="2808"/>
          </w:tcPr>
          <w:p>
            <w:pPr>
              <w:pStyle w:val="Compact"/>
              <w:spacing w:line="240" w:lineRule="auto" w:after="20"/>
              <w:jc w:val="left"/>
            </w:pPr>
            <w:r>
              <w:rPr>
                <w:sz w:val="20"/>
              </w:rPr>
              <w:t xml:space="preserve">W</w:t>
            </w:r>
          </w:p>
        </w:tc>
      </w:tr>
      <w:tr>
        <w:tc>
          <w:tcPr>
            <w:tcW w:type="dxa" w:w="1872"/>
          </w:tcPr>
          <w:p>
            <w:pPr>
              <w:pStyle w:val="Compact"/>
              <w:spacing w:line="240" w:lineRule="auto" w:after="20"/>
              <w:jc w:val="left"/>
            </w:pPr>
            <w:r>
              <w:rPr>
                <w:iCs/>
                <w:i/>
                <w:sz w:val="20"/>
              </w:rPr>
              <w:t xml:space="preserve">Parameters</w:t>
            </w:r>
          </w:p>
        </w:tc>
        <w:tc>
          <w:tcPr>
            <w:tcW w:type="dxa" w:w="4680"/>
          </w:tcPr>
          <w:p>
            <w:pPr>
              <w:pStyle w:val="Compact"/>
              <w:spacing w:line="240" w:lineRule="auto" w:after="20"/>
              <w:jc w:val="left"/>
            </w:pPr>
          </w:p>
        </w:tc>
        <w:tc>
          <w:tcPr>
            <w:tcW w:type="dxa" w:w="2808"/>
          </w:tcPr>
          <w:p>
            <w:pPr>
              <w:pStyle w:val="Compact"/>
              <w:spacing w:line="240" w:lineRule="auto" w:after="20"/>
              <w:jc w:val="left"/>
            </w:pPr>
          </w:p>
        </w:tc>
      </w:tr>
      <w:tr>
        <w:tc>
          <w:tcPr>
            <w:tcW w:type="dxa" w:w="1872"/>
          </w:tcPr>
          <w:p>
            <w:pPr>
              <w:pStyle w:val="Compact"/>
              <w:spacing w:line="240" w:lineRule="auto" w:after="20"/>
              <w:jc w:val="left"/>
            </w:pPr>
            <m:oMath>
              <m:sSubSup>
                <m:e>
                  <m:r>
                    <m:t>P</m:t>
                  </m:r>
                </m:e>
                <m:sub>
                  <m:r>
                    <m:t>t</m:t>
                  </m:r>
                </m:sub>
                <m:sup>
                  <m:r>
                    <m:t>a</m:t>
                  </m:r>
                  <m:r>
                    <m:t>v</m:t>
                  </m:r>
                  <m:r>
                    <m:t>a</m:t>
                  </m:r>
                  <m:r>
                    <m:t>i</m:t>
                  </m:r>
                  <m:r>
                    <m:t>l</m:t>
                  </m:r>
                </m:sup>
              </m:sSubSup>
            </m:oMath>
          </w:p>
        </w:tc>
        <w:tc>
          <w:tcPr>
            <w:tcW w:type="dxa" w:w="4680"/>
          </w:tcPr>
          <w:p>
            <w:pPr>
              <w:pStyle w:val="Compact"/>
              <w:spacing w:line="240" w:lineRule="auto" w:after="20"/>
              <w:jc w:val="left"/>
            </w:pPr>
            <w:r>
              <w:rPr>
                <w:sz w:val="20"/>
              </w:rPr>
              <w:t xml:space="preserve">available wind farm power</w:t>
            </w:r>
          </w:p>
        </w:tc>
        <w:tc>
          <w:tcPr>
            <w:tcW w:type="dxa" w:w="2808"/>
          </w:tcPr>
          <w:p>
            <w:pPr>
              <w:pStyle w:val="Compact"/>
              <w:spacing w:line="240" w:lineRule="auto" w:after="20"/>
              <w:jc w:val="left"/>
            </w:pPr>
            <w:r>
              <w:rPr>
                <w:sz w:val="20"/>
              </w:rPr>
              <w:t xml:space="preserve">W</w:t>
            </w:r>
          </w:p>
        </w:tc>
      </w:tr>
      <w:tr>
        <w:tc>
          <w:tcPr>
            <w:tcW w:type="dxa" w:w="1872"/>
          </w:tcPr>
          <w:p>
            <w:pPr>
              <w:pStyle w:val="Compact"/>
              <w:spacing w:line="240" w:lineRule="auto" w:after="20"/>
              <w:jc w:val="left"/>
            </w:pPr>
            <m:oMath>
              <m:sSub>
                <m:e>
                  <m:r>
                    <m:t>P</m:t>
                  </m:r>
                </m:e>
                <m:sub>
                  <m:r>
                    <m:t>r</m:t>
                  </m:r>
                  <m:r>
                    <m:t>a</m:t>
                  </m:r>
                  <m:r>
                    <m:t>t</m:t>
                  </m:r>
                  <m:r>
                    <m:t>e</m:t>
                  </m:r>
                  <m:r>
                    <m:t>d</m:t>
                  </m:r>
                </m:sub>
              </m:sSub>
            </m:oMath>
            <w:r>
              <w:rPr>
                <w:sz w:val="20"/>
              </w:rPr>
              <w:t xml:space="preserve">,</w:t>
            </w:r>
            <w:r>
              <w:rPr>
                <w:sz w:val="20"/>
              </w:rPr>
              <w:t xml:space="preserve"> </w:t>
            </w:r>
            <m:oMath>
              <m:sSub>
                <m:e>
                  <m:r>
                    <m:t>P</m:t>
                  </m:r>
                </m:e>
                <m:sub>
                  <m:r>
                    <m:t>m</m:t>
                  </m:r>
                  <m:r>
                    <m:t>i</m:t>
                  </m:r>
                  <m:r>
                    <m:t>n</m:t>
                  </m:r>
                </m:sub>
              </m:sSub>
            </m:oMath>
          </w:p>
        </w:tc>
        <w:tc>
          <w:tcPr>
            <w:tcW w:type="dxa" w:w="4680"/>
          </w:tcPr>
          <w:p>
            <w:pPr>
              <w:pStyle w:val="Compact"/>
              <w:spacing w:line="240" w:lineRule="auto" w:after="20"/>
              <w:jc w:val="left"/>
            </w:pPr>
            <w:r>
              <w:rPr>
                <w:sz w:val="20"/>
              </w:rPr>
              <w:t xml:space="preserve">rated and minimum stable gas turbine power</w:t>
            </w:r>
          </w:p>
        </w:tc>
        <w:tc>
          <w:tcPr>
            <w:tcW w:type="dxa" w:w="2808"/>
          </w:tcPr>
          <w:p>
            <w:pPr>
              <w:pStyle w:val="Compact"/>
              <w:spacing w:line="240" w:lineRule="auto" w:after="20"/>
              <w:jc w:val="left"/>
            </w:pPr>
            <w:r>
              <w:rPr>
                <w:sz w:val="20"/>
              </w:rPr>
              <w:t xml:space="preserve">W</w:t>
            </w:r>
          </w:p>
        </w:tc>
      </w:tr>
      <w:tr>
        <w:tc>
          <w:tcPr>
            <w:tcW w:type="dxa" w:w="1872"/>
          </w:tcPr>
          <w:p>
            <w:pPr>
              <w:pStyle w:val="Compact"/>
              <w:spacing w:line="240" w:lineRule="auto" w:after="20"/>
              <w:jc w:val="left"/>
            </w:pPr>
            <m:oMath>
              <m:sSub>
                <m:e>
                  <m:r>
                    <m:t>η</m:t>
                  </m:r>
                </m:e>
                <m:sub>
                  <m:r>
                    <m:t>r</m:t>
                  </m:r>
                  <m:r>
                    <m:t>a</m:t>
                  </m:r>
                  <m:r>
                    <m:t>t</m:t>
                  </m:r>
                  <m:r>
                    <m:t>e</m:t>
                  </m:r>
                  <m:r>
                    <m:t>d</m:t>
                  </m:r>
                </m:sub>
              </m:sSub>
            </m:oMath>
          </w:p>
        </w:tc>
        <w:tc>
          <w:tcPr>
            <w:tcW w:type="dxa" w:w="4680"/>
          </w:tcPr>
          <w:p>
            <w:pPr>
              <w:pStyle w:val="Compact"/>
              <w:spacing w:line="240" w:lineRule="auto" w:after="20"/>
              <w:jc w:val="left"/>
            </w:pPr>
            <w:r>
              <w:rPr>
                <w:sz w:val="20"/>
              </w:rPr>
              <w:t xml:space="preserve">gas turbine electric efficiency at rated load</w:t>
            </w:r>
          </w:p>
        </w:tc>
        <w:tc>
          <w:tcPr>
            <w:tcW w:type="dxa" w:w="2808"/>
          </w:tcPr>
          <w:p>
            <w:pPr>
              <w:pStyle w:val="Compact"/>
              <w:spacing w:line="240" w:lineRule="auto" w:after="20"/>
              <w:jc w:val="left"/>
            </w:pPr>
            <w:r>
              <w:rPr>
                <w:sz w:val="20"/>
              </w:rPr>
              <w:t xml:space="preserve">–</w:t>
            </w:r>
          </w:p>
        </w:tc>
      </w:tr>
      <w:tr>
        <w:tc>
          <w:tcPr>
            <w:tcW w:type="dxa" w:w="1872"/>
          </w:tcPr>
          <w:p>
            <w:pPr>
              <w:pStyle w:val="Compact"/>
              <w:spacing w:line="240" w:lineRule="auto" w:after="20"/>
              <w:jc w:val="left"/>
            </w:pPr>
            <m:oMath>
              <m:r>
                <m:t>a</m:t>
              </m:r>
            </m:oMath>
          </w:p>
        </w:tc>
        <w:tc>
          <w:tcPr>
            <w:tcW w:type="dxa" w:w="4680"/>
          </w:tcPr>
          <w:p>
            <w:pPr>
              <w:pStyle w:val="Compact"/>
              <w:spacing w:line="240" w:lineRule="auto" w:after="20"/>
              <w:jc w:val="left"/>
            </w:pPr>
            <w:r>
              <w:rPr>
                <w:sz w:val="20"/>
              </w:rPr>
              <w:t xml:space="preserve">no-load fuel fraction of the Willans line</w:t>
            </w:r>
          </w:p>
        </w:tc>
        <w:tc>
          <w:tcPr>
            <w:tcW w:type="dxa" w:w="2808"/>
          </w:tcPr>
          <w:p>
            <w:pPr>
              <w:pStyle w:val="Compact"/>
              <w:spacing w:line="240" w:lineRule="auto" w:after="20"/>
              <w:jc w:val="left"/>
            </w:pPr>
            <w:r>
              <w:rPr>
                <w:sz w:val="20"/>
              </w:rPr>
              <w:t xml:space="preserve">–</w:t>
            </w:r>
          </w:p>
        </w:tc>
      </w:tr>
      <w:tr>
        <w:tc>
          <w:tcPr>
            <w:tcW w:type="dxa" w:w="1872"/>
          </w:tcPr>
          <w:p>
            <w:pPr>
              <w:pStyle w:val="Compact"/>
              <w:spacing w:line="240" w:lineRule="auto" w:after="20"/>
              <w:jc w:val="left"/>
            </w:pPr>
            <m:oMath>
              <m:r>
                <m:t>ϕ</m:t>
              </m:r>
            </m:oMath>
          </w:p>
        </w:tc>
        <w:tc>
          <w:tcPr>
            <w:tcW w:type="dxa" w:w="4680"/>
          </w:tcPr>
          <w:p>
            <w:pPr>
              <w:pStyle w:val="Compact"/>
              <w:spacing w:line="240" w:lineRule="auto" w:after="20"/>
              <w:jc w:val="left"/>
            </w:pPr>
            <w:r>
              <w:rPr>
                <w:sz w:val="20"/>
              </w:rPr>
              <w:t xml:space="preserve">fraction of gas turbine waste heat recovered</w:t>
            </w:r>
          </w:p>
        </w:tc>
        <w:tc>
          <w:tcPr>
            <w:tcW w:type="dxa" w:w="2808"/>
          </w:tcPr>
          <w:p>
            <w:pPr>
              <w:pStyle w:val="Compact"/>
              <w:spacing w:line="240" w:lineRule="auto" w:after="20"/>
              <w:jc w:val="left"/>
            </w:pPr>
            <w:r>
              <w:rPr>
                <w:sz w:val="20"/>
              </w:rPr>
              <w:t xml:space="preserve">–</w:t>
            </w:r>
          </w:p>
        </w:tc>
      </w:tr>
      <w:tr>
        <w:tc>
          <w:tcPr>
            <w:tcW w:type="dxa" w:w="1872"/>
          </w:tcPr>
          <w:p>
            <w:pPr>
              <w:pStyle w:val="Compact"/>
              <w:spacing w:line="240" w:lineRule="auto" w:after="20"/>
              <w:jc w:val="left"/>
            </w:pPr>
            <m:oMath>
              <m:sSubSup>
                <m:e>
                  <m:r>
                    <m:t>f</m:t>
                  </m:r>
                </m:e>
                <m:sub>
                  <m:r>
                    <m:t>w</m:t>
                  </m:r>
                  <m:r>
                    <m:t>i</m:t>
                  </m:r>
                </m:sub>
                <m:sup>
                  <m:r>
                    <m:t>t</m:t>
                  </m:r>
                  <m:r>
                    <m:t>a</m:t>
                  </m:r>
                  <m:r>
                    <m:t>r</m:t>
                  </m:r>
                  <m:r>
                    <m:t>g</m:t>
                  </m:r>
                  <m:r>
                    <m:t>e</m:t>
                  </m:r>
                  <m:r>
                    <m:t>t</m:t>
                  </m:r>
                </m:sup>
              </m:sSubSup>
            </m:oMath>
          </w:p>
        </w:tc>
        <w:tc>
          <w:tcPr>
            <w:tcW w:type="dxa" w:w="4680"/>
          </w:tcPr>
          <w:p>
            <w:pPr>
              <w:pStyle w:val="Compact"/>
              <w:spacing w:line="240" w:lineRule="auto" w:after="20"/>
              <w:jc w:val="left"/>
            </w:pPr>
            <w:r>
              <w:rPr>
                <w:sz w:val="20"/>
              </w:rPr>
              <w:t xml:space="preserve">voidage-replacement target for</w:t>
            </w:r>
            <w:r>
              <w:rPr>
                <w:sz w:val="20"/>
              </w:rPr>
              <w:t xml:space="preserve"> </w:t>
            </w:r>
            <m:oMath>
              <m:sSub>
                <m:e>
                  <m:r>
                    <m:t>f</m:t>
                  </m:r>
                </m:e>
                <m:sub>
                  <m:r>
                    <m:t>w</m:t>
                  </m:r>
                  <m:r>
                    <m:t>i</m:t>
                  </m:r>
                </m:sub>
              </m:sSub>
            </m:oMath>
          </w:p>
        </w:tc>
        <w:tc>
          <w:tcPr>
            <w:tcW w:type="dxa" w:w="2808"/>
          </w:tcPr>
          <w:p>
            <w:pPr>
              <w:pStyle w:val="Compact"/>
              <w:spacing w:line="240" w:lineRule="auto" w:after="20"/>
              <w:jc w:val="left"/>
            </w:pPr>
            <w:r>
              <w:rPr>
                <w:sz w:val="20"/>
              </w:rPr>
              <w:t xml:space="preserve">–</w:t>
            </w:r>
          </w:p>
        </w:tc>
      </w:tr>
      <w:tr>
        <w:tc>
          <w:tcPr>
            <w:tcW w:type="dxa" w:w="1872"/>
          </w:tcPr>
          <w:p>
            <w:pPr>
              <w:pStyle w:val="Compact"/>
              <w:spacing w:line="240" w:lineRule="auto" w:after="20"/>
              <w:jc w:val="left"/>
            </w:pPr>
            <m:oMath>
              <m:sSub>
                <m:e>
                  <m:r>
                    <m:t>D</m:t>
                  </m:r>
                </m:e>
                <m:sub>
                  <m:r>
                    <m:t>m</m:t>
                  </m:r>
                  <m:r>
                    <m:t>a</m:t>
                  </m:r>
                  <m:r>
                    <m:t>x</m:t>
                  </m:r>
                </m:sub>
              </m:sSub>
            </m:oMath>
          </w:p>
        </w:tc>
        <w:tc>
          <w:tcPr>
            <w:tcW w:type="dxa" w:w="4680"/>
          </w:tcPr>
          <w:p>
            <w:pPr>
              <w:pStyle w:val="Compact"/>
              <w:spacing w:line="240" w:lineRule="auto" w:after="20"/>
              <w:jc w:val="left"/>
            </w:pPr>
            <w:r>
              <w:rPr>
                <w:sz w:val="20"/>
              </w:rPr>
              <w:t xml:space="preserve">maximum injection deficit</w:t>
            </w:r>
          </w:p>
        </w:tc>
        <w:tc>
          <w:tcPr>
            <w:tcW w:type="dxa" w:w="2808"/>
          </w:tcPr>
          <w:p>
            <w:pPr>
              <w:pStyle w:val="Compact"/>
              <w:spacing w:line="240" w:lineRule="auto" w:after="20"/>
              <w:jc w:val="left"/>
            </w:pPr>
            <w:r>
              <w:rPr>
                <w:sz w:val="20"/>
              </w:rPr>
              <w:t xml:space="preserve">h</w:t>
            </w:r>
          </w:p>
        </w:tc>
      </w:tr>
      <w:tr>
        <w:tc>
          <w:tcPr>
            <w:tcW w:type="dxa" w:w="1872"/>
          </w:tcPr>
          <w:p>
            <w:pPr>
              <w:pStyle w:val="Compact"/>
              <w:spacing w:line="240" w:lineRule="auto" w:after="20"/>
              <w:jc w:val="left"/>
            </w:pPr>
            <m:oMath>
              <m:r>
                <m:t>R</m:t>
              </m:r>
            </m:oMath>
          </w:p>
        </w:tc>
        <w:tc>
          <w:tcPr>
            <w:tcW w:type="dxa" w:w="4680"/>
          </w:tcPr>
          <w:p>
            <w:pPr>
              <w:pStyle w:val="Compact"/>
              <w:spacing w:line="240" w:lineRule="auto" w:after="20"/>
              <w:jc w:val="left"/>
            </w:pPr>
            <w:r>
              <w:rPr>
                <w:sz w:val="20"/>
              </w:rPr>
              <w:t xml:space="preserve">spinning reserve requirement</w:t>
            </w:r>
          </w:p>
        </w:tc>
        <w:tc>
          <w:tcPr>
            <w:tcW w:type="dxa" w:w="2808"/>
          </w:tcPr>
          <w:p>
            <w:pPr>
              <w:pStyle w:val="Compact"/>
              <w:spacing w:line="240" w:lineRule="auto" w:after="20"/>
              <w:jc w:val="left"/>
            </w:pPr>
            <w:r>
              <w:rPr>
                <w:sz w:val="20"/>
              </w:rPr>
              <w:t xml:space="preserve">W</w:t>
            </w:r>
          </w:p>
        </w:tc>
      </w:tr>
      <w:tr>
        <w:tc>
          <w:tcPr>
            <w:tcW w:type="dxa" w:w="1872"/>
          </w:tcPr>
          <w:p>
            <w:pPr>
              <w:pStyle w:val="Compact"/>
              <w:spacing w:line="240" w:lineRule="auto" w:after="20"/>
              <w:jc w:val="left"/>
            </w:pPr>
            <m:oMath>
              <m:r>
                <m:t>H</m:t>
              </m:r>
            </m:oMath>
          </w:p>
        </w:tc>
        <w:tc>
          <w:tcPr>
            <w:tcW w:type="dxa" w:w="4680"/>
          </w:tcPr>
          <w:p>
            <w:pPr>
              <w:pStyle w:val="Compact"/>
              <w:spacing w:line="240" w:lineRule="auto" w:after="20"/>
              <w:jc w:val="left"/>
            </w:pPr>
            <w:r>
              <w:rPr>
                <w:sz w:val="20"/>
              </w:rPr>
              <w:t xml:space="preserve">process heat demand</w:t>
            </w:r>
          </w:p>
        </w:tc>
        <w:tc>
          <w:tcPr>
            <w:tcW w:type="dxa" w:w="2808"/>
          </w:tcPr>
          <w:p>
            <w:pPr>
              <w:pStyle w:val="Compact"/>
              <w:spacing w:line="240" w:lineRule="auto" w:after="20"/>
              <w:jc w:val="left"/>
            </w:pPr>
            <w:r>
              <w:rPr>
                <w:sz w:val="20"/>
              </w:rPr>
              <w:t xml:space="preserve">W</w:t>
            </w:r>
          </w:p>
        </w:tc>
      </w:tr>
      <w:tr>
        <w:tc>
          <w:tcPr>
            <w:tcW w:type="dxa" w:w="1872"/>
          </w:tcPr>
          <w:p>
            <w:pPr>
              <w:pStyle w:val="Compact"/>
              <w:spacing w:line="240" w:lineRule="auto" w:after="20"/>
              <w:jc w:val="left"/>
            </w:pPr>
            <m:oMath>
              <m:sSub>
                <m:e>
                  <m:r>
                    <m:t>v</m:t>
                  </m:r>
                </m:e>
                <m:sub>
                  <m:r>
                    <m:t>100</m:t>
                  </m:r>
                </m:sub>
              </m:sSub>
            </m:oMath>
            <w:r>
              <w:rPr>
                <w:sz w:val="20"/>
              </w:rPr>
              <w:t xml:space="preserve">,</w:t>
            </w:r>
            <w:r>
              <w:rPr>
                <w:sz w:val="20"/>
              </w:rPr>
              <w:t xml:space="preserve"> </w:t>
            </w:r>
            <m:oMath>
              <m:sSub>
                <m:e>
                  <m:r>
                    <m:t>v</m:t>
                  </m:r>
                </m:e>
                <m:sub>
                  <m:r>
                    <m:t>h</m:t>
                  </m:r>
                  <m:r>
                    <m:t>u</m:t>
                  </m:r>
                  <m:r>
                    <m:t>b</m:t>
                  </m:r>
                </m:sub>
              </m:sSub>
            </m:oMath>
          </w:p>
        </w:tc>
        <w:tc>
          <w:tcPr>
            <w:tcW w:type="dxa" w:w="4680"/>
          </w:tcPr>
          <w:p>
            <w:pPr>
              <w:pStyle w:val="Compact"/>
              <w:spacing w:line="240" w:lineRule="auto" w:after="20"/>
              <w:jc w:val="left"/>
            </w:pPr>
            <w:r>
              <w:rPr>
                <w:sz w:val="20"/>
              </w:rPr>
              <w:t xml:space="preserve">wind speed at 100 m and at hub height</w:t>
            </w:r>
          </w:p>
        </w:tc>
        <w:tc>
          <w:tcPr>
            <w:tcW w:type="dxa" w:w="2808"/>
          </w:tcPr>
          <w:p>
            <w:pPr>
              <w:pStyle w:val="Compact"/>
              <w:spacing w:line="240" w:lineRule="auto" w:after="20"/>
              <w:jc w:val="left"/>
            </w:pPr>
            <w:r>
              <w:rPr>
                <w:sz w:val="20"/>
              </w:rPr>
              <w:t xml:space="preserve">m/s</w:t>
            </w:r>
          </w:p>
        </w:tc>
      </w:tr>
      <w:tr>
        <w:tc>
          <w:tcPr>
            <w:tcW w:type="dxa" w:w="1872"/>
          </w:tcPr>
          <w:p>
            <w:pPr>
              <w:pStyle w:val="Compact"/>
              <w:spacing w:line="240" w:lineRule="auto" w:after="20"/>
              <w:jc w:val="left"/>
            </w:pPr>
            <m:oMath>
              <m:r>
                <m:t>α</m:t>
              </m:r>
            </m:oMath>
          </w:p>
        </w:tc>
        <w:tc>
          <w:tcPr>
            <w:tcW w:type="dxa" w:w="4680"/>
          </w:tcPr>
          <w:p>
            <w:pPr>
              <w:pStyle w:val="Compact"/>
              <w:spacing w:line="240" w:lineRule="auto" w:after="20"/>
              <w:jc w:val="left"/>
            </w:pPr>
            <w:r>
              <w:rPr>
                <w:sz w:val="20"/>
              </w:rPr>
              <w:t xml:space="preserve">wind shear exponent</w:t>
            </w:r>
          </w:p>
        </w:tc>
        <w:tc>
          <w:tcPr>
            <w:tcW w:type="dxa" w:w="2808"/>
          </w:tcPr>
          <w:p>
            <w:pPr>
              <w:pStyle w:val="Compact"/>
              <w:spacing w:line="240" w:lineRule="auto" w:after="20"/>
              <w:jc w:val="left"/>
            </w:pPr>
            <w:r>
              <w:rPr>
                <w:sz w:val="20"/>
              </w:rPr>
              <w:t xml:space="preserve">–</w:t>
            </w:r>
          </w:p>
        </w:tc>
      </w:tr>
    </w:tbl>
    <w:bookmarkEnd w:id="76"/>
    <w:bookmarkStart w:id="77" w:name="list-of-acronyms"/>
    <w:p>
      <w:pPr>
        <w:pStyle w:val="Heading1"/>
      </w:pPr>
      <w:r>
        <w:t xml:space="preserve">List of Acronyms</w:t>
      </w:r>
    </w:p>
    <w:tbl>
      <w:tblPr>
        <w:tblStyle w:val="Table"/>
        <w:tblW w:type="pct" w:w="5000"/>
        <w:tblLook w:firstRow="1" w:lastRow="0" w:firstColumn="0" w:lastColumn="0" w:noHBand="0" w:noVBand="0" w:val="0020"/>
        <w:jc w:val="start"/>
        <w:tblBorders>
          <w:top w:val="single" w:sz="4" w:space="0" w:color="000000"/>
          <w:bottom w:val="single" w:sz="4" w:space="0" w:color="000000"/>
          <w:left w:val="nil" w:sz="4" w:space="0" w:color="000000"/>
          <w:right w:val="nil" w:sz="4" w:space="0" w:color="000000"/>
          <w:insideH w:val="nil" w:sz="4" w:space="0" w:color="000000"/>
          <w:insideV w:val="nil" w:sz="4" w:space="0" w:color="000000"/>
        </w:tblBorders>
      </w:tblPr>
      <w:tblGrid>
        <w:gridCol w:w="1872"/>
        <w:gridCol w:w="7488"/>
      </w:tblGrid>
      <w:tr>
        <w:trPr>
          <w:tblHeader w:val="true"/>
          <w:tblHeader/>
        </w:trPr>
        <w:tc>
          <w:tcPr>
            <w:tcW w:type="dxa" w:w="1872"/>
            <w:tcBorders>
              <w:bottom w:val="single" w:sz="4" w:space="0" w:color="000000"/>
            </w:tcBorders>
          </w:tcPr>
          <w:p>
            <w:pPr>
              <w:pStyle w:val="Compact"/>
              <w:spacing w:line="240" w:lineRule="auto" w:after="20"/>
              <w:jc w:val="left"/>
            </w:pPr>
            <w:r>
              <w:rPr>
                <w:b/>
                <w:sz w:val="20"/>
              </w:rPr>
              <w:t xml:space="preserve">Acronym</w:t>
            </w:r>
          </w:p>
        </w:tc>
        <w:tc>
          <w:tcPr>
            <w:tcW w:type="dxa" w:w="7488"/>
            <w:tcBorders>
              <w:bottom w:val="single" w:sz="4" w:space="0" w:color="000000"/>
            </w:tcBorders>
          </w:tcPr>
          <w:p>
            <w:pPr>
              <w:pStyle w:val="Compact"/>
              <w:spacing w:line="240" w:lineRule="auto" w:after="20"/>
              <w:jc w:val="left"/>
            </w:pPr>
            <w:r>
              <w:rPr>
                <w:b/>
                <w:sz w:val="20"/>
              </w:rPr>
              <w:t xml:space="preserve">Meaning</w:t>
            </w:r>
          </w:p>
        </w:tc>
      </w:tr>
      <w:tr>
        <w:tc>
          <w:tcPr>
            <w:tcW w:type="dxa" w:w="1872"/>
          </w:tcPr>
          <w:p>
            <w:pPr>
              <w:pStyle w:val="Compact"/>
              <w:spacing w:line="240" w:lineRule="auto" w:after="20"/>
              <w:jc w:val="left"/>
            </w:pPr>
            <w:r>
              <w:rPr>
                <w:sz w:val="20"/>
              </w:rPr>
              <w:t xml:space="preserve">GT</w:t>
            </w:r>
          </w:p>
        </w:tc>
        <w:tc>
          <w:tcPr>
            <w:tcW w:type="dxa" w:w="7488"/>
          </w:tcPr>
          <w:p>
            <w:pPr>
              <w:pStyle w:val="Compact"/>
              <w:spacing w:line="240" w:lineRule="auto" w:after="20"/>
              <w:jc w:val="left"/>
            </w:pPr>
            <w:r>
              <w:rPr>
                <w:sz w:val="20"/>
              </w:rPr>
              <w:t xml:space="preserve">gas turbine</w:t>
            </w:r>
          </w:p>
        </w:tc>
      </w:tr>
      <w:tr>
        <w:tc>
          <w:tcPr>
            <w:tcW w:type="dxa" w:w="1872"/>
          </w:tcPr>
          <w:p>
            <w:pPr>
              <w:pStyle w:val="Compact"/>
              <w:spacing w:line="240" w:lineRule="auto" w:after="20"/>
              <w:jc w:val="left"/>
            </w:pPr>
            <w:r>
              <w:rPr>
                <w:sz w:val="20"/>
              </w:rPr>
              <w:t xml:space="preserve">LHV</w:t>
            </w:r>
          </w:p>
        </w:tc>
        <w:tc>
          <w:tcPr>
            <w:tcW w:type="dxa" w:w="7488"/>
          </w:tcPr>
          <w:p>
            <w:pPr>
              <w:pStyle w:val="Compact"/>
              <w:spacing w:line="240" w:lineRule="auto" w:after="20"/>
              <w:jc w:val="left"/>
            </w:pPr>
            <w:r>
              <w:rPr>
                <w:sz w:val="20"/>
              </w:rPr>
              <w:t xml:space="preserve">lower heating value</w:t>
            </w:r>
          </w:p>
        </w:tc>
      </w:tr>
      <w:tr>
        <w:tc>
          <w:tcPr>
            <w:tcW w:type="dxa" w:w="1872"/>
          </w:tcPr>
          <w:p>
            <w:pPr>
              <w:pStyle w:val="Compact"/>
              <w:spacing w:line="240" w:lineRule="auto" w:after="20"/>
              <w:jc w:val="left"/>
            </w:pPr>
            <w:r>
              <w:rPr>
                <w:sz w:val="20"/>
              </w:rPr>
              <w:t xml:space="preserve">MILP</w:t>
            </w:r>
          </w:p>
        </w:tc>
        <w:tc>
          <w:tcPr>
            <w:tcW w:type="dxa" w:w="7488"/>
          </w:tcPr>
          <w:p>
            <w:pPr>
              <w:pStyle w:val="Compact"/>
              <w:spacing w:line="240" w:lineRule="auto" w:after="20"/>
              <w:jc w:val="left"/>
            </w:pPr>
            <w:r>
              <w:rPr>
                <w:sz w:val="20"/>
              </w:rPr>
              <w:t xml:space="preserve">mixed-integer linear program</w:t>
            </w:r>
          </w:p>
        </w:tc>
      </w:tr>
    </w:tbl>
    <w:bookmarkEnd w:id="77"/>
    <w:bookmarkStart w:id="78" w:name="funding"/>
    <w:p>
      <w:pPr>
        <w:pStyle w:val="Heading1"/>
      </w:pPr>
      <w:r>
        <w:t xml:space="preserve">Funding</w:t>
      </w:r>
    </w:p>
    <w:p>
      <w:pPr>
        <w:pStyle w:val="FirstParagraph"/>
      </w:pPr>
      <w:r>
        <w:t xml:space="preserve">[Funding.]</w:t>
      </w:r>
    </w:p>
    <w:bookmarkEnd w:id="78"/>
    <w:bookmarkStart w:id="79" w:name="acknowledgements"/>
    <w:p>
      <w:pPr>
        <w:pStyle w:val="Heading1"/>
      </w:pPr>
      <w:r>
        <w:t xml:space="preserve">Acknowledgements</w:t>
      </w:r>
    </w:p>
    <w:p>
      <w:pPr>
        <w:pStyle w:val="FirstParagraph"/>
      </w:pPr>
      <w:r>
        <w:t xml:space="preserve">This work contains modified Copernicus Climate Change Service information (2014–2023).</w:t>
      </w:r>
    </w:p>
    <w:bookmarkEnd w:id="79"/>
    <w:bookmarkStart w:id="80" w:name="declaration-of-generative-ai-use"/>
    <w:p>
      <w:pPr>
        <w:pStyle w:val="Heading1"/>
      </w:pPr>
      <w:r>
        <w:t xml:space="preserve">Declaration of generative AI use</w:t>
      </w:r>
    </w:p>
    <w:p>
      <w:pPr>
        <w:pStyle w:val="FirstParagraph"/>
      </w:pPr>
      <w:r>
        <w:t xml:space="preserve">During the preparation of this work the author(s) used [tool name] in order to [purpose]. After using this tool, the author(s) reviewed and edited the content as needed and take(s) full responsibility for the content of the published article.</w:t>
      </w:r>
    </w:p>
    <w:bookmarkEnd w:id="80"/>
    <w:bookmarkStart w:id="81" w:name="data-and-code-availability"/>
    <w:p>
      <w:pPr>
        <w:pStyle w:val="Heading1"/>
      </w:pPr>
      <w:r>
        <w:t xml:space="preserve">Data and Code Availability</w:t>
      </w:r>
    </w:p>
    <w:p>
      <w:pPr>
        <w:pStyle w:val="FirstParagraph"/>
      </w:pPr>
      <w:r>
        <w:t xml:space="preserve">The model code, configuration with all parameters and sources, and the processed results are available at https://github.com/chilalaabubakar/fallresearch. ERA5 data are available from the Copernicus Climate Change Service.</w:t>
      </w:r>
    </w:p>
    <w:bookmarkEnd w:id="81"/>
    <w:bookmarkStart w:id="82" w:name="conflict-of-interest"/>
    <w:p>
      <w:pPr>
        <w:pStyle w:val="Heading1"/>
      </w:pPr>
      <w:r>
        <w:t xml:space="preserve">Conflict of interest</w:t>
      </w:r>
    </w:p>
    <w:p>
      <w:pPr>
        <w:pStyle w:val="FirstParagraph"/>
      </w:pPr>
      <w:r>
        <w:t xml:space="preserve">The authors declare that they have no known competing financial interests or personal relationships that could have appeared to influence the work reported in this paper.</w:t>
      </w:r>
    </w:p>
    <w:bookmarkEnd w:id="82"/>
    <w:bookmarkStart w:id="83" w:name="credit-authorship-contribution-statement"/>
    <w:p>
      <w:pPr>
        <w:pStyle w:val="Heading1"/>
      </w:pPr>
      <w:r>
        <w:t xml:space="preserve">CRediT authorship contribution statement</w:t>
      </w:r>
    </w:p>
    <w:p>
      <w:pPr>
        <w:pStyle w:val="FirstParagraph"/>
      </w:pPr>
      <w:r>
        <w:t xml:space="preserve">[Author 1]: Conceptualization, Methodology, Software, Formal analysis, Writing – original draft. [Author 2]: Supervision, Writing – review &amp; editing.</w:t>
      </w:r>
    </w:p>
    <w:bookmarkEnd w:id="83"/>
    <w:bookmarkStart w:id="84" w:name="references"/>
    <w:p>
      <w:pPr>
        <w:pStyle w:val="Heading1"/>
      </w:pPr>
      <w:r>
        <w:t xml:space="preserve">References</w:t>
      </w:r>
    </w:p>
    <w:p>
      <w:pPr>
        <w:pStyle w:val="Bibliography"/>
      </w:pPr>
      <w:r>
        <w:t xml:space="preserve">Alves EF, Sanchez S, Brandão DI, Tedeschi E (2019) Smart load management with energy storage for power quality enhancement in wind-powered oil and gas applications. Energies 12(15):2985. https://doi.org/10.3390/en12152985.</w:t>
      </w:r>
    </w:p>
    <w:p>
      <w:pPr>
        <w:pStyle w:val="Bibliography"/>
      </w:pPr>
      <w:r>
        <w:t xml:space="preserve">Bynum ML, Hackebeil GA, Hart WE, Laird CD, Nicholson BL, Siirola JD, et al. (2021) Pyomo – optimization modeling in Python. 3rd ed. Cham: Springer.</w:t>
      </w:r>
    </w:p>
    <w:p>
      <w:pPr>
        <w:pStyle w:val="Bibliography"/>
      </w:pPr>
      <w:r>
        <w:t xml:space="preserve">Dighe VV, Huang L-J, Hernandez Montfort J, Serraris J-J (2024) Improving O&amp;M simulations by integrating vessel motions for floating wind farms. J Mar Sci Eng 12(11):1948. https://doi.org/10.3390/jmse12111948.</w:t>
      </w:r>
    </w:p>
    <w:p>
      <w:pPr>
        <w:pStyle w:val="Bibliography"/>
      </w:pPr>
      <w:r>
        <w:t xml:space="preserve">DNV GL (2016) WIN WIN – wind-powered water injection: joint industry project, phase 1 results [news release, Offshore Technology Conference].</w:t>
      </w:r>
    </w:p>
    <w:p>
      <w:pPr>
        <w:pStyle w:val="Bibliography"/>
      </w:pPr>
      <w:r>
        <w:t xml:space="preserve">Equinor (2023) The world’s largest floating offshore wind farm officially opened [press release]. 23 August 2023. https://www.equinor.com/news/20230823-hywind-tampen-officially-opened.</w:t>
      </w:r>
    </w:p>
    <w:p>
      <w:pPr>
        <w:pStyle w:val="Bibliography"/>
      </w:pPr>
      <w:r>
        <w:t xml:space="preserve">Gaertner E, Rinker J, Sethuraman L, Zahle F, Anderson B, Barter G, et al. (2020) Definition of the IEA 15-megawatt offshore reference wind turbine. Technical Report NREL/TP-5000-75698. Golden, CO: National Renewable Energy Laboratory.</w:t>
      </w:r>
    </w:p>
    <w:p>
      <w:pPr>
        <w:pStyle w:val="Bibliography"/>
      </w:pPr>
      <w:r>
        <w:t xml:space="preserve">Golmohamadi H (2022) Demand-side management in industrial sector: a review of heavy industries. Renew Sustain Energy Rev 156:111963.</w:t>
      </w:r>
    </w:p>
    <w:p>
      <w:pPr>
        <w:pStyle w:val="Bibliography"/>
      </w:pPr>
      <w:r>
        <w:t xml:space="preserve">He W, Jacobsen G, Anderson T, Olsen F, Hanson TD, Korpås M, et al. (2010) The potential of integrating wind power with offshore oil and gas platforms. Wind Eng 34(2):125–37.</w:t>
      </w:r>
    </w:p>
    <w:p>
      <w:pPr>
        <w:pStyle w:val="Bibliography"/>
      </w:pPr>
      <w:r>
        <w:t xml:space="preserve">Hersbach H, Bell B, Berrisford P, Hirahara S, Horányi A, Muñoz-Sabater J, et al. (2020) The ERA5 global reanalysis. Q J R Meteorol Soc 146:1999–2049. https://doi.org/10.1002/qj.3803.</w:t>
      </w:r>
    </w:p>
    <w:p>
      <w:pPr>
        <w:pStyle w:val="Bibliography"/>
      </w:pPr>
      <w:r>
        <w:t xml:space="preserve">Hsu SA, Meindl EA, Gilhousen DB (1994) Determining the power-law wind-profile exponent under near-neutral stability conditions at sea. J Appl Meteorol 33:757–65.</w:t>
      </w:r>
    </w:p>
    <w:p>
      <w:pPr>
        <w:pStyle w:val="Bibliography"/>
      </w:pPr>
      <w:r>
        <w:t xml:space="preserve">Huangfu Q, Hall JAJ (2018) Parallelizing the dual revised simplex method. Math Program Comput 10:119–42. https://doi.org/10.1007/s12532-017-0130-5.</w:t>
      </w:r>
    </w:p>
    <w:p>
      <w:pPr>
        <w:pStyle w:val="Bibliography"/>
      </w:pPr>
      <w:r>
        <w:t xml:space="preserve">ISO 6976:2016 (2016) Natural gas – Calculation of calorific values, density, relative density and Wobbe indices from composition. Geneva: International Organization for Standardization.</w:t>
      </w:r>
    </w:p>
    <w:p>
      <w:pPr>
        <w:pStyle w:val="Bibliography"/>
      </w:pPr>
      <w:r>
        <w:t xml:space="preserve">Khan KS, Sousa ML, Santos GB, Monaro RM, Salles MBC (2022) Flexibility analysis of O&amp;G platform power system with wind energy integration. J Phys Conf Ser 2362:012021. https://doi.org/10.1088/1742-6596/2362/1/012021.</w:t>
      </w:r>
    </w:p>
    <w:p>
      <w:pPr>
        <w:pStyle w:val="Bibliography"/>
      </w:pPr>
      <w:r>
        <w:t xml:space="preserve">Marvik JI, Øyslebø EV, Korpås M (2013) Electrification of offshore petroleum installations with offshore wind integration. Renew Energy 50:558–64. https://doi.org/10.1016/j.renene.2012.07.010.</w:t>
      </w:r>
    </w:p>
    <w:p>
      <w:pPr>
        <w:pStyle w:val="Bibliography"/>
      </w:pPr>
      <w:r>
        <w:t xml:space="preserve">Nguyen T-V, Pierobon L, Elmegaard B, Haglind F, Breuhaus P, Voldsund M (2013) Exergetic assessment of energy systems on North Sea oil and gas platforms. Energy 62:23–36. https://doi.org/10.1016/j.energy.2013.03.011.</w:t>
      </w:r>
    </w:p>
    <w:p>
      <w:pPr>
        <w:pStyle w:val="Bibliography"/>
      </w:pPr>
      <w:r>
        <w:t xml:space="preserve">Nilsen MM, Lorentzen RJ, Leeuwenburgh O, Stordal AS, Barros E (2025a) Closed-loop workflow for short-term optimization of wind-powered reservoir management. Clean Energy Syst 12:100213.</w:t>
      </w:r>
    </w:p>
    <w:p>
      <w:pPr>
        <w:pStyle w:val="Bibliography"/>
      </w:pPr>
      <w:r>
        <w:t xml:space="preserve">Nilsen MM, Lorentzen RJ, Stordal AS, Leeuwenburgh O, Barros E (2025b) Wind-powered reservoir management with application to robust multi-objective optimization. Comput Geosci 29:29. https://doi.org/10.1007/s10596-025-10370-w.</w:t>
      </w:r>
    </w:p>
    <w:p>
      <w:pPr>
        <w:pStyle w:val="Bibliography"/>
      </w:pPr>
      <w:r>
        <w:t xml:space="preserve">Norwegian Environment Agency (n.d.) Norskeutslipp – emissions from Gullfaks, Snorre and Statfjord, 2021–2024. https://www.norskeutslipp.no [accessed DATE].</w:t>
      </w:r>
    </w:p>
    <w:p>
      <w:pPr>
        <w:pStyle w:val="Bibliography"/>
      </w:pPr>
      <w:r>
        <w:t xml:space="preserve">Norwegian Ministry of Climate and Environment (2021) Meld. St. 13 (2020–2021) Klimaplan for 2021–2030 [Climate plan for 2021–2030]. Oslo.</w:t>
      </w:r>
    </w:p>
    <w:p>
      <w:pPr>
        <w:pStyle w:val="Bibliography"/>
      </w:pPr>
      <w:r>
        <w:t xml:space="preserve">Norwegian Ministry of Energy, Norwegian Offshore Directorate (n.d.) Emissions to air. Norskpetroleum.no. https://www.norskpetroleum.no/en/environment-and-technology/emissions-to-air/ [accessed DATE].</w:t>
      </w:r>
    </w:p>
    <w:p>
      <w:pPr>
        <w:pStyle w:val="Bibliography"/>
      </w:pPr>
      <w:r>
        <w:t xml:space="preserve">Norwegian Offshore Directorate (2025) New report about power from shore [news and report]. 2025. https://www.sodir.no/en/whats-new/news/general-news/2025/new-report-about-power-from-shore [accessed DATE].</w:t>
      </w:r>
    </w:p>
    <w:p>
      <w:pPr>
        <w:pStyle w:val="Bibliography"/>
      </w:pPr>
      <w:r>
        <w:t xml:space="preserve">Norwegian Offshore Directorate (n.d.a) FactPages – field production, yearly. https://factpages.sodir.no [accessed DATE].</w:t>
      </w:r>
    </w:p>
    <w:p>
      <w:pPr>
        <w:pStyle w:val="Bibliography"/>
      </w:pPr>
      <w:r>
        <w:t xml:space="preserve">Norwegian Offshore Directorate (n.d.b) Power from shore – summary. https://www.sodir.no/en/whats-new/publications/reports/power-from-shore/summary/ [accessed DATE].</w:t>
      </w:r>
    </w:p>
    <w:p>
      <w:pPr>
        <w:pStyle w:val="Bibliography"/>
      </w:pPr>
      <w:r>
        <w:t xml:space="preserve">Norwegian Offshore Wind (2025) Hywind Tampen capacity factor, first quarter 2025 [news item].</w:t>
      </w:r>
    </w:p>
    <w:p>
      <w:pPr>
        <w:pStyle w:val="Bibliography"/>
      </w:pPr>
      <w:r>
        <w:t xml:space="preserve">Norwegian Petroleum Directorate (n.d.) Estimating abatement cost curves for power from shore [conference abstract]. International Association for Energy Economics (IAEE) conference proceedings. https://iaee.org/en/publications/proceedingsabstractpdf.aspx?id=12947 [accessed DATE].</w:t>
      </w:r>
    </w:p>
    <w:p>
      <w:pPr>
        <w:pStyle w:val="Bibliography"/>
      </w:pPr>
      <w:r>
        <w:t xml:space="preserve">Norwegian Petroleum Directorate, Norwegian Water Resources and Energy Directorate, Petroleum Safety Authority Norway, Norwegian Environment Agency (2020) Kraft fra land til norsk sokkel [Power from shore to the Norwegian shelf]. Stavanger.</w:t>
      </w:r>
    </w:p>
    <w:p>
      <w:pPr>
        <w:pStyle w:val="Bibliography"/>
      </w:pPr>
      <w:r>
        <w:t xml:space="preserve">Offshore Norge (2024) Climate and environmental report 2024. Stavanger: Offshore Norge.</w:t>
      </w:r>
    </w:p>
    <w:p>
      <w:pPr>
        <w:pStyle w:val="Bibliography"/>
      </w:pPr>
      <w:r>
        <w:t xml:space="preserve">Riboldi L, Nord LO (2018) Offshore power plants integrating a wind farm: design optimisation and techno-economic assessment based on surrogate modelling. Processes 6(12):249. https://doi.org/10.3390/pr6120249.</w:t>
      </w:r>
    </w:p>
    <w:p>
      <w:pPr>
        <w:pStyle w:val="Bibliography"/>
      </w:pPr>
      <w:r>
        <w:t xml:space="preserve">Sanchez S, Tedeschi E, Silva J, Jafar M, Marichalar A (2017) Smart load management of water injection systems in offshore oil and gas platforms integrating wind power. IET Renew Power Gener 11(9):1153–62. https://doi.org/10.1049/iet-rpg.2016.0989.</w:t>
      </w:r>
    </w:p>
    <w:p>
      <w:pPr>
        <w:pStyle w:val="Bibliography"/>
      </w:pPr>
      <w:r>
        <w:t xml:space="preserve">Sharqawy MH, Lienhard JH, Zubair SM (2010) Thermophysical properties of seawater: a review of existing correlations and data. Desalin Water Treat 16:354–80. https://doi.org/10.5004/dwt.2010.1079.</w:t>
      </w:r>
    </w:p>
    <w:p>
      <w:pPr>
        <w:pStyle w:val="Bibliography"/>
      </w:pPr>
      <w:r>
        <w:t xml:space="preserve">Solar Turbines (n.d.) Mars 100 – oil and gas power generation package: ISO rating 11,350 kWe, heat rate 10,935 kJ/kWe-h. https://www.solarturbines.com/en_US/products/oil-and-gas-power-generation-packages/mars-100.html [accessed 27 October 2026].</w:t>
      </w:r>
    </w:p>
    <w:p>
      <w:pPr>
        <w:pStyle w:val="Bibliography"/>
      </w:pPr>
      <w:r>
        <w:t xml:space="preserve">Solbraa E (n.d.) NeqSim – Non-Equilibrium Simulator, an open-source library for thermodynamic and process calculations. https://github.com/equinor/neqsim.</w:t>
      </w:r>
    </w:p>
    <w:p>
      <w:pPr>
        <w:pStyle w:val="Bibliography"/>
      </w:pPr>
      <w:r>
        <w:t xml:space="preserve">Statoil (2017) Johan Castberg – plan for utbygging og drift, del II: konsekvensutredning [Plan for development and operation, part II: impact assessment]. Stavanger: Statoil.</w:t>
      </w:r>
    </w:p>
    <w:p>
      <w:pPr>
        <w:pStyle w:val="Bibliography"/>
      </w:pPr>
      <w:r>
        <w:t xml:space="preserve">Svendsen HG (2022) Optimised operation of low-emission offshore oil and gas platform integrated energy systems. arXiv:2202.05072 [preprint].</w:t>
      </w:r>
    </w:p>
    <w:p>
      <w:pPr>
        <w:pStyle w:val="Bibliography"/>
      </w:pPr>
      <w:r>
        <w:t xml:space="preserve">Svendsen HG, Vrana TK, Holdyk A, Schümann H (2023) The Low Emission Oil and Gas Open reference platform – an off-grid energy system for renewable integration studies. IET Energy Syst Integr 5(1):66–79. https://doi.org/10.1049/esi2.12085.</w:t>
      </w:r>
    </w:p>
    <w:p>
      <w:pPr>
        <w:pStyle w:val="Bibliography"/>
      </w:pPr>
      <w:r>
        <w:t xml:space="preserve">Voldsund M, Ertesvåg IS, He W, Kjelstrup S (2013) Exergy analysis of the oil and gas processing on a North Sea oil platform a real production day. Energy 55:716–27. https://doi.org/10.1016/j.energy.2013.02.038.</w:t>
      </w:r>
    </w:p>
    <w:p>
      <w:pPr>
        <w:pStyle w:val="Bibliography"/>
      </w:pPr>
      <w:r>
        <w:t xml:space="preserve">Voldsund M, Nguyen T-V, Elmegaard B, Ertesvåg IS, Røsjorde A, Jøssang K, et al. (2014) Exergy destruction and losses on four North Sea offshore platforms: a comparative study of the oil and gas processing plants. Energy 74:45–58. https://doi.org/10.1016/j.energy.2014.02.080.</w:t>
      </w:r>
    </w:p>
    <w:p>
      <w:pPr>
        <w:pStyle w:val="Bibliography"/>
      </w:pPr>
      <w:r>
        <w:t xml:space="preserve">Westwood Global Energy Group (2022) Analysis of electrification and emissions on the Norwegian continental shelf.</w:t>
      </w:r>
    </w:p>
    <w:p>
      <w:pPr>
        <w:pStyle w:val="Bibliography"/>
      </w:pPr>
      <w:r>
        <w:t xml:space="preserve">Zhang H, Tomasgard A, Knudsen BR, Svendsen HG, Bakker SJ, Grossmann IE (2022) Modelling and analysis of offshore energy hubs. Energy 261:125219.</w:t>
      </w:r>
    </w:p>
    <w:p>
      <w:pPr>
        <w:pStyle w:val="Bibliography"/>
      </w:pPr>
      <w:r>
        <w:t xml:space="preserve">Zhang Q, Grossmann IE (2016) Enterprise-wide optimization for industrial demand side management: fundamentals, advances, and perspectives. Chem Eng Res Des 116:114–31.</w:t>
      </w:r>
    </w:p>
    <w:bookmarkEnd w:id="84"/>
    <w:sectPr>
      <w:footerReference r:id="rId9" w:type="default"/>
      <w:pgSz w:h="15840" w:w="12240"/>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360" w:lineRule="auto"/>
      <w:jc w:val="both"/>
    </w:pPr>
    <w:rPr>
      <w:rFonts w:ascii="Times New Roman" w:cs="Times New Roman" w:eastAsia="Times New Roman" w:hAnsi="Times New Roman"/>
      <w:color w:val="000000"/>
      <w:sz w:val="20"/>
    </w:rPr>
  </w:style>
  <w:style w:styleId="BodyText" w:type="paragraph">
    <w:name w:val="Body Text"/>
    <w:basedOn w:val="Normal"/>
    <w:link w:val="BodyTextChar"/>
    <w:pPr>
      <w:spacing w:after="120" w:before="0" w:line="360" w:lineRule="auto"/>
      <w:jc w:val="both"/>
    </w:pPr>
    <w:qFormat/>
    <w:rPr>
      <w:rFonts w:ascii="Times New Roman" w:cs="Times New Roman" w:eastAsia="Times New Roman" w:hAnsi="Times New Roman"/>
      <w:color w:val="000000"/>
      <w:sz w:val="20"/>
    </w:rPr>
  </w:style>
  <w:style w:customStyle="1" w:styleId="FirstParagraph" w:type="paragraph">
    <w:name w:val="First Paragraph"/>
    <w:basedOn w:val="BodyText"/>
    <w:next w:val="BodyText"/>
    <w:qFormat/>
    <w:pPr>
      <w:spacing w:after="120" w:before="0" w:line="360" w:lineRule="auto"/>
      <w:jc w:val="both"/>
    </w:pPr>
    <w:rPr>
      <w:rFonts w:ascii="Times New Roman" w:cs="Times New Roman" w:eastAsia="Times New Roman" w:hAnsi="Times New Roman"/>
      <w:color w:val="000000"/>
      <w:sz w:val="20"/>
    </w:rPr>
  </w:style>
  <w:style w:customStyle="1" w:styleId="Compact" w:type="paragraph">
    <w:name w:val="Compact"/>
    <w:basedOn w:val="BodyText"/>
    <w:qFormat/>
    <w:pPr>
      <w:spacing w:after="40" w:before="0" w:line="360" w:lineRule="auto"/>
      <w:jc w:val="both"/>
    </w:pPr>
    <w:rPr>
      <w:rFonts w:ascii="Times New Roman" w:cs="Times New Roman" w:eastAsia="Times New Roman" w:hAnsi="Times New Roman"/>
      <w:color w:val="000000"/>
      <w:sz w:val="20"/>
    </w:rPr>
  </w:style>
  <w:style w:styleId="Title" w:type="paragraph">
    <w:name w:val="Title"/>
    <w:basedOn w:val="Normal"/>
    <w:next w:val="BodyText"/>
    <w:qFormat/>
    <w:pPr>
      <w:keepNext/>
      <w:keepLines/>
      <w:spacing w:after="240" w:before="0" w:line="360" w:lineRule="auto"/>
      <w:jc w:val="left"/>
    </w:pPr>
    <w:rPr>
      <w:rFonts w:ascii="Times New Roman" w:cs="Times New Roman" w:eastAsia="Times New Roman" w:hAnsi="Times New Roman"/>
      <w:b/>
      <w:bCs/>
      <w:color w:val="000000"/>
      <w:sz w:val="20"/>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spacing w:after="120" w:before="120" w:line="360" w:lineRule="auto"/>
      <w:jc w:val="left"/>
    </w:pPr>
    <w:rPr>
      <w:rFonts w:ascii="Times New Roman" w:cs="Times New Roman" w:eastAsia="Times New Roman" w:hAnsi="Times New Roman"/>
      <w:color w:val="000000"/>
      <w:sz w:val="20"/>
    </w:rPr>
  </w:style>
  <w:style w:styleId="Date" w:type="paragraph">
    <w:name w:val="Date"/>
    <w:next w:val="BodyText"/>
    <w:qFormat/>
    <w:pPr>
      <w:keepNext/>
      <w:keepLines/>
      <w:jc w:val="center"/>
    </w:pPr>
    <w:rPr>
      <w:rFonts w:ascii="Times New Roman" w:cs="Times New Roman" w:eastAsia="Times New Roman" w:hAnsi="Times New Roman"/>
      <w:color w:val="000000"/>
      <w:sz w:val="20"/>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rFonts w:ascii="Times New Roman" w:cs="Times New Roman" w:eastAsia="Times New Roman" w:hAnsi="Times New Roman"/>
      <w:color w:val="000000"/>
      <w:sz w:val="20"/>
      <w:szCs w:val="20"/>
    </w:rPr>
  </w:style>
  <w:style w:styleId="Bibliography" w:type="paragraph">
    <w:name w:val="Bibliography"/>
    <w:basedOn w:val="Normal"/>
    <w:next w:val="Bibliography"/>
    <w:qFormat/>
    <w:pPr>
      <w:spacing w:after="80" w:before="0" w:line="360" w:lineRule="auto"/>
      <w:ind w:hanging="454" w:left="454"/>
      <w:jc w:val="left"/>
    </w:pPr>
    <w:rPr>
      <w:rFonts w:ascii="Times New Roman" w:cs="Times New Roman" w:eastAsia="Times New Roman" w:hAnsi="Times New Roman"/>
      <w:color w:val="000000"/>
      <w:sz w:val="20"/>
    </w:rPr>
  </w:style>
  <w:style w:styleId="Heading1" w:type="paragraph">
    <w:name w:val="Heading 1"/>
    <w:basedOn w:val="Normal"/>
    <w:next w:val="BodyText"/>
    <w:uiPriority w:val="9"/>
    <w:qFormat/>
    <w:pPr>
      <w:keepNext/>
      <w:keepLines/>
      <w:spacing w:after="120" w:before="280" w:line="360" w:lineRule="auto"/>
      <w:jc w:val="left"/>
      <w:outlineLvl w:val="0"/>
    </w:pPr>
    <w:rPr>
      <w:rFonts w:ascii="Times New Roman" w:cs="Times New Roman" w:eastAsia="Times New Roman" w:hAnsi="Times New Roman"/>
      <w:b/>
      <w:bCs/>
      <w:i w:val="0"/>
      <w:color w:val="000000"/>
      <w:sz w:val="20"/>
      <w:szCs w:val="32"/>
    </w:rPr>
  </w:style>
  <w:style w:styleId="Heading2" w:type="paragraph">
    <w:name w:val="Heading 2"/>
    <w:basedOn w:val="Normal"/>
    <w:next w:val="BodyText"/>
    <w:uiPriority w:val="9"/>
    <w:unhideWhenUsed/>
    <w:qFormat/>
    <w:pPr>
      <w:keepNext/>
      <w:keepLines/>
      <w:spacing w:after="120" w:before="200" w:line="360" w:lineRule="auto"/>
      <w:jc w:val="left"/>
      <w:outlineLvl w:val="1"/>
    </w:pPr>
    <w:rPr>
      <w:rFonts w:ascii="Times New Roman" w:cs="Times New Roman" w:eastAsia="Times New Roman" w:hAnsi="Times New Roman"/>
      <w:b/>
      <w:bCs/>
      <w:i w:val="0"/>
      <w:color w:val="000000"/>
      <w:sz w:val="20"/>
      <w:szCs w:val="28"/>
    </w:rPr>
  </w:style>
  <w:style w:styleId="Heading3" w:type="paragraph">
    <w:name w:val="Heading 3"/>
    <w:basedOn w:val="Normal"/>
    <w:next w:val="BodyText"/>
    <w:uiPriority w:val="9"/>
    <w:unhideWhenUsed/>
    <w:qFormat/>
    <w:pPr>
      <w:keepNext/>
      <w:keepLines/>
      <w:spacing w:after="120" w:before="160" w:line="360" w:lineRule="auto"/>
      <w:jc w:val="left"/>
      <w:outlineLvl w:val="2"/>
    </w:pPr>
    <w:rPr>
      <w:rFonts w:ascii="Times New Roman" w:cs="Times New Roman" w:eastAsia="Times New Roman" w:hAnsi="Times New Roman"/>
      <w:b/>
      <w:bCs/>
      <w:i w:val="0"/>
      <w:color w:val="000000"/>
      <w:sz w:val="20"/>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20" w:before="0" w:line="360" w:lineRule="auto"/>
      <w:ind w:left="480" w:right="480"/>
      <w:jc w:val="both"/>
    </w:pPr>
    <w:rPr>
      <w:rFonts w:ascii="Times New Roman" w:cs="Times New Roman" w:eastAsia="Times New Roman" w:hAnsi="Times New Roman"/>
      <w:color w:val="000000"/>
      <w:sz w:val="20"/>
    </w:rPr>
  </w:style>
  <w:style w:styleId="FootnoteText" w:type="paragraph">
    <w:name w:val="Footnote Text"/>
    <w:basedOn w:val="Normal"/>
    <w:next w:val="FootnoteText"/>
    <w:uiPriority w:val="9"/>
    <w:unhideWhenUsed/>
    <w:qFormat/>
    <w:rPr>
      <w:rFonts w:ascii="Times New Roman" w:cs="Times New Roman" w:eastAsia="Times New Roman" w:hAnsi="Times New Roman"/>
      <w:color w:val="000000"/>
      <w:sz w:val="20"/>
    </w:rPr>
  </w:style>
  <w:style w:default="1" w:styleId="DefaultParagraphFont" w:type="character">
    <w:name w:val="Default Paragraph Font"/>
    <w:semiHidden/>
    <w:unhideWhenUsed/>
  </w:style>
  <w:style w:default="1" w:styleId="Table" w:type="table">
    <w:name w:val="Table"/>
    <w:basedOn w:val="TableNormal"/>
    <w:semiHidden/>
    <w:unhideWhenUsed/>
    <w:qFormat/>
    <w:rPr>
      <w:rFonts w:ascii="Times New Roman" w:cs="Times New Roman" w:eastAsia="Times New Roman" w:hAnsi="Times New Roman"/>
      <w:color w:val="000000"/>
      <w:sz w:val="20"/>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rPr>
      <w:rFonts w:ascii="Times New Roman" w:cs="Times New Roman" w:eastAsia="Times New Roman" w:hAnsi="Times New Roman"/>
      <w:color w:val="000000"/>
      <w:sz w:val="20"/>
    </w:rPr>
  </w:style>
  <w:style w:customStyle="1" w:styleId="ImageCaption" w:type="paragraph">
    <w:name w:val="Image Caption"/>
    <w:basedOn w:val="Caption"/>
    <w:rPr>
      <w:rFonts w:ascii="Times New Roman" w:cs="Times New Roman" w:eastAsia="Times New Roman" w:hAnsi="Times New Roman"/>
      <w:color w:val="000000"/>
      <w:sz w:val="20"/>
    </w:rPr>
  </w:style>
  <w:style w:customStyle="1" w:styleId="Figure" w:type="paragraph">
    <w:name w:val="Figure"/>
    <w:basedOn w:val="Normal"/>
    <w:pPr>
      <w:keepNext/>
      <w:spacing w:after="0" w:before="120" w:line="240" w:lineRule="auto"/>
      <w:jc w:val="center"/>
    </w:pPr>
    <w:rPr>
      <w:rFonts w:ascii="Times New Roman" w:cs="Times New Roman" w:eastAsia="Times New Roman" w:hAnsi="Times New Roman"/>
      <w:color w:val="000000"/>
      <w:sz w:val="20"/>
    </w:rPr>
  </w:style>
  <w:style w:customStyle="1" w:styleId="CaptionedFigure" w:type="paragraph">
    <w:name w:val="Captioned Figure"/>
    <w:basedOn w:val="Figure"/>
    <w:pPr>
      <w:keepNext/>
    </w:pPr>
    <w:rPr>
      <w:rFonts w:ascii="Times New Roman" w:cs="Times New Roman" w:eastAsia="Times New Roman" w:hAnsi="Times New Roman"/>
      <w:color w:val="000000"/>
      <w:sz w:val="20"/>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u w:val="non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Affiliation" w:type="paragraph">
    <w:name w:val="Affiliation"/>
    <w:basedOn w:val="Normal"/>
    <w:pPr>
      <w:spacing w:after="80" w:before="0" w:line="360" w:lineRule="auto"/>
      <w:jc w:val="left"/>
    </w:pPr>
    <w:rPr>
      <w:rFonts w:ascii="Times New Roman" w:cs="Times New Roman" w:eastAsia="Times New Roman" w:hAnsi="Times New Roman"/>
      <w:i/>
      <w:color w:val="000000"/>
      <w:sz w:val="20"/>
    </w:rPr>
  </w:style>
  <w:style w:customStyle="1" w:styleId="FigureCaption" w:type="paragraph">
    <w:name w:val="Figure Caption"/>
    <w:basedOn w:val="Normal"/>
    <w:pPr>
      <w:spacing w:after="200" w:before="80" w:line="360" w:lineRule="auto"/>
      <w:jc w:val="both"/>
    </w:pPr>
    <w:rPr>
      <w:rFonts w:ascii="Times New Roman" w:cs="Times New Roman" w:eastAsia="Times New Roman" w:hAnsi="Times New Roman"/>
      <w:color w:val="000000"/>
      <w:sz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 Id="rId21" Type="http://schemas.openxmlformats.org/officeDocument/2006/relationships/image" Target="media/rId21.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 Id="rId44" Type="http://schemas.openxmlformats.org/officeDocument/2006/relationships/image" Target="media/rId44.png"/><Relationship Id="rId47" Type="http://schemas.openxmlformats.org/officeDocument/2006/relationships/image" Target="media/rId47.png"/><Relationship Id="rId51" Type="http://schemas.openxmlformats.org/officeDocument/2006/relationships/image" Target="media/rId51.png"/><Relationship Id="rId59" Type="http://schemas.openxmlformats.org/officeDocument/2006/relationships/image" Target="media/rId59.png"/><Relationship Id="rId64" Type="http://schemas.openxmlformats.org/officeDocument/2006/relationships/image" Target="media/rId64.png"/><Relationship Id="rId55" Type="http://schemas.openxmlformats.org/officeDocument/2006/relationships/image" Target="media/rId5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Flexible top-side load scheduling on a wind-powered offshore oil platform: effects on gas turbine fuel use and CO2 emissions</dc:title>
  <dc:creator/>
  <cp:keywords/>
  <dcterms:created xsi:type="dcterms:W3CDTF">2026-10-29T12:13:48Z</dcterms:created>
  <dcterms:modified xsi:type="dcterms:W3CDTF">2026-10-29T12:13:48Z</dcterms:modified>
</cp:coreProperties>
</file>

<file path=docProps/custom.xml><?xml version="1.0" encoding="utf-8"?>
<Properties xmlns="http://schemas.openxmlformats.org/officeDocument/2006/custom-properties" xmlns:vt="http://schemas.openxmlformats.org/officeDocument/2006/docPropsVTypes"/>
</file>