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top-side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Abubakar Juma Chilala</w:t>
      </w:r>
      <w:r>
        <w:rPr>
          <w:vertAlign w:val="superscript"/>
        </w:rPr>
        <w:t xml:space="preserve">a,b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College of Engineering, Carnegie Mellon University Africa, Carnegie Mellon University, Pittsburgh, PA, 15213, USA</w:t>
      </w:r>
    </w:p>
    <w:p>
      <w:pPr>
        <w:pStyle w:val="Affiliation"/>
      </w:pPr>
      <w:r>
        <w:rPr>
          <w:vertAlign w:val="superscript"/>
        </w:rPr>
        <w:t xml:space="preserve">b</w:t>
      </w:r>
    </w:p>
    <w:p>
      <w:pPr>
        <w:pStyle w:val="BodyText"/>
      </w:pPr>
      <w:r>
        <w:t xml:space="preserve">Corresponding author: achilala@andrew.cmu.edu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Here, the electric demand of a</w:t>
      </w:r>
      <w:r>
        <w:t xml:space="preserve"> </w:t>
      </w:r>
      <w:r>
        <w:t xml:space="preserve">generic North Sea oil platform was mapped with a steady-state process model,</w:t>
      </w:r>
      <w:r>
        <w:t xml:space="preserve"> </w:t>
      </w:r>
      <w:r>
        <w:t xml:space="preserve">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  <w:r>
        <w:t xml:space="preserve"> </w:t>
      </w:r>
      <w:r>
        <w:t xml:space="preserve">by 49 %. Flexible scheduling cuts them by a further 11 % (7.2 kt/yr) without</w:t>
      </w:r>
      <w:r>
        <w:t xml:space="preserve"> </w:t>
      </w:r>
      <w:r>
        <w:t xml:space="preserve">lost production, mostly because a second gas turbine is avoided: the hours</w:t>
      </w:r>
      <w:r>
        <w:t xml:space="preserve"> </w:t>
      </w:r>
      <w:r>
        <w:t xml:space="preserve">with two turbines online fall from 1,702 to 28. Over ten weather years it</w:t>
      </w:r>
      <w:r>
        <w:t xml:space="preserve"> </w:t>
      </w:r>
      <w:r>
        <w:t xml:space="preserve">ranges from 10.5 to 11.7 %. About 24 h of deferrable injection captures it,</w:t>
      </w:r>
      <w:r>
        <w:t xml:space="preserve"> </w:t>
      </w:r>
      <w:r>
        <w:t xml:space="preserve">and a small added gas turbine is complementary, whereas operating rules that</w:t>
      </w:r>
      <w:r>
        <w:t xml:space="preserve"> </w:t>
      </w:r>
      <w:r>
        <w:t xml:space="preserve">keep two gas turbines online remove most of the gain. With two gas turbines</w:t>
      </w:r>
      <w:r>
        <w:t xml:space="preserve"> </w:t>
      </w:r>
      <w:r>
        <w:t xml:space="preserve">online, as the operator’s estimate assumes, the model matches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(Norwegian Petroleum Directorate et al. 2020),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optimized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optimization. The</w:t>
      </w:r>
      <w:r>
        <w:t xml:space="preserve"> </w:t>
      </w:r>
      <w:r>
        <w:t xml:space="preserve">open-source tool Oogeso optimizes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Water injection has already been proposed as a controllable load for</w:t>
      </w:r>
      <w:r>
        <w:t xml:space="preserve"> </w:t>
      </w:r>
      <w:r>
        <w:t xml:space="preserve">wind-powered platforms. Sanchez et al. (2017) used variable-speed</w:t>
      </w:r>
      <w:r>
        <w:t xml:space="preserve"> </w:t>
      </w:r>
      <w:r>
        <w:t xml:space="preserve">injection pumps to smooth short-term wind power fluctuations and to damp</w:t>
      </w:r>
      <w:r>
        <w:t xml:space="preserve"> </w:t>
      </w:r>
      <w:r>
        <w:t xml:space="preserve">low-frequency oscillations of the platform grid, and Alves et al. (2019)</w:t>
      </w:r>
      <w:r>
        <w:t xml:space="preserve"> </w:t>
      </w:r>
      <w:r>
        <w:t xml:space="preserve">combined such load management with energy storage to improve power quality.</w:t>
      </w:r>
      <w:r>
        <w:t xml:space="preserve"> </w:t>
      </w:r>
      <w:r>
        <w:t xml:space="preserve">The WIN WIN joint industry project found a stand-alone floating wind turbine</w:t>
      </w:r>
      <w:r>
        <w:t xml:space="preserve"> </w:t>
      </w:r>
      <w:r>
        <w:t xml:space="preserve">that drives water injection directly to be technically feasible (DNV 2016).</w:t>
      </w:r>
      <w:r>
        <w:t xml:space="preserve"> </w:t>
      </w:r>
      <w:r>
        <w:t xml:space="preserve">On the reservoir side, Nilsen et al. (Nilsen et al. 2025b, 2025a) optimized</w:t>
      </w:r>
      <w:r>
        <w:t xml:space="preserve"> </w:t>
      </w:r>
      <w:r>
        <w:t xml:space="preserve">the well controls of a field supplied by offshore wind, so that the power</w:t>
      </w:r>
      <w:r>
        <w:t xml:space="preserve"> </w:t>
      </w:r>
      <w:r>
        <w:t xml:space="preserve">demand follows the wind, and studied the trade-off between profit and</w:t>
      </w:r>
      <w:r>
        <w:t xml:space="preserve"> </w:t>
      </w:r>
      <w:r>
        <w:t xml:space="preserve">emissions. These studies address either the dynamics of the electrical system</w:t>
      </w:r>
      <w:r>
        <w:t xml:space="preserve"> </w:t>
      </w:r>
      <w:r>
        <w:t xml:space="preserve">over seconds to minutes or the response of the reservoir over months to years.</w:t>
      </w:r>
      <w:r>
        <w:t xml:space="preserve"> </w:t>
      </w:r>
      <w:r>
        <w:t xml:space="preserve">The hour-by-hour interaction between deferrable topside loads and the</w:t>
      </w:r>
      <w:r>
        <w:t xml:space="preserve"> </w:t>
      </w:r>
      <w:r>
        <w:t xml:space="preserve">commitment of the gas turbines, which determines how much fuel is actually</w:t>
      </w:r>
      <w:r>
        <w:t xml:space="preserve"> </w:t>
      </w:r>
      <w:r>
        <w:t xml:space="preserve">saved, has not been quantified over full years.</w:t>
      </w:r>
    </w:p>
    <w:p>
      <w:pPr>
        <w:pStyle w:val="BodyText"/>
      </w:pPr>
      <w:r>
        <w:t xml:space="preserve">The goal of this study is to quantify this interaction: how much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wind-powered oil platform can save by scheduling its flexible loads, which</w:t>
      </w:r>
      <w:r>
        <w:t xml:space="preserve"> </w:t>
      </w:r>
      <w:r>
        <w:t xml:space="preserve">consumers provide the saving and through which mechanism, and which</w:t>
      </w:r>
      <w:r>
        <w:t xml:space="preserve"> </w:t>
      </w:r>
      <w:r>
        <w:t xml:space="preserve">assumptions determine its magnitude. To the authors’ knowledge, it is the</w:t>
      </w:r>
      <w:r>
        <w:t xml:space="preserve"> </w:t>
      </w:r>
      <w:r>
        <w:t xml:space="preserve">first study that schedules deferrable topside loads together with gas turbine</w:t>
      </w:r>
      <w:r>
        <w:t xml:space="preserve"> </w:t>
      </w:r>
      <w:r>
        <w:t xml:space="preserve">unit commitment over full years at hourly resolution, with consumer power</w:t>
      </w:r>
      <w:r>
        <w:t xml:space="preserve"> </w:t>
      </w:r>
      <w:r>
        <w:t xml:space="preserve">curves derived from a process model.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benchmark checks against Hywind Tampen and field data, and economic</w:t>
      </w:r>
      <w:r>
        <w:t xml:space="preserve"> </w:t>
      </w:r>
      <w:r>
        <w:t xml:space="preserve">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optimizer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optimization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center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844"/>
        <w:gridCol w:w="1504"/>
        <w:gridCol w:w="1504"/>
        <w:gridCol w:w="1671"/>
        <w:gridCol w:w="835"/>
      </w:tblGrid>
      <w:tr>
        <w:trPr>
          <w:tblHeader w:val="true"/>
        </w:trPr>
        <w:tc>
          <w:tcPr>
            <w:tcW w:type="dxa" w:w="384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W w:type="dxa" w:w="167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W w:type="dxa" w:w="8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minimizes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optimizer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aa908d93524e5850992bde4ff5ab044ac0fa324"/>
    <w:p>
      <w:pPr>
        <w:pStyle w:val="Heading2"/>
      </w:pPr>
      <w:r>
        <w:t xml:space="preserve">2.7 Weather years, sensitivity analysis and benchmark checks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centers,</w:t>
      </w:r>
      <w:r>
        <w:t xml:space="preserve"> </w:t>
      </w:r>
      <w:r>
        <w:t xml:space="preserve">2021–2024: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center.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computed as the difference in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center with the</w:t>
      </w:r>
      <w:r>
        <w:t xml:space="preserve"> </w:t>
      </w:r>
      <w:r>
        <w:t xml:space="preserve">center’s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is not counted as a</w:t>
      </w:r>
      <w:r>
        <w:t xml:space="preserve"> </w:t>
      </w:r>
      <w:r>
        <w:t xml:space="preserve">saving, because the abatement cost is what is compared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224"/>
        <w:gridCol w:w="1040"/>
        <w:gridCol w:w="1351"/>
        <w:gridCol w:w="1664"/>
        <w:gridCol w:w="2080"/>
      </w:tblGrid>
      <w:tr>
        <w:trPr>
          <w:tblHeader w:val="true"/>
        </w:trPr>
        <w:tc>
          <w:tcPr>
            <w:tcW w:type="dxa" w:w="32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0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W w:type="dxa" w:w="135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W w:type="dxa" w:w="166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W w:type="dxa" w:w="20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[kt/yr]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cost [MNOK/yr]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summarized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The saving is obtained by deferring water injection out of the hours in which</w:t>
      </w:r>
      <w:r>
        <w:t xml:space="preserve"> </w:t>
      </w:r>
      <w:r>
        <w:t xml:space="preserve">a second GT would otherwise be needed. With fixed demand, a second turbine</w:t>
      </w:r>
      <w:r>
        <w:t xml:space="preserve"> </w:t>
      </w:r>
      <w:r>
        <w:t xml:space="preserve">must be started whenever the wind drops and one GT cannot carry the load while</w:t>
      </w:r>
      <w:r>
        <w:t xml:space="preserve"> </w:t>
      </w:r>
      <w:r>
        <w:t xml:space="preserve">holding 5 MW in reserve, i.e. whenever the wind supplies less than about 2 MW</w:t>
      </w:r>
      <w:r>
        <w:t xml:space="preserve"> </w:t>
      </w:r>
      <w:r>
        <w:t xml:space="preserve">at the average demand of 18.8 MW. Each such hour costs the no-load fuel of a</w:t>
      </w:r>
      <w:r>
        <w:t xml:space="preserve"> </w:t>
      </w:r>
      <w:r>
        <w:t xml:space="preserve">whole additional turbine, which amounts to 18.4 % of its full-load fuel. In</w:t>
      </w:r>
      <w:r>
        <w:t xml:space="preserve"> </w:t>
      </w:r>
      <w:r>
        <w:t xml:space="preserve">Case 3 the optimizer postpones water injection in exactly these hours, so that</w:t>
      </w:r>
      <w:r>
        <w:t xml:space="preserve"> </w:t>
      </w:r>
      <w:r>
        <w:t xml:space="preserve">a second GT runs in only 28 h of the year instead of 1,702 h (Figure 4, Figure 5).</w:t>
      </w:r>
      <w:r>
        <w:t xml:space="preserve"> </w:t>
      </w:r>
      <w:r>
        <w:t xml:space="preserve">Since fuel is linear in GT power, the saving splits exactly into two parts</w:t>
      </w:r>
      <w:r>
        <w:t xml:space="preserve"> </w:t>
      </w:r>
      <w:r>
        <w:t xml:space="preserve">(Table 3). The 1,674 avoided GT unit-hours, at a no-load fuel of 1,068 Sm³ per</w:t>
      </w:r>
      <w:r>
        <w:t xml:space="preserve"> </w:t>
      </w:r>
      <w:r>
        <w:t xml:space="preserve">unit-hour, save 1.79 MSm³ (58 % of the 3.07 MSm³ saved). The injection that is</w:t>
      </w:r>
      <w:r>
        <w:t xml:space="preserve"> </w:t>
      </w:r>
      <w:r>
        <w:t xml:space="preserve">moved out of these hours, 5.4 GWh, is caught up in windy hours and absorbs 5.8</w:t>
      </w:r>
      <w:r>
        <w:t xml:space="preserve"> </w:t>
      </w:r>
      <w:r>
        <w:t xml:space="preserve">GWh of wind that would otherwise be curtailed; at the marginal fuel use of 217</w:t>
      </w:r>
      <w:r>
        <w:t xml:space="preserve"> </w:t>
      </w:r>
      <w:r>
        <w:t xml:space="preserve">Sm³/MWh this saves the remaining 1.28 MSm³ (42 %). Both parts therefore result</w:t>
      </w:r>
      <w:r>
        <w:t xml:space="preserve"> </w:t>
      </w:r>
      <w:r>
        <w:t xml:space="preserve">from the same deferral of injection: the commitment part from the hours it</w:t>
      </w:r>
      <w:r>
        <w:t xml:space="preserve"> </w:t>
      </w:r>
      <w:r>
        <w:t xml:space="preserve">leaves, and the energy part from the hours it moves to.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Split of the fuel saved by flexible scheduling (Case 2 to Case 3, 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724"/>
        <w:gridCol w:w="4599"/>
        <w:gridCol w:w="2299"/>
        <w:gridCol w:w="735"/>
      </w:tblGrid>
      <w:tr>
        <w:trPr>
          <w:tblHeader w:val="true"/>
        </w:trPr>
        <w:tc>
          <w:tcPr>
            <w:tcW w:type="dxa" w:w="17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Part</w:t>
            </w:r>
          </w:p>
        </w:tc>
        <w:tc>
          <w:tcPr>
            <w:tcW w:type="dxa" w:w="45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Driver</w:t>
            </w:r>
          </w:p>
        </w:tc>
        <w:tc>
          <w:tcPr>
            <w:tcW w:type="dxa" w:w="22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saved [MSm³/yr]</w:t>
            </w:r>
          </w:p>
        </w:tc>
        <w:tc>
          <w:tcPr>
            <w:tcW w:type="dxa" w:w="7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Commitment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1,674 GT unit-hours avoided × 1,068 Sm³ no-load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1.79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Energy shifting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5.8 GWh more wind used × 217 Sm³/MWh marginal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1.28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42 %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3.07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Figure"/>
        <w:spacing w:before="200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25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two and with one GT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saved in</w:t>
      </w:r>
      <w:r>
        <w:t xml:space="preserve"> </w:t>
      </w:r>
      <w:r>
        <w:t xml:space="preserve">that hour are worth a few thousand NOK, and the optimizer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47"/>
        <w:gridCol w:w="2463"/>
        <w:gridCol w:w="1539"/>
        <w:gridCol w:w="1539"/>
        <w:gridCol w:w="1970"/>
      </w:tblGrid>
      <w:tr>
        <w:trPr>
          <w:tblHeader w:val="true"/>
        </w:trPr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W w:type="dxa" w:w="246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W w:type="dxa" w:w="197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price [NOK/kg]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4 and Figure 7. Several</w:t>
      </w:r>
      <w:r>
        <w:t xml:space="preserve"> </w:t>
      </w:r>
      <w:r>
        <w:t xml:space="preserve">inputs have little effect. Across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to wind farm size,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and gas price, battery size, injection deficit limit, minimum number of GTs online, GT fleet and operating practice.</w:t>
      </w:r>
    </w:p>
    <w:bookmarkEnd w:id="54"/>
    <w:bookmarkStart w:id="58" w:name="benchmark-checks"/>
    <w:p>
      <w:pPr>
        <w:pStyle w:val="Heading2"/>
      </w:pPr>
      <w:r>
        <w:t xml:space="preserve">3.5 Benchmark checks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4926"/>
        <w:gridCol w:w="1231"/>
        <w:gridCol w:w="1847"/>
        <w:gridCol w:w="1354"/>
      </w:tblGrid>
      <w:tr>
        <w:trPr>
          <w:tblHeader w:val="true"/>
        </w:trPr>
        <w:tc>
          <w:tcPr>
            <w:tcW w:type="dxa" w:w="492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W w:type="dxa" w:w="123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W w:type="dxa" w:w="13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modeled platforms (Nguyen et al. 2013)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avoided per MWh wind, two GTs kept online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intensity, Norwegian shelf 2023 (Offshore Norge 2024)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5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the most demanding check, as it tests the</w:t>
      </w:r>
      <w:r>
        <w:t xml:space="preserve"> </w:t>
      </w:r>
      <w:r>
        <w:t xml:space="preserve">wind model, the part-load fuel model,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published value is derived from the expected annual figures of the wind</w:t>
      </w:r>
      <w:r>
        <w:t xml:space="preserve"> </w:t>
      </w:r>
      <w:r>
        <w:t xml:space="preserve">farm,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 (Equinor 2023), and not from</w:t>
      </w:r>
      <w:r>
        <w:t xml:space="preserve"> </w:t>
      </w:r>
      <w:r>
        <w:t xml:space="preserve">measurements, so this comparison is a check of consistency rather than a</w:t>
      </w:r>
      <w:r>
        <w:t xml:space="preserve"> </w:t>
      </w:r>
      <w:r>
        <w:t xml:space="preserve">validation. The model agrees with it only when it is operated as assumed in</w:t>
      </w:r>
      <w:r>
        <w:t xml:space="preserve"> </w:t>
      </w:r>
      <w:r>
        <w:t xml:space="preserve">that estimate; with a GT allowed to stop, as in Case 2, the model value is 36</w:t>
      </w:r>
      <w:r>
        <w:t xml:space="preserve"> </w:t>
      </w:r>
      <w:r>
        <w:t xml:space="preserve">% higher. The difference shows to what extent the benefit of wind depends on</w:t>
      </w:r>
      <w:r>
        <w:t xml:space="preserve"> </w:t>
      </w:r>
      <w:r>
        <w:t xml:space="preserve">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center emitted 2.32–2.40 kg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gray bars: published ranges). Right: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Gullfaks, Snorre and Statfjord field centers (gray: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9"/>
        <w:gridCol w:w="1125"/>
        <w:gridCol w:w="1540"/>
        <w:gridCol w:w="1954"/>
        <w:gridCol w:w="2369"/>
      </w:tblGrid>
      <w:tr>
        <w:trPr>
          <w:tblHeader w:val="true"/>
        </w:trPr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W w:type="dxa" w:w="112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</w:t>
            </w:r>
            <w:r>
              <w:rPr>
                <w:b/>
                <w:sz w:val="20"/>
                <w:vertAlign w:val="subscript"/>
              </w:rPr>
              <w:t xml:space="preserve">2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avoided [kt/yr]</w:t>
            </w:r>
          </w:p>
        </w:tc>
        <w:tc>
          <w:tcPr>
            <w:tcW w:type="dxa" w:w="15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</w:t>
            </w:r>
            <w:r>
              <w:rPr>
                <w:b/>
                <w:sz w:val="20"/>
                <w:vertAlign w:val="subscript"/>
              </w:rPr>
              <w:t xml:space="preserve">2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6. With an investment of 2.5</w:t>
      </w:r>
      <w:r>
        <w:t xml:space="preserve"> </w:t>
      </w:r>
      <w:r>
        <w:t xml:space="preserve">billion NOK for 30 MW, the wind farm with fixed demand avoids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7.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680"/>
        <w:gridCol w:w="1577"/>
        <w:gridCol w:w="2524"/>
        <w:gridCol w:w="1577"/>
      </w:tblGrid>
      <w:tr>
        <w:trPr>
          <w:tblHeader w:val="true"/>
        </w:trPr>
        <w:tc>
          <w:tcPr>
            <w:tcW w:type="dxa" w:w="3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W w:type="dxa" w:w="25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2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3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summarized in Table 7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two linked effects. Deferring injection in</w:t>
      </w:r>
      <w:r>
        <w:t xml:space="preserve"> </w:t>
      </w:r>
      <w:r>
        <w:t xml:space="preserve">the hours in which the wind is just too weak for one turbine to carry the load</w:t>
      </w:r>
      <w:r>
        <w:t xml:space="preserve"> </w:t>
      </w:r>
      <w:r>
        <w:t xml:space="preserve">with 5 MW in reserve keeps the second turbine off, which saves its no-load</w:t>
      </w:r>
      <w:r>
        <w:t xml:space="preserve"> </w:t>
      </w:r>
      <w:r>
        <w:t xml:space="preserve">fuel, and the deferred injection then uses wind that would otherwise be</w:t>
      </w:r>
      <w:r>
        <w:t xml:space="preserve"> </w:t>
      </w:r>
      <w:r>
        <w:t xml:space="preserve">curtailed. The commitment effect is the larger one (58 % of the saving), and</w:t>
      </w:r>
      <w:r>
        <w:t xml:space="preserve"> </w:t>
      </w:r>
      <w:r>
        <w:t xml:space="preserve">it explains three of the results of Section 3: almost all of the 1,702 hours</w:t>
      </w:r>
      <w:r>
        <w:t xml:space="preserve"> </w:t>
      </w:r>
      <w:r>
        <w:t xml:space="preserve">with two GTs online are avoided; about one day of deficit capacity is</w:t>
      </w:r>
      <w:r>
        <w:t xml:space="preserve"> </w:t>
      </w:r>
      <w:r>
        <w:t xml:space="preserve">sufficient, since these hours occur in short spells between windy periods; and</w:t>
      </w:r>
      <w:r>
        <w:t xml:space="preserve"> </w:t>
      </w:r>
      <w:r>
        <w:t xml:space="preserve">the saving is reduced to the energy part alone under operating rules that keep</w:t>
      </w:r>
      <w:r>
        <w:t xml:space="preserve"> </w:t>
      </w:r>
      <w:r>
        <w:t xml:space="preserve">two GTs online in any case (3.1 kt instead of 7.2 kt).</w:t>
      </w:r>
    </w:p>
    <w:p>
      <w:pPr>
        <w:pStyle w:val="BodyText"/>
      </w:pPr>
      <w:r>
        <w:t xml:space="preserve">The energy-shifting part is limited by the wind that can be absorbed. The</w:t>
      </w:r>
      <w:r>
        <w:t xml:space="preserve"> </w:t>
      </w:r>
      <w:r>
        <w:t xml:space="preserve">curtailment decreases by only 13 %, since one GT must remain online and a 30</w:t>
      </w:r>
      <w:r>
        <w:t xml:space="preserve"> </w:t>
      </w:r>
      <w:r>
        <w:t xml:space="preserve">MW farm often produces more power than the platform can use, even with</w:t>
      </w:r>
      <w:r>
        <w:t xml:space="preserve"> </w:t>
      </w:r>
      <w:r>
        <w:t xml:space="preserve">injection at full rate. For the same reason, the value of flexibility does not</w:t>
      </w:r>
      <w:r>
        <w:t xml:space="preserve"> </w:t>
      </w:r>
      <w:r>
        <w:t xml:space="preserve">increase with the size of the wind farm: a larger farm covers the demand more</w:t>
      </w:r>
      <w:r>
        <w:t xml:space="preserve"> </w:t>
      </w:r>
      <w:r>
        <w:t xml:space="preserve">often, so that a second GT is needed in fewer hours, and the additional wind</w:t>
      </w:r>
      <w:r>
        <w:t xml:space="preserve"> </w:t>
      </w:r>
      <w:r>
        <w:t xml:space="preserve">in windy hours cannot be absorbed. Flexibility is thus most valuable when the</w:t>
      </w:r>
      <w:r>
        <w:t xml:space="preserve"> </w:t>
      </w:r>
      <w:r>
        <w:t xml:space="preserve">wind farm capacity is of the same order as the platform demand, as in the base</w:t>
      </w:r>
      <w:r>
        <w:t xml:space="preserve"> </w:t>
      </w:r>
      <w:r>
        <w:t xml:space="preserve">case and at Hywind 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favorable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penalized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behavior, the start-up times of pumps and GTs beyond a start cost, and the</w:t>
      </w:r>
      <w:r>
        <w:t xml:space="preserve"> </w:t>
      </w:r>
      <w:r>
        <w:t xml:space="preserve">reservoir response to deferred injection are not modeled.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decarbonized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checked against published data for Hywind Tampen and three</w:t>
      </w:r>
      <w:r>
        <w:t xml:space="preserve"> </w:t>
      </w:r>
      <w:r>
        <w:t xml:space="preserve">North Sea field centers.</w:t>
      </w:r>
    </w:p>
    <w:p>
      <w:pPr>
        <w:pStyle w:val="BodyText"/>
      </w:pPr>
      <w:r>
        <w:t xml:space="preserve">With fixed demand, the wind farm halves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With two GTs kept online, as assumed in the operator’s estimate, the model</w:t>
      </w:r>
      <w:r>
        <w:t xml:space="preserve"> </w:t>
      </w:r>
      <w:r>
        <w:t xml:space="preserve">agrees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Tampen, and</w:t>
      </w:r>
      <w:r>
        <w:t xml:space="preserve"> </w:t>
      </w:r>
      <w:r>
        <w:t xml:space="preserve">it reproduces the fuel gas 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4680"/>
        <w:gridCol w:w="280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W w:type="dxa" w:w="4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W w:type="dxa" w:w="280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W w:type="dxa" w:w="748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Alves EF, Sanchez S, Brandão DI, Tedeschi E (2019) Smart load management with energy storage for power quality enhancement in wind-powered oil and gas applications. Energies 12(15):2985. https://doi.org/10.3390/en12152985.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DNV GL (2016) WIN WIN – wind-powered water injection: joint industry project, phase 1 results [news release, Offshore Technology Conference].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Nilsen MM, Lorentzen RJ, Leeuwenburgh O, Stordal AS, Barros E (2025a) Closed-loop workflow for short-term optimization of wind-powered reservoir management. Clean Energy Syst 12:100213.</w:t>
      </w:r>
    </w:p>
    <w:p>
      <w:pPr>
        <w:pStyle w:val="Bibliography"/>
      </w:pPr>
      <w:r>
        <w:t xml:space="preserve">Nilsen MM, Lorentzen RJ, Stordal AS, Leeuwenburgh O, Barros E (2025b) Wind-powered reservoir management with application to robust multi-objective optimization. Comput Geosci 29:29. https://doi.org/10.1007/s10596-025-10370-w.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Sanchez S, Tedeschi E, Silva J, Jafar M, Marichalar A (2017) Smart load management of water injection systems in offshore oil and gas platforms integrating wind power. IET Renew Power Gener 11(9):1153–62. https://doi.org/10.1049/iet-rpg.2016.0989.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top-side load scheduling on a wind-powered offshore oil platform: effects on gas turbine fuel use and CO2 emissions</dc:title>
  <dc:creator/>
  <cp:keywords/>
  <dcterms:created xsi:type="dcterms:W3CDTF">2026-10-28T19:26:39Z</dcterms:created>
  <dcterms:modified xsi:type="dcterms:W3CDTF">2026-10-28T19:26:39Z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