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</w:t>
      </w:r>
      <w:r>
        <w:t xml:space="preserve"> </w:t>
      </w:r>
      <w:r>
        <w:t xml:space="preserve">material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Flexible top-side load scheduling on a wind-powered offshore oil platform: effects on gas turbine fuel use and CO</w:t>
      </w:r>
      <w:r>
        <w:rPr>
          <w:vertAlign w:val="subscript"/>
          <w:bCs/>
          <w:b/>
        </w:rPr>
        <w:t xml:space="preserve">2</w:t>
      </w:r>
      <w:r>
        <w:rPr>
          <w:bCs/>
          <w:b/>
        </w:rPr>
        <w:t xml:space="preserve"> </w:t>
      </w:r>
      <w:r>
        <w:rPr>
          <w:bCs/>
          <w:b/>
        </w:rPr>
        <w:t xml:space="preserve">emissions</w:t>
      </w:r>
    </w:p>
    <w:bookmarkStart w:id="23" w:name="s1.-wind-resource"/>
    <w:p>
      <w:pPr>
        <w:pStyle w:val="Heading1"/>
      </w:pPr>
      <w:r>
        <w:t xml:space="preserve">S1. Wind resource</w:t>
      </w:r>
    </w:p>
    <w:p>
      <w:pPr>
        <w:pStyle w:val="Figure"/>
      </w:pPr>
      <w:r>
        <w:drawing>
          <wp:inline>
            <wp:extent cx="5759999" cy="208584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results/paper/fig01_wind_resour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085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S1.</w:t>
      </w:r>
      <w:r>
        <w:t xml:space="preserve"> </w:t>
      </w:r>
      <w:r>
        <w:t xml:space="preserve">Wind resource at 61° N, 2° E in 2023 (ERA5). Left: monthly capacity factor of the 30 MW wind farm (dashed: annual mean). Right: duration curve of wind farm power.</w:t>
      </w:r>
    </w:p>
    <w:bookmarkEnd w:id="23"/>
    <w:bookmarkStart w:id="27" w:name="s2.-gas-turbine-part-load-performance"/>
    <w:p>
      <w:pPr>
        <w:pStyle w:val="Heading1"/>
      </w:pPr>
      <w:r>
        <w:t xml:space="preserve">S2. Gas turbine part-load performance</w:t>
      </w:r>
    </w:p>
    <w:p>
      <w:pPr>
        <w:pStyle w:val="Figure"/>
      </w:pPr>
      <w:r>
        <w:drawing>
          <wp:inline>
            <wp:extent cx="5759999" cy="231548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results/paper/fig03_gt_part_loa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15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S2.</w:t>
      </w:r>
      <w:r>
        <w:t xml:space="preserve"> </w:t>
      </w:r>
      <w:r>
        <w:t xml:space="preserve">Part-load electric efficiency (left) and specific 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emission (right) of the gas turbines. Shaded: below minimum stable load. The main units follow the LEOGO reference turbine. The small unit (Solar Turbines Mars 100, 11.35 MW, 32.9 % ISO efficiency) is used only in the GT fleet sensitivity; its part-load shape is assumed equal to that of the main units.</w:t>
      </w:r>
    </w:p>
    <w:bookmarkEnd w:id="27"/>
    <w:bookmarkStart w:id="31" w:name="s3.-seasonal-pattern"/>
    <w:p>
      <w:pPr>
        <w:pStyle w:val="Heading1"/>
      </w:pPr>
      <w:r>
        <w:t xml:space="preserve">S3. Seasonal pattern</w:t>
      </w:r>
    </w:p>
    <w:p>
      <w:pPr>
        <w:pStyle w:val="FirstParagraph"/>
      </w:pPr>
      <w:r>
        <w:t xml:space="preserve">Monthly emissions follow the wind. With fixed demand (Case 2) they range</w:t>
      </w:r>
      <w:r>
        <w:t xml:space="preserve"> </w:t>
      </w:r>
      <w:r>
        <w:t xml:space="preserve">from 3.8 kt in February to 6.4 kt in June and July. The saving from</w:t>
      </w:r>
      <w:r>
        <w:t xml:space="preserve"> </w:t>
      </w:r>
      <w:r>
        <w:t xml:space="preserve">flexibility (Case 2 − Case 3) is present in every month (0.43–0.77 kt). It</w:t>
      </w:r>
      <w:r>
        <w:t xml:space="preserve"> </w:t>
      </w:r>
      <w:r>
        <w:t xml:space="preserve">is largest in June, December and July, months in which the wind often falls</w:t>
      </w:r>
      <w:r>
        <w:t xml:space="preserve"> </w:t>
      </w:r>
      <w:r>
        <w:t xml:space="preserve">just below the demand and a second GT would otherwise be needed.</w:t>
      </w:r>
    </w:p>
    <w:p>
      <w:pPr>
        <w:pStyle w:val="Figure"/>
      </w:pPr>
      <w:r>
        <w:drawing>
          <wp:inline>
            <wp:extent cx="5759999" cy="275093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results/paper/fig08_monthly_co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50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S3.</w:t>
      </w:r>
      <w:r>
        <w:t xml:space="preserve"> </w:t>
      </w:r>
      <w:r>
        <w:t xml:space="preserve">Monthly 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emissions for Cases 1–4.</w:t>
      </w:r>
    </w:p>
    <w:bookmarkEnd w:id="31"/>
    <w:bookmarkStart w:id="32" w:name="s4.-model-parameters"/>
    <w:p>
      <w:pPr>
        <w:pStyle w:val="Heading1"/>
      </w:pPr>
      <w:r>
        <w:t xml:space="preserve">S4. Model parameters</w:t>
      </w:r>
    </w:p>
    <w:p>
      <w:pPr>
        <w:pStyle w:val="FirstParagraph"/>
      </w:pPr>
      <w:r>
        <w:t xml:space="preserve">Table S1 lists every model parameter with its value, unit and source, as</w:t>
      </w:r>
      <w:r>
        <w:t xml:space="preserve"> </w:t>
      </w:r>
      <w:r>
        <w:t xml:space="preserve">stored in the configuration file of the model code. Entries whose source</w:t>
      </w:r>
      <w:r>
        <w:t xml:space="preserve"> </w:t>
      </w:r>
      <w:r>
        <w:t xml:space="preserve">begins with</w:t>
      </w:r>
      <w:r>
        <w:t xml:space="preserve"> </w:t>
      </w:r>
      <w:r>
        <w:t xml:space="preserve">“</w:t>
      </w:r>
      <w:r>
        <w:t xml:space="preserve">ASSUMPTION</w:t>
      </w:r>
      <w:r>
        <w:t xml:space="preserve">”</w:t>
      </w:r>
      <w:r>
        <w:t xml:space="preserve"> </w:t>
      </w:r>
      <w:r>
        <w:t xml:space="preserve">are not verified against a published source.</w:t>
      </w:r>
    </w:p>
    <w:p>
      <w:pPr>
        <w:pStyle w:val="BodyText"/>
      </w:pPr>
      <w:r>
        <w:rPr>
          <w:bCs/>
          <w:b/>
        </w:rPr>
        <w:t xml:space="preserve">Table S1.</w:t>
      </w:r>
      <w:r>
        <w:t xml:space="preserve"> </w:t>
      </w:r>
      <w:r>
        <w:t xml:space="preserve">Model parameters.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2360"/>
        <w:gridCol w:w="1656"/>
        <w:gridCol w:w="1283"/>
        <w:gridCol w:w="4058"/>
      </w:tblGrid>
      <w:tr>
        <w:trPr>
          <w:tblHeader w:val="true"/>
        </w:trPr>
        <w:tc>
          <w:tcPr>
            <w:tcW w:type="dxa" w:w="2360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parameter</w:t>
            </w:r>
          </w:p>
        </w:tc>
        <w:tc>
          <w:tcPr>
            <w:tcW w:type="dxa" w:w="1656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value</w:t>
            </w:r>
          </w:p>
        </w:tc>
        <w:tc>
          <w:tcPr>
            <w:tcW w:type="dxa" w:w="1283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unit</w:t>
            </w:r>
          </w:p>
        </w:tc>
        <w:tc>
          <w:tcPr>
            <w:tcW w:type="dxa" w:w="4058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source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site.latitude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61.0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deg_N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Project definition; near Snorre/Gullfaks and Hywind Tampen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site.longitude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deg_E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Project definition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site.year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2023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Project definition; one full calendar year of hourly data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wind.era5.reference_height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ERA5 100 m wind components (Hersbach et al., 2020, QJRMS 146:1999-2049)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wind.height_correction.hub_height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150.0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IEA-15-240-RWT hub height (Gaertner et al., 2020, NREL/TP-5000-75698)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wind.height_correction.shear_exponent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Hsu, Meindl &amp; Gilhousen (1994), J. Appl. Meteorol. 33:757-765, near-neutral conditions at sea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wind.turbine.rated_power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15.0e6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Gaertner et al. (2020)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wind.turbine.cut_in_speed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m/s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Gaertner et al. (2020)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wind.turbine.cut_out_speed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m/s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Gaertner et al. (2020)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wind.farm.n_turbines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Base case choice: 30 MW installed, same order as the 32 MW wind farm of the LEOGO reference platform (Svendsen et al. (2023), LEOGO reference platform, IET Energy Syst. Integr., doi:10.1049/esi2.12085; dataset Zenodo 7373223 (values read from oogeso/tests/test_data/leogo_reference_platform.yaml)); varied in sensitivity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wind.farm.n_turbines_sensitivity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[1, 2, 3, 4]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Sensitivity range, 15-60 MW installed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wind.farm.wake_loss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small cluster of 2 turbines; verify against literature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wind.farm.electrical_loss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short subsea cable to platform; verify against literature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wind.farm.availability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0.95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typical offshore availability; verify against literature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fuel_gas.standard_temperature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288.15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ISO 13443 standard reference conditions (15 degC)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fuel_gas.standard_pressure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101325.0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Pa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ISO 13443 standard reference conditions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fuel_gas.composition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{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nitrogen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0.01,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CO2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0.02,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methane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0.84,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0.07,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propane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0.035,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0.007,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0.008,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0.005}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mol/mol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generic lean North Sea fuel gas; gives LHV 39.0 MJ/Sm3 vs 40 MJ/Sm3 used in LEOGO (Svendsen et al., 2023). No public field composition found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fuel_gas.co2_emission_factor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2.34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kg_CO2/Sm3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 reference platform gas carrier co2_content = 2.34 kg/Sm3, citing Statistics Norway (SSB) 2016 (Svendsen et al. (2023), LEOGO reference platform, IET Energy Syst. Integr., doi:10.1049/esi2.12085; dataset Zenodo 7373223 (values read from oogeso/tests/test_data/leogo_reference_platform.yaml)). Cross-checked in code against the carbon balance of the composition.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gas_turbine.units.main.rated_power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21800000.0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gas_turbine.units.main.rated_efficiency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0.3472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1/(A+B) with A = 2.35, B = 0.53 from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gas_turbine.units.main.no_load_fuel_fraction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0.184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B/(A+B) with A = 2.35, B = 0.53 from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gas_turbine.units.main.min_load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0.161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3.5 MW minimum of 21.8 MW,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gas_turbine.units.main.n_installed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gas_turbine.units.main.heat_recovery_efficiency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Share of (fuel - electricity) recovered as useful heat, eta_heat in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gas_turbine.units.small.rated_power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11350000.0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Solar Turbines, Mars 100 oil and gas power generation package: 11,350 kWe at ISO conditions (https://www.solarturbines.com/en_US/products/oil-and-gas-power-generation-packages/mars-100.html, accessed 27 October 2026)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gas_turbine.units.small.rated_efficiency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0.3292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3600/10935 from the ISO heat rate of 10,935 kJ/kWe-h (10,365 Btu/kWe-h) at the generator terminals, Solar Turbines Mars 100 product page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gas_turbine.units.small.no_load_fuel_fraction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0.184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same relative part-load shape as the LEOGO turbine (Svendsen et al., 2023); no OEM part-load curve published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gas_turbine.units.small.min_load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0.161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same minimum-load fraction as the LEOGO turbine (Svendsen et al., 2023), i.e. 1.8 MW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gas_turbine.units.small.n_installed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Fleet sensitivity: one small unit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gas_turbine.units.small.heat_recovery_efficiency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Same as LEOGO turbine (Svendsen et al., 2023)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gas_turbine.low_load_threshold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load fraction below which a GT hour is counted as low-load (inefficient)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gas_turbine.min_units_running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N+1 redundancy common on Norwegian platforms; fixed per case later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gas_turbine.spinning_reserve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5000000.0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el_reserve_margin = 5 MW in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process.reservoir_fluid.components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{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nitrogen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CO2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1.5,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methane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45.0,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6.0,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propane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4.0,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0.8,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1.8,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0.7,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0.9,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n-hexane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1.0}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mol (relative)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generic North Sea black oil, GOR about 180 Sm3/Sm3; replace with a published field fluid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process.reservoir_fluid.tbp_fractions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{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C7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[2.5, 0.0913, 0.746],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C8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[2.5, 0.1041, 0.768],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C10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[4.0, 0.135, 0.79],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C15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[6.0, 0.206, 0.832],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C20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[5.0, 0.282, 0.856],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C30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[6.0, 0.4, 0.88]}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[mol (relative), kg/mol, g/cm3]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generic heavy-end split; replace with a published field fluid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process.design.oil_rate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15000.0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Sm3/d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mid-size North Sea platform, plateau rate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process.design.water_cut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water fraction of produced liquid at standard conditions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process.design.water_injection_rate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Sm3/d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roughly voidage replacement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process.design.well_temperature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degC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arrival temperature at the inlet separator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process.pressures.separators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[70.0, 29.0, 7.2, 1.8]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Nguyen et al. (2013), Energy 62:23-36, Table 1: separation train at 7 / 2.9 / 0.72 / 0.18 MPa (generic North Sea platform). Last stage 1.7-2.8 bar on four real North Sea platforms (Voldsund et al. (2014), Energy 74:45-58, Table 2)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process.pressures.gas_export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180.0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Voldsund et al. (2014), Energy 74:45-58, Table 2: treated gas at 179 bar on platform D (236, 118 and 184 bar on A-C); Nguyen et al. (2013), Table 1: gas export 18.5 MPa. LEOGO uses 200 bar (sensitivity)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process.pressures.oil_export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 MPa oil export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process.pressures.water_injection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 MPa injection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process.pressures.wi_suction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 MPa water deck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process.pressures.seawater_lift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10.4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0.1 -&gt; 1.14 MPa incl. 40 m lift,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process.cooling.gas_cooler_outlet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degC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scrubber inlet temperature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process.cooling.seawater_temperature_rise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typical cooling-water design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process.cooling.seawater_cp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3.99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kJ/kg/K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Sharqawy, Lienhard &amp; Zubair (2010), Desalin. Water Treat. 16:354-380; salinity 35 g/kg, 10-20 degC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process.cooling.seawater_density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1026.0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kg/m3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Sharqawy, Lienhard &amp; Zubair (2010); salinity 35 g/kg, about 15 degC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process.efficiencies.compressor_isentropic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Isentropic efficiency of export and re-compressors,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process.efficiencies.water_pump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and seawater lift pumps,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process.efficiencies.oil_export_pump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0.6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Oil export pump,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process.efficiencies.motor_and_drive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Included in the LEOGO efficiencies above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process.consumers.recompression.min_flow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surge margin; no public value found;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process.consumers.export_compressor.min_flow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surge margin; no public value found;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process.consumers.oil_export_pump.min_flow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pump minimum continuous flow; no public value found;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process.consumers.water_injection_pump.min_flow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pump minimum continuous flow; no public value found;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process.consumers.seawater_lift_pump.min_flow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pump minimum continuous flow; no public value found;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process.base_load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2.5 MW general electric load + 1.0 MW air compressors,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process.heat_demand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Process/utility heat demand (thermal), Svendsen et al. (2023), LEOGO reference platform, IET Energy Syst. Integr., doi:10.1049/esi2.12085; dataset Zenodo 7373223 (values read from oogeso/tests/test_data/leogo_reference_platform.yaml); met by GT waste heat or an electric heater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flexibility.production.min_fraction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lowest stable production turndown (separator / well limits);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flexibility.production.max_fraction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Design rate; no over-production to catch up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flexibility.production.ramp_rate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1/h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max change in production fraction per hour (well choke / process stability);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flexibility.water_injection.min_fraction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all injection pumps may stop for short periods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flexibility.water_injection.max_fraction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Installed pump capacity (design point)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flexibility.water_injection.target_fraction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0.85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average injection needed for voidage replacement, as fraction of pump capacity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flexibility.water_injection.ramp_rate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1/h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about one of three pumps started/stopped per hour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flexibility.water_injection.max_deficit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72.0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up to 3 days of full-rate injection may be postponed without significant reservoir pressure loss; key sensitivity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economics.oil_price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4190.0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NOK/Sm3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Oil export price in Svendsen et al. (2023), LEOGO reference platform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economics.gas_price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4.19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NOK/Sm3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export price in Svendsen et al. (2023), LEOGO; also the value of fuel gas burned instead of exported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economics.co2_price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NOK/kg_CO2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 2000/t: Norwegian target total CO2 price (tax + EU ETS) by 2030, Meld. St. 13 (2020-2021) Klimaplan 2021-2030; varied in sensitivity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economics.gt_start_cost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penalty_start in Svendsen et al. (2023), LEOGO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economics.unserved_energy_cost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1000000.0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NOK/MWh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feasibility penalty, high enough that the 0.5 % MIP gap cannot leave demand unserved (LEOGO uses 36000 NOK/MWh for load shedding); should never be used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economics.reserve_shortfall_cost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1000000.0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NOK/MWh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same feasibility penalty as unserved energy; should never be used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economics.gas_per_oil_equivalent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Sm3_gas/Sm3_oe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Norwegian Offshore Directorate (Sodir) convention: 1000 Sm3 gas = 1 Sm3 oil equivalent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investment.discount_rate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0.07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Real discount rate; 4 % and 7 % are both used in the Norwegian Petroleum Directorate’s abatement-cost curves for power from shore (NPD conference abstract, IAEE); 4 % shown as sensitivity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investment.discount_rate_low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Lower real discount rate used in the same NPD abatement-cost curves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investment.lifetime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yr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economic life of a retrofit wind farm on a producing field (remaining field life)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investment.wind_capex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84.1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Hywind Tampen: investment forecast of about NOK 7.4 billion for 88 MW at opening (Equinor, 23 Aug 2023), i.e. 84.1 MNOK/MW before Enova and NOx Fund support; first-of-a-kind floating farm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investment.wind_om_low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35.0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EUR/kW/yr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Floating wind O&amp;M with self-hoisting crane strategy, up to 64 % below the tow-to-port cost (Dighe et al., J. Mar. Sci. Eng. 2024, 12(11):1948, Marram Wind and Celtic Sea C case study)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investment.wind_om_high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97.0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EUR/kW/yr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Floating wind O&amp;M with tow-to-port repair strategy, 94-97 kEUR/MW/yr (Dighe et al., J. Mar. Sci. Eng. 2024, 12(11):1948)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investment.eur_nok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11.5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NOK/EUR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approximate 2024-2025 exchange rate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investment.power_from_shore_abatement_cost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NOK/t_CO2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Norwegian Offshore Directorate (2025): operators’ estimated abatement cost of the most recently approved power-from-shore projects (Melkøya, Njord/Draugen) just under NOK 2000 per tonne CO2 (2025-NOK); taken from a search summary, verify in the report. The 2020 report gave below NOK 1500/t for the then-planned projects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scheduler.window_hours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168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one week committed per solve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scheduler.lookahead_hours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extra day solved but not committed, so end-of-week decisions are sensible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scheduler.mip_gap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0.005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solver stops within 0.5 % of the proven optimum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scheduler.time_limit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120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per weekly solve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scheduler.min_gt_online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wind turbines are grid-following; at least one GT online for frequency/voltage control (as on Hywind Tampen platforms)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scheduler.electric_heater_efficiency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0.99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resistive electric heater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scheduler.heater_tiebreak_cost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NOK/MWh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tiny cost so surplus wind is curtailed rather than dumped in the heater; does not change real decisions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scheduler.battery.power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Set per case; LEOGO option is 4 MW / 4 MWh (Svendsen et al., 2023)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scheduler.battery.energy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J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Set per case; LEOGO option is 4 MW / 4 MWh (Svendsen et al., 2023)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scheduler.battery.round_trip_efficiency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0.9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eta = 0.9 in Svendsen et al. (2023), LEOGO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scheduler.battery.reserve_duration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1800.0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reserve_storage_minutes = 30 in Svendsen et al. (2023), LEOGO: stored energy must sustain the reserve for 30 min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cases.battery_size.power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 battery option 4 MW / 4 MWh (Svendsen et al., 2023)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cases.battery_size.energy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 battery option 4 MW / 4 MWh (Svendsen et al., 2023)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validation.tolerance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+/-20 % counts as agreement for single published values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validation.bbl_per_Sm3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6.2898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bbl/Sm3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Standard conversion, 1 Sm3 = 6.2898 bbl (Norwegian Offshore Directorate)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validation.benchmarks.platform_power_voldsund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[17.0, 30.0]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Voldsund et al. (2014), Energy 74:45-58, Table 5: power input to the processing plants of three real North Sea oil platforms, 25 / 30 / 17 MW (A, C, D; B is a gas-condensate platform, 5.5 MW). Platform A is the platform of Voldsund et al. (2013), Energy 55:716-727: about 24 MW for processing and about 34 MW for the whole platform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validation.benchmarks.platform_power_nguyen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[22.6, 31.1]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Nguyen et al. (2013), Energy 62:23-36, Table 6 and text: platform power consumption 22.6-31.1 MW over six North Sea reservoir-fluid cases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validation.benchmarks.platform_power_castberg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Johan Castberg PDO part II impact assessment: about 25 MW average, 50 MW peak (via search summary; verify)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validation.benchmarks.platform_power_hywind_tampen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Implied: 384 GWh/yr expected from Hywind Tampen covers about 35 % of the electricity of 5 platforms (Snorre A/B, Gullfaks A/B/C) -&gt; 384/0.35/8760/5 = 25.1 MW per platform (SNL; Equinor)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validation.benchmarks.wind_capacity_factor_tampen_design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0.498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Hywind Tampen expected 384 GWh/yr from 88 MW (SNL, Hywind Tampen) -&gt; 0.498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validation.benchmarks.wind_capacity_factor_tampen_q1_2025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0.584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Equinor via Norwegian Offshore Wind: 58.4 % capacity factor in Q1 2025 (winter quarter)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validation.benchmarks.co2_avoided_per_wind_mwh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t/MWh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Hywind Tampen: about 200 kt CO2/yr avoided (Equinor FID) for 384 GWh/yr expected (SNL) -&gt; 0.52 t/MWh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validation.benchmarks.co2_avoided_per_wind_mwh_2gt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t/MWh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Same Hywind Tampen benchmark (200 kt / 384 GWh), compared with the model run that keeps 2 GTs online (sensitivity gt_operation_practice)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validation.benchmarks.co2_intensity_ncs_2023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7.3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kg/boe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Offshore Norge climate and environmental report 2024: NCS average 7.3 kg CO2/boe in 2023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validation.benchmarks.co2_intensity_non_electrified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kg/boe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Westwood Global Energy (2022 estimate): about 10.5 kg CO2/boe for non-electrified NCS hubs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validation.benchmarks.leogo_water_injection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8.99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kWh/m3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LEOGO: 8.97 MW for 0.277 m3/s at 0.7 -&gt; 25 MPa, eta 0.75 (Svendsen et al., 2023; leogo_resultobject.json in Oogeso)</w:t>
            </w:r>
          </w:p>
        </w:tc>
      </w:tr>
    </w:tbl>
    <w:bookmarkEnd w:id="32"/>
    <w:sectPr>
      <w:footerReference r:id="rId9" w:type="default"/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120" w:before="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4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0" w:line="360" w:lineRule="auto"/>
      <w:jc w:val="left"/>
    </w:pPr>
    <w:rPr>
      <w:rFonts w:ascii="Times New Roman" w:cs="Times New Roman" w:eastAsia="Times New Roman" w:hAnsi="Times New Roman"/>
      <w:b/>
      <w:bCs/>
      <w:color w:val="000000"/>
      <w:sz w:val="2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20" w:before="120" w:line="360" w:lineRule="auto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80" w:before="0" w:line="360" w:lineRule="auto"/>
      <w:ind w:hanging="454" w:left="454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 w:line="360" w:lineRule="auto"/>
      <w:jc w:val="left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00" w:line="360" w:lineRule="auto"/>
      <w:jc w:val="left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160" w:line="360" w:lineRule="auto"/>
      <w:jc w:val="left"/>
      <w:outlineLvl w:val="2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0" w:line="360" w:lineRule="auto"/>
      <w:ind w:left="480" w:right="480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  <w:sz w:val="20"/>
    </w:rPr>
  </w:style>
  <w:style w:customStyle="1" w:styleId="Figure" w:type="paragraph">
    <w:name w:val="Figure"/>
    <w:basedOn w:val="Normal"/>
    <w:pPr>
      <w:keepNext/>
      <w:spacing w:after="0" w:before="120" w:line="240" w:lineRule="auto"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ffiliation" w:type="paragraph">
    <w:name w:val="Affiliation"/>
    <w:basedOn w:val="Normal"/>
    <w:pPr>
      <w:spacing w:after="80" w:before="0" w:line="360" w:lineRule="auto"/>
      <w:jc w:val="left"/>
    </w:pPr>
    <w:rPr>
      <w:rFonts w:ascii="Times New Roman" w:cs="Times New Roman" w:eastAsia="Times New Roman" w:hAnsi="Times New Roman"/>
      <w:i/>
      <w:color w:val="000000"/>
      <w:sz w:val="20"/>
    </w:rPr>
  </w:style>
  <w:style w:customStyle="1" w:styleId="FigureCaption" w:type="paragraph">
    <w:name w:val="Figure Caption"/>
    <w:basedOn w:val="Normal"/>
    <w:pPr>
      <w:spacing w:after="200" w:before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20" Type="http://schemas.openxmlformats.org/officeDocument/2006/relationships/image" Target="media/rId20.png"/><Relationship Id="rId24" Type="http://schemas.openxmlformats.org/officeDocument/2006/relationships/image" Target="media/rId24.png"/><Relationship Id="rId28" Type="http://schemas.openxmlformats.org/officeDocument/2006/relationships/image" Target="media/rId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/>
  <cp:keywords/>
  <dcterms:created xsi:type="dcterms:W3CDTF">2026-10-28T19:26:41Z</dcterms:created>
  <dcterms:modified xsi:type="dcterms:W3CDTF">2026-10-28T19:26:41Z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