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aba5e7a7691003d220c9ab0bb8435aefed464f"/>
    <w:p>
      <w:pPr>
        <w:pStyle w:val="Heading1"/>
      </w:pPr>
      <w:r>
        <w:t xml:space="preserve">Comparison with a tropical gas platform (Tanzania)</w:t>
      </w:r>
    </w:p>
    <w:p>
      <w:pPr>
        <w:pStyle w:val="FirstParagraph"/>
      </w:pPr>
      <w:r>
        <w:rPr>
          <w:iCs/>
          <w:i/>
        </w:rPr>
        <w:t xml:space="preserve">Draft for the thesis chapter (or a section of the results chapter). The site</w:t>
      </w:r>
      <w:r>
        <w:rPr>
          <w:iCs/>
          <w:i/>
        </w:rPr>
        <w:t xml:space="preserve"> </w:t>
      </w:r>
      <w:r>
        <w:rPr>
          <w:iCs/>
          <w:i/>
        </w:rPr>
        <w:t xml:space="preserve">and platform are described in Methods, Section 10. All values are for the</w:t>
      </w:r>
      <w:r>
        <w:rPr>
          <w:iCs/>
          <w:i/>
        </w:rPr>
        <w:t xml:space="preserve"> </w:t>
      </w:r>
      <w:r>
        <w:rPr>
          <w:iCs/>
          <w:i/>
        </w:rPr>
        <w:t xml:space="preserve">ERA5 weather year 2023. Tanzania results are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results/tanzania/</w:t>
      </w:r>
      <w:r>
        <w:rPr>
          <w:iCs/>
          <w:i/>
        </w:rPr>
        <w:t xml:space="preserve">, the</w:t>
      </w:r>
      <w:r>
        <w:rPr>
          <w:iCs/>
          <w:i/>
        </w:rPr>
        <w:t xml:space="preserve"> </w:t>
      </w:r>
      <w:r>
        <w:rPr>
          <w:iCs/>
          <w:i/>
        </w:rPr>
        <w:t xml:space="preserve">side-by-side table and figure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results/comparison/</w:t>
      </w:r>
      <w:r>
        <w:rPr>
          <w:iCs/>
          <w:i/>
        </w:rPr>
        <w:t xml:space="preserve">.</w:t>
      </w:r>
    </w:p>
    <w:bookmarkStart w:id="20" w:name="the-two-settings"/>
    <w:p>
      <w:pPr>
        <w:pStyle w:val="Heading2"/>
      </w:pPr>
      <w:r>
        <w:t xml:space="preserve">1 The two settings</w:t>
      </w:r>
    </w:p>
    <w:p>
      <w:pPr>
        <w:pStyle w:val="FirstParagraph"/>
      </w:pPr>
      <w:r>
        <w:t xml:space="preserve">The two sites differ in almost every input that matters for the result</w:t>
      </w:r>
      <w:r>
        <w:t xml:space="preserve"> </w:t>
      </w:r>
      <w:r>
        <w:t xml:space="preserve">(Table C1). The Tanzanian platform is smaller and dominated by one large</w:t>
      </w:r>
      <w:r>
        <w:t xml:space="preserve"> </w:t>
      </w:r>
      <w:r>
        <w:t xml:space="preserve">consumer, the export compressor. Its wind resource is much weaker: the mean</w:t>
      </w:r>
      <w:r>
        <w:t xml:space="preserve"> </w:t>
      </w:r>
      <w:r>
        <w:t xml:space="preserve">hub-height wind speed is 6.7 m/s against 9.8 m/s, and the capacity factor of</w:t>
      </w:r>
      <w:r>
        <w:t xml:space="preserve"> </w:t>
      </w:r>
      <w:r>
        <w:t xml:space="preserve">the same 30 MW wind farm is 29.6 % against 50.9 %. The seasons are opposite</w:t>
      </w:r>
      <w:r>
        <w:t xml:space="preserve"> </w:t>
      </w:r>
      <w:r>
        <w:t xml:space="preserve">(Figure 11, middle). Tanzanian wind peaks in the south-east monsoon (July</w:t>
      </w:r>
      <w:r>
        <w:t xml:space="preserve"> </w:t>
      </w:r>
      <w:r>
        <w:t xml:space="preserve">63 %) and almost disappears in December (10 %), the pattern reported from</w:t>
      </w:r>
      <w:r>
        <w:t xml:space="preserve"> </w:t>
      </w:r>
      <w:r>
        <w:t xml:space="preserve">measurements at coastal Tanzanian stations. The North Sea is windiest in winter.</w:t>
      </w:r>
      <w:r>
        <w:t xml:space="preserve"> </w:t>
      </w:r>
      <w:r>
        <w:t xml:space="preserve">The hot climate costs the gas turbines 8 % of their power, and the lean</w:t>
      </w:r>
      <w:r>
        <w:t xml:space="preserve"> </w:t>
      </w:r>
      <w:r>
        <w:t xml:space="preserve">fuel gas emits 17 % less CO2 per Sm³ than Norwegian fuel gas.</w:t>
      </w:r>
    </w:p>
    <w:p>
      <w:pPr>
        <w:pStyle w:val="BodyText"/>
      </w:pPr>
      <w:r>
        <w:rPr>
          <w:bCs/>
          <w:b/>
        </w:rPr>
        <w:t xml:space="preserve">Table C1.</w:t>
      </w:r>
      <w:r>
        <w:t xml:space="preserve"> </w:t>
      </w:r>
      <w:r>
        <w:t xml:space="preserve">Main inputs and results for the two sites (case numbers as in</w:t>
      </w:r>
      <w:r>
        <w:t xml:space="preserve"> </w:t>
      </w:r>
      <w:r>
        <w:t xml:space="preserve">Chapter 3; CO2 in kt per year).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North Sea (Tampen)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Tanzania (Blocks 1, 2,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oil, water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gas, export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electric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injection, 9.2 MW (45 %)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compressor, 11.2 MW (73 %)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hub wind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 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capacity factor (2 × 15 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rating at site (LEOGO)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 MW, 34.7 %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 MW, 34.3 % (26.8 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CO2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 kg/Sm³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 kg/Sm³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NOK 2.0/kg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in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Flexibility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 of water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h line pack + 48 h MEG tank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1 – GTs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2 – wind, fixed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 (−49.4 %)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 (−43.2 %)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3 – wind,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 (−54.9 %)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55.2 (−45.7 %)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4 – case 3 +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 (−55.2 %)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 (−45.9 %)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Flexibility benefit (case 2 − 3)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kt (11.0 %)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kt (4.5 %)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 with a second GT, case 2 →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1,702 →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895 →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starts, case 2 →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 →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 →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low-load unit-hours, case 2 →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 → 5,928 (−34 %)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6,403 → 4,800 (−25 %)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production, case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0"/>
    <w:bookmarkStart w:id="24" w:name="results-of-the-four-cases"/>
    <w:p>
      <w:pPr>
        <w:pStyle w:val="Heading2"/>
      </w:pPr>
      <w:r>
        <w:t xml:space="preserve">2 Results of the four cases</w:t>
      </w:r>
    </w:p>
    <w:p>
      <w:pPr>
        <w:pStyle w:val="FirstParagraph"/>
      </w:pPr>
      <w:r>
        <w:t xml:space="preserve">Wind cuts emissions substantially at both sites, but less in Tanzania:</w:t>
      </w:r>
      <w:r>
        <w:t xml:space="preserve"> </w:t>
      </w:r>
      <w:r>
        <w:t xml:space="preserve">−43.2 % against −49.4 % with fixed demand (Figure 11, left). The weaker wind</w:t>
      </w:r>
      <w:r>
        <w:t xml:space="preserve"> </w:t>
      </w:r>
      <w:r>
        <w:t xml:space="preserve">delivers 57 GWh to the platform instead of 89 GWh, covering 42 % of the</w:t>
      </w:r>
      <w:r>
        <w:t xml:space="preserve"> </w:t>
      </w:r>
      <w:r>
        <w:t xml:space="preserve">annual demand against 54 % in the North Sea. Because the Tanzanian platform</w:t>
      </w:r>
      <w:r>
        <w:t xml:space="preserve"> </w:t>
      </w:r>
      <w:r>
        <w:t xml:space="preserve">needs less power, the gap is smaller than the capacity factors (29.6 % against</w:t>
      </w:r>
      <w:r>
        <w:t xml:space="preserve"> </w:t>
      </w:r>
      <w:r>
        <w:t xml:space="preserve">50.9 %) suggest.</w:t>
      </w:r>
    </w:p>
    <w:p>
      <w:pPr>
        <w:pStyle w:val="BodyText"/>
      </w:pPr>
      <w:r>
        <w:t xml:space="preserve">Flexible scheduling adds a further 2.6 kt/yr (4.5 % of case 2) in Tanzania.</w:t>
      </w:r>
      <w:r>
        <w:t xml:space="preserve"> </w:t>
      </w:r>
      <w:r>
        <w:t xml:space="preserve">That is about a third of the North Sea benefit in absolute terms and less than</w:t>
      </w:r>
      <w:r>
        <w:t xml:space="preserve"> </w:t>
      </w:r>
      <w:r>
        <w:t xml:space="preserve">half in relative terms, but still clearly positive, and again with</w:t>
      </w:r>
      <w:r>
        <w:t xml:space="preserve"> </w:t>
      </w:r>
      <w:r>
        <w:rPr>
          <w:bCs/>
          <w:b/>
        </w:rPr>
        <w:t xml:space="preserve">no lost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</w:t>
      </w:r>
      <w:r>
        <w:t xml:space="preserve">: the gas</w:t>
      </w:r>
      <w:r>
        <w:t xml:space="preserve"> </w:t>
      </w:r>
      <w:r>
        <w:t xml:space="preserve">delivered to shore over the year equals the sales rate, and the line pack</w:t>
      </w:r>
      <w:r>
        <w:t xml:space="preserve"> </w:t>
      </w:r>
      <w:r>
        <w:t xml:space="preserve">always returns to full by the end of the horizon. A 4 MW / 4 MWh battery</w:t>
      </w:r>
      <w:r>
        <w:t xml:space="preserve"> </w:t>
      </w:r>
      <w:r>
        <w:t xml:space="preserve">adds only 0.2 kt in Tanzania and 0.4 kt in the North Sea.</w:t>
      </w:r>
    </w:p>
    <w:p>
      <w:pPr>
        <w:pStyle w:val="BodyText"/>
      </w:pPr>
      <w:r>
        <w:t xml:space="preserve">The case 1 emissions differ more than the fuel use does (52.3 against</w:t>
      </w:r>
      <w:r>
        <w:t xml:space="preserve"> </w:t>
      </w:r>
      <w:r>
        <w:t xml:space="preserve">54.6 MSm³/yr). Tanzania needs less power, but its turbines are derated by the</w:t>
      </w:r>
      <w:r>
        <w:t xml:space="preserve"> </w:t>
      </w:r>
      <w:r>
        <w:t xml:space="preserve">heat and its fuel has a lower heating value. The CO2 difference therefore</w:t>
      </w:r>
      <w:r>
        <w:t xml:space="preserve"> </w:t>
      </w:r>
      <w:r>
        <w:t xml:space="preserve">comes mainly from the lower carbon content of the lean gas.</w:t>
      </w:r>
    </w:p>
    <w:p>
      <w:pPr>
        <w:pStyle w:val="CaptionedFigure"/>
      </w:pPr>
      <w:r>
        <w:drawing>
          <wp:inline>
            <wp:extent cx="5334000" cy="1505933"/>
            <wp:effectExtent b="0" l="0" r="0" t="0"/>
            <wp:docPr descr="Figure 11. North Sea vs Tanzania. Left: CO2 of cases 2–4 relative to case 1 at each site. Middle: monthly capacity factor of the same 30 MW wind farm (ERA5 2023). Right: CO2 saving of case 3 relative to case 2 against the size of the flexibility buffer (water injection deficit limit in the North Sea, line pack in Tanzania)." title="" id="22" name="Picture"/>
            <a:graphic>
              <a:graphicData uri="http://schemas.openxmlformats.org/drawingml/2006/picture">
                <pic:pic>
                  <pic:nvPicPr>
                    <pic:cNvPr descr="results/comparison/site_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11.</w:t>
      </w:r>
      <w:r>
        <w:t xml:space="preserve"> </w:t>
      </w:r>
      <w:r>
        <w:t xml:space="preserve">North Sea vs Tanzania. Left: CO2 of cases 2–4 relative to case 1 at each site. Middle: monthly capacity factor of the same 30 MW wind farm (ERA5 2023). Right: CO2 saving of case 3 relative to case 2 against the size of the flexibility buffer (water injection deficit limit in the North Sea, line pack in Tanzania).</w:t>
      </w:r>
    </w:p>
    <w:bookmarkEnd w:id="24"/>
    <w:bookmarkStart w:id="28" w:name="same-mechanism-less-to-gain"/>
    <w:p>
      <w:pPr>
        <w:pStyle w:val="Heading2"/>
      </w:pPr>
      <w:r>
        <w:t xml:space="preserve">3 Same mechanism, less to gain</w:t>
      </w:r>
    </w:p>
    <w:p>
      <w:pPr>
        <w:pStyle w:val="FirstParagraph"/>
      </w:pPr>
      <w:r>
        <w:t xml:space="preserve">The flexibility saving comes from the same mechanism at both sites.</w:t>
      </w:r>
      <w:r>
        <w:t xml:space="preserve"> </w:t>
      </w:r>
      <w:r>
        <w:t xml:space="preserve">Postponing flexible load lets one gas turbine carry the platform in hours when</w:t>
      </w:r>
      <w:r>
        <w:t xml:space="preserve"> </w:t>
      </w:r>
      <w:r>
        <w:t xml:space="preserve">the wind is just too weak, instead of starting a second turbine that idles at</w:t>
      </w:r>
      <w:r>
        <w:t xml:space="preserve"> </w:t>
      </w:r>
      <w:r>
        <w:t xml:space="preserve">low load. In Tanzania, the hours with two GTs online fall from 895 to 13, the</w:t>
      </w:r>
      <w:r>
        <w:t xml:space="preserve"> </w:t>
      </w:r>
      <w:r>
        <w:t xml:space="preserve">starts from 121 to 2, and the GT low-load hours by 25 % (Table C1). The example</w:t>
      </w:r>
      <w:r>
        <w:t xml:space="preserve"> </w:t>
      </w:r>
      <w:r>
        <w:t xml:space="preserve">week (Figure 12) shows how this works on a gas platform. When the wind drops,</w:t>
      </w:r>
      <w:r>
        <w:t xml:space="preserve"> </w:t>
      </w:r>
      <w:r>
        <w:t xml:space="preserve">the platform lowers its gas production to about 70 % and pauses MEG</w:t>
      </w:r>
      <w:r>
        <w:t xml:space="preserve"> </w:t>
      </w:r>
      <w:r>
        <w:t xml:space="preserve">regeneration. When the wind returns, it produces at 110 % to refill the</w:t>
      </w:r>
      <w:r>
        <w:t xml:space="preserve"> </w:t>
      </w:r>
      <w:r>
        <w:t xml:space="preserve">pipeline. Production was above the sales rate in 4,192 hours and below it in</w:t>
      </w:r>
      <w:r>
        <w:t xml:space="preserve"> </w:t>
      </w:r>
      <w:r>
        <w:t xml:space="preserve">2,691 hours.</w:t>
      </w:r>
    </w:p>
    <w:p>
      <w:pPr>
        <w:pStyle w:val="BodyText"/>
      </w:pPr>
      <w:r>
        <w:t xml:space="preserve">The saving is smaller for two reasons.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 to avoid.</w:t>
      </w:r>
      <w:r>
        <w:t xml:space="preserve"> </w:t>
      </w:r>
      <w:r>
        <w:t xml:space="preserve">The Tanzanian design demand (15.4 MW) is only just</w:t>
      </w:r>
      <w:r>
        <w:t xml:space="preserve"> </w:t>
      </w:r>
      <w:r>
        <w:t xml:space="preserve">above what one derated GT can carry while holding 5 MW in reserve</w:t>
      </w:r>
      <w:r>
        <w:t xml:space="preserve"> </w:t>
      </w:r>
      <w:r>
        <w:t xml:space="preserve">(15.0 MW). Even with fixed demand, a second GT is therefore needed in</w:t>
      </w:r>
      <w:r>
        <w:t xml:space="preserve"> </w:t>
      </w:r>
      <w:r>
        <w:t xml:space="preserve">only 895 hours of the year, about half as often as in the North Sea</w:t>
      </w:r>
      <w:r>
        <w:t xml:space="preserve"> </w:t>
      </w:r>
      <w:r>
        <w:t xml:space="preserve">(1,702 h). Flexibility removes almost all of these hours at both sites,</w:t>
      </w:r>
      <w:r>
        <w:t xml:space="preserve"> </w:t>
      </w:r>
      <w:r>
        <w:t xml:space="preserve">but in Tanzania there are fewer to remove.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much smaller energy buffer.</w:t>
      </w:r>
      <w:r>
        <w:t xml:space="preserve"> </w:t>
      </w:r>
      <w:r>
        <w:t xml:space="preserve">Cutting production to its minimum lowers</w:t>
      </w:r>
      <w:r>
        <w:t xml:space="preserve"> </w:t>
      </w:r>
      <w:r>
        <w:t xml:space="preserve">the Tanzanian demand by 6.0 MW (North Sea injection lever: 9.6 MW). But</w:t>
      </w:r>
      <w:r>
        <w:t xml:space="preserve"> </w:t>
      </w:r>
      <w:r>
        <w:t xml:space="preserve">the line pack holds only 3.6 h of full-rate production, so only about</w:t>
      </w:r>
      <w:r>
        <w:t xml:space="preserve"> </w:t>
      </w:r>
      <w:r>
        <w:t xml:space="preserve">45 MWh of electricity can be postponed. The 48 h MEG tank adds about</w:t>
      </w:r>
      <w:r>
        <w:t xml:space="preserve"> </w:t>
      </w:r>
      <w:r>
        <w:t xml:space="preserve">5 MWh, because regeneration uses only 0.1 MW of electricity; its 1 MW of</w:t>
      </w:r>
      <w:r>
        <w:t xml:space="preserve"> </w:t>
      </w:r>
      <w:r>
        <w:t xml:space="preserve">heat comes from turbine waste heat, which is always in surplus. The North</w:t>
      </w:r>
      <w:r>
        <w:t xml:space="preserve"> </w:t>
      </w:r>
      <w:r>
        <w:t xml:space="preserve">Sea injection buffer of 72 h holds about 660 MWh. Tanzanian flexibility</w:t>
      </w:r>
      <w:r>
        <w:t xml:space="preserve"> </w:t>
      </w:r>
      <w:r>
        <w:t xml:space="preserve">can bridge short lulls of a few hours, but it cannot move much wind energy</w:t>
      </w:r>
      <w:r>
        <w:t xml:space="preserve"> </w:t>
      </w:r>
      <w:r>
        <w:t xml:space="preserve">from windy to calm periods. Wind curtailment therefore falls by only</w:t>
      </w:r>
      <w:r>
        <w:t xml:space="preserve"> </w:t>
      </w:r>
      <w:r>
        <w:t xml:space="preserve">1.6 GWh (North Sea: 5.7 GWh).</w:t>
      </w:r>
    </w:p>
    <w:p>
      <w:pPr>
        <w:pStyle w:val="FirstParagraph"/>
      </w:pPr>
      <w:r>
        <w:t xml:space="preserve">The line-pack sensitivity confirms this (Figure 11, right; Figure 13).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vs case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4.9 %</w:t>
            </w:r>
          </w:p>
        </w:tc>
      </w:tr>
    </w:tbl>
    <w:p>
      <w:pPr>
        <w:pStyle w:val="BodyText"/>
      </w:pPr>
      <w:r>
        <w:t xml:space="preserve">With no line pack, only MEG regeneration can be moved, and the benefit almost</w:t>
      </w:r>
      <w:r>
        <w:t xml:space="preserve"> </w:t>
      </w:r>
      <w:r>
        <w:t xml:space="preserve">disappears: 121 GT starts remain, as with fixed demand. The first 1.8 h of</w:t>
      </w:r>
      <w:r>
        <w:t xml:space="preserve"> </w:t>
      </w:r>
      <w:r>
        <w:t xml:space="preserve">line pack gives most of the benefit. In the North Sea, likewise, 24 h of</w:t>
      </w:r>
      <w:r>
        <w:t xml:space="preserve"> </w:t>
      </w:r>
      <w:r>
        <w:t xml:space="preserve">injection deficit gave the full result. Allowing a wider pipeline pressure</w:t>
      </w:r>
      <w:r>
        <w:t xml:space="preserve"> </w:t>
      </w:r>
      <w:r>
        <w:t xml:space="preserve">swing would raise the Tanzanian benefit only slowly.</w:t>
      </w:r>
    </w:p>
    <w:p>
      <w:pPr>
        <w:pStyle w:val="CaptionedFigure"/>
      </w:pPr>
      <w:r>
        <w:drawing>
          <wp:inline>
            <wp:extent cx="5334000" cy="4365500"/>
            <wp:effectExtent b="0" l="0" r="0" t="0"/>
            <wp:docPr descr="Figure 12. Tanzania, example week (week with the median fuel saving). Top two panels: power supply with fixed and with flexible demand. Bottom: gas production and MEG regeneration as % of design. Production above 100 % refills the pipeline line pack." title="" id="26" name="Picture"/>
            <a:graphic>
              <a:graphicData uri="http://schemas.openxmlformats.org/drawingml/2006/picture">
                <pic:pic>
                  <pic:nvPicPr>
                    <pic:cNvPr descr="results/tanzania/paper/fig05_example_wee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12.</w:t>
      </w:r>
      <w:r>
        <w:t xml:space="preserve"> </w:t>
      </w:r>
      <w:r>
        <w:t xml:space="preserve">Tanzania, example week (week with the median fuel saving). Top two panels: power supply with fixed and with flexible demand. Bottom: gas production and MEG regeneration as % of design. Production above 100 % refills the pipeline line pack.</w:t>
      </w:r>
    </w:p>
    <w:bookmarkEnd w:id="28"/>
    <w:bookmarkStart w:id="32" w:name="sensitivities-in-tanzania"/>
    <w:p>
      <w:pPr>
        <w:pStyle w:val="Heading2"/>
      </w:pPr>
      <w:r>
        <w:t xml:space="preserve">4 Sensitivities in Tanzania</w:t>
      </w:r>
    </w:p>
    <w:p>
      <w:pPr>
        <w:pStyle w:val="FirstParagraph"/>
      </w:pPr>
      <w:r>
        <w:t xml:space="preserve">The other sensitivities behave as in the North Sea (Figure 13):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 farm size.</w:t>
      </w:r>
      <w:r>
        <w:t xml:space="preserve"> </w:t>
      </w:r>
      <w:r>
        <w:t xml:space="preserve">Each extra 15 MW turbine saves less: case 3 emissions</w:t>
      </w:r>
      <w:r>
        <w:t xml:space="preserve"> </w:t>
      </w:r>
      <w:r>
        <w:t xml:space="preserve">are 64.5, 55.2, 50.3 and 47.3 kt/yr for one to four turbines. The</w:t>
      </w:r>
      <w:r>
        <w:t xml:space="preserve"> </w:t>
      </w:r>
      <w:r>
        <w:t xml:space="preserve">flexibility benefit stays at about 2.6–2.8 kt whatever the farm size,</w:t>
      </w:r>
      <w:r>
        <w:t xml:space="preserve"> </w:t>
      </w:r>
      <w:r>
        <w:t xml:space="preserve">because it is limited by the line pack, not by the wind.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CO2 price and gas price</w:t>
      </w:r>
      <w:r>
        <w:t xml:space="preserve"> </w:t>
      </w:r>
      <w:r>
        <w:t xml:space="preserve">have no effect (55.2 kt in all runs, including</w:t>
      </w:r>
      <w:r>
        <w:t xml:space="preserve"> </w:t>
      </w:r>
      <w:r>
        <w:t xml:space="preserve">the Tanzanian carbon excise duty of 2025, about NOK 0.09/kg). The</w:t>
      </w:r>
      <w:r>
        <w:t xml:space="preserve"> </w:t>
      </w:r>
      <w:r>
        <w:t xml:space="preserve">scheduler already minimises fuel, so a carbon price changes the cost but</w:t>
      </w:r>
      <w:r>
        <w:t xml:space="preserve"> </w:t>
      </w:r>
      <w:r>
        <w:t xml:space="preserve">not the operation. A carbon price is therefore not needed for this</w:t>
      </w:r>
      <w:r>
        <w:t xml:space="preserve"> </w:t>
      </w:r>
      <w:r>
        <w:t xml:space="preserve">flexibility to pay off: it saves fuel that can be sold as LNG.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Operating practice</w:t>
      </w:r>
      <w:r>
        <w:t xml:space="preserve"> </w:t>
      </w:r>
      <w:r>
        <w:t xml:space="preserve">dominates. Keeping two GTs online removes almost</w:t>
      </w:r>
      <w:r>
        <w:t xml:space="preserve"> </w:t>
      </w:r>
      <w:r>
        <w:t xml:space="preserve">all of the benefit of wind (79.2 kt in case 2, 78.4 kt in case 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GT online.</w:t>
      </w:r>
      <w:r>
        <w:t xml:space="preserve"> </w:t>
      </w:r>
      <w:r>
        <w:t xml:space="preserve">Unlike the North Sea, allowing all GTs to stop with an</w:t>
      </w:r>
      <w:r>
        <w:t xml:space="preserve"> </w:t>
      </w:r>
      <w:r>
        <w:t xml:space="preserve">8 MW / 8 MWh battery is</w:t>
      </w:r>
      <w:r>
        <w:t xml:space="preserve"> </w:t>
      </w:r>
      <w:r>
        <w:rPr>
          <w:bCs/>
          <w:b/>
        </w:rPr>
        <w:t xml:space="preserve">not feasible</w:t>
      </w:r>
      <w:r>
        <w:t xml:space="preserve"> </w:t>
      </w:r>
      <w:r>
        <w:t xml:space="preserve">in Tanzania: it leaves 27 MWh of</w:t>
      </w:r>
      <w:r>
        <w:t xml:space="preserve"> </w:t>
      </w:r>
      <w:r>
        <w:t xml:space="preserve">demand unmet over the year and needs 215 GT starts. Long calms and a weak</w:t>
      </w:r>
      <w:r>
        <w:t xml:space="preserve"> </w:t>
      </w:r>
      <w:r>
        <w:t xml:space="preserve">resource mean that a battery of this size cannot always bridge the start</w:t>
      </w:r>
      <w:r>
        <w:t xml:space="preserve"> </w:t>
      </w:r>
      <w:r>
        <w:t xml:space="preserve">of a gas turbine. The result (46.4 kt) is marked in Figure 13 and is not a</w:t>
      </w:r>
      <w:r>
        <w:t xml:space="preserve"> </w:t>
      </w:r>
      <w:r>
        <w:t xml:space="preserve">valid design.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Gas turbine fleet.</w:t>
      </w:r>
      <w:r>
        <w:t xml:space="preserve"> </w:t>
      </w:r>
      <w:r>
        <w:t xml:space="preserve">Replacing one main GT by a smaller unit saves</w:t>
      </w:r>
      <w:r>
        <w:t xml:space="preserve"> </w:t>
      </w:r>
      <w:r>
        <w:t xml:space="preserve">1.1 kt more but needs 45 starts instead of 2.</w:t>
      </w:r>
    </w:p>
    <w:p>
      <w:pPr>
        <w:pStyle w:val="FirstParagraph"/>
      </w:pPr>
      <w:r>
        <w:t xml:space="preserve">Results that differ only by solver tolerance (for example the base case</w:t>
      </w:r>
      <w:r>
        <w:t xml:space="preserve"> </w:t>
      </w:r>
      <w:r>
        <w:t xml:space="preserve">repeated within a sensitivity group) agree within 0.1 kt.</w:t>
      </w:r>
    </w:p>
    <w:p>
      <w:pPr>
        <w:pStyle w:val="CaptionedFigure"/>
      </w:pPr>
      <w:r>
        <w:drawing>
          <wp:inline>
            <wp:extent cx="5334000" cy="4492807"/>
            <wp:effectExtent b="0" l="0" r="0" t="0"/>
            <wp:docPr descr="Figure 13. Tanzania, sensitivity of annual CO2 (cases 2–4). A red ring marks a run with unmet demand." title="" id="30" name="Picture"/>
            <a:graphic>
              <a:graphicData uri="http://schemas.openxmlformats.org/drawingml/2006/picture">
                <pic:pic>
                  <pic:nvPicPr>
                    <pic:cNvPr descr="results/tanzania/paper/fig09_sensitivity_overvie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13.</w:t>
      </w:r>
      <w:r>
        <w:t xml:space="preserve"> </w:t>
      </w:r>
      <w:r>
        <w:t xml:space="preserve">Tanzania, sensitivity of annual CO2 (cases 2–4). A red ring marks a run with unmet demand.</w:t>
      </w:r>
    </w:p>
    <w:bookmarkEnd w:id="32"/>
    <w:bookmarkStart w:id="33" w:name="what-the-comparison-shows"/>
    <w:p>
      <w:pPr>
        <w:pStyle w:val="Heading2"/>
      </w:pPr>
      <w:r>
        <w:t xml:space="preserve">5 What the comparison shows</w:t>
      </w:r>
    </w:p>
    <w:p>
      <w:pPr>
        <w:numPr>
          <w:ilvl w:val="0"/>
          <w:numId w:val="1003"/>
        </w:numPr>
        <w:pStyle w:val="Compact"/>
      </w:pPr>
      <w:r>
        <w:t xml:space="preserve">The main finding holds at a tropical gas platform with a much weaker wind</w:t>
      </w:r>
      <w:r>
        <w:t xml:space="preserve"> </w:t>
      </w:r>
      <w:r>
        <w:t xml:space="preserve">resource and a different process. Scheduling flexible consumers cuts CO2</w:t>
      </w:r>
      <w:r>
        <w:t xml:space="preserve"> </w:t>
      </w:r>
      <w:r>
        <w:t xml:space="preserve">further without lost production, mainly by avoiding a second running gas</w:t>
      </w:r>
      <w:r>
        <w:t xml:space="preserve"> </w:t>
      </w:r>
      <w:r>
        <w:t xml:space="preserve">turbine.</w:t>
      </w:r>
    </w:p>
    <w:p>
      <w:pPr>
        <w:numPr>
          <w:ilvl w:val="0"/>
          <w:numId w:val="1003"/>
        </w:numPr>
        <w:pStyle w:val="Compact"/>
      </w:pPr>
      <w:r>
        <w:t xml:space="preserve">The size of the benefit depends on how many hours of load the platform</w:t>
      </w:r>
      <w:r>
        <w:t xml:space="preserve"> </w:t>
      </w:r>
      <w:r>
        <w:t xml:space="preserve">can postpone, not on how many megawatts it can shed. An oil platform with</w:t>
      </w:r>
      <w:r>
        <w:t xml:space="preserve"> </w:t>
      </w:r>
      <w:r>
        <w:t xml:space="preserve">water injection has a buffer of days. A gas platform has only the line</w:t>
      </w:r>
      <w:r>
        <w:t xml:space="preserve"> </w:t>
      </w:r>
      <w:r>
        <w:t xml:space="preserve">pack of its export pipeline, a few hours. Because this platform also</w:t>
      </w:r>
      <w:r>
        <w:t xml:space="preserve"> </w:t>
      </w:r>
      <w:r>
        <w:t xml:space="preserve">needs a second turbine less often in the first place, the benefit is less</w:t>
      </w:r>
      <w:r>
        <w:t xml:space="preserve"> </w:t>
      </w:r>
      <w:r>
        <w:t xml:space="preserve">than half as large (4.5 % against 11 % of case 2 emissions).</w:t>
      </w:r>
    </w:p>
    <w:p>
      <w:pPr>
        <w:numPr>
          <w:ilvl w:val="0"/>
          <w:numId w:val="1003"/>
        </w:numPr>
        <w:pStyle w:val="Compact"/>
      </w:pPr>
      <w:r>
        <w:t xml:space="preserve">Wind alone reduces emissions less in Tanzania (−43 % against −49 %), and</w:t>
      </w:r>
      <w:r>
        <w:t xml:space="preserve"> </w:t>
      </w:r>
      <w:r>
        <w:t xml:space="preserve">its strong seasonal pattern leaves December almost without wind.</w:t>
      </w:r>
    </w:p>
    <w:p>
      <w:pPr>
        <w:numPr>
          <w:ilvl w:val="0"/>
          <w:numId w:val="1003"/>
        </w:numPr>
        <w:pStyle w:val="Compact"/>
      </w:pPr>
      <w:r>
        <w:t xml:space="preserve">With no carbon price, or with the small Tanzanian excise duty of 2025,</w:t>
      </w:r>
      <w:r>
        <w:t xml:space="preserve"> </w:t>
      </w:r>
      <w:r>
        <w:t xml:space="preserve">wind and flexibility are justified in Tanzania by the gas they save for</w:t>
      </w:r>
      <w:r>
        <w:t xml:space="preserve"> </w:t>
      </w:r>
      <w:r>
        <w:t xml:space="preserve">sale, not by avoided CO2 cost.</w:t>
      </w:r>
    </w:p>
    <w:p>
      <w:pPr>
        <w:pStyle w:val="FirstParagraph"/>
      </w:pPr>
      <w:r>
        <w:rPr>
          <w:bCs/>
          <w:b/>
        </w:rPr>
        <w:t xml:space="preserve">Limitations specific to this case.</w:t>
      </w:r>
      <w:r>
        <w:t xml:space="preserve"> </w:t>
      </w:r>
      <w:r>
        <w:t xml:space="preserve">The processing platform is</w:t>
      </w:r>
      <w:r>
        <w:t xml:space="preserve"> </w:t>
      </w:r>
      <w:r>
        <w:t xml:space="preserve">hypothetical: the planned development is subsea-to-shore. The gas composition,</w:t>
      </w:r>
      <w:r>
        <w:t xml:space="preserve"> </w:t>
      </w:r>
      <w:r>
        <w:t xml:space="preserve">pipeline size and pressures, and the production limits are assumptions. 43 of</w:t>
      </w:r>
      <w:r>
        <w:t xml:space="preserve"> </w:t>
      </w:r>
      <w:r>
        <w:t xml:space="preserve">115 parameters remain assumptions, 22 of them specific to Tanzania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docs/verification/tanzania_assumptions.md</w:t>
      </w:r>
      <w:r>
        <w:t xml:space="preserve">). The TEG and MEG duties were</w:t>
      </w:r>
      <w:r>
        <w:t xml:space="preserve"> </w:t>
      </w:r>
      <w:r>
        <w:t xml:space="preserve">checked with NeqSim water-content calculations. No operating data are available for</w:t>
      </w:r>
      <w:r>
        <w:t xml:space="preserve"> </w:t>
      </w:r>
      <w:r>
        <w:t xml:space="preserve">validation; the wind input is checked only qualitatively against coastal</w:t>
      </w:r>
      <w:r>
        <w:t xml:space="preserve"> </w:t>
      </w:r>
      <w:r>
        <w:t xml:space="preserve">station measurements and the ESMAP offshore-wind maps. ESMAP counts technical</w:t>
      </w:r>
      <w:r>
        <w:t xml:space="preserve"> </w:t>
      </w:r>
      <w:r>
        <w:t xml:space="preserve">potential only where the mean wind speed is at least 7 m/s, slightly above</w:t>
      </w:r>
      <w:r>
        <w:t xml:space="preserve"> </w:t>
      </w:r>
      <w:r>
        <w:t xml:space="preserve">the 6.4 m/s at 100 m that ERA5 gives here. Reanalysis data may underestimate</w:t>
      </w:r>
      <w:r>
        <w:t xml:space="preserve"> </w:t>
      </w:r>
      <w:r>
        <w:t xml:space="preserve">offshore wind speeds, so the Tanzanian wind results are likely conservative.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29" Type="http://schemas.openxmlformats.org/officeDocument/2006/relationships/image" Target="media/rId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2026-10-26T09:45:51Z</dcterms:created>
  <dcterms:modified xsi:type="dcterms:W3CDTF">2026-10-26T09:45:51Z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