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results"/>
    <w:p>
      <w:pPr>
        <w:pStyle w:val="Heading1"/>
      </w:pPr>
      <w:r>
        <w:t xml:space="preserve">Results</w:t>
      </w:r>
    </w:p>
    <w:p>
      <w:pPr>
        <w:pStyle w:val="FirstParagraph"/>
      </w:pPr>
      <w:r>
        <w:rPr>
          <w:iCs/>
          <w:i/>
        </w:rPr>
        <w:t xml:space="preserve">Draft for the thesis chapter. All values are for the ERA5 weather year 2023</w:t>
      </w:r>
      <w:r>
        <w:rPr>
          <w:iCs/>
          <w:i/>
        </w:rPr>
        <w:t xml:space="preserve"> </w:t>
      </w:r>
      <w:r>
        <w:rPr>
          <w:iCs/>
          <w:i/>
        </w:rPr>
        <w:t xml:space="preserve">and the base-case parameters in Table T1. Figures and tables are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results/paper/</w:t>
      </w:r>
      <w:r>
        <w:rPr>
          <w:iCs/>
          <w:i/>
        </w:rPr>
        <w:t xml:space="preserve"> </w:t>
      </w:r>
      <w:r>
        <w:rPr>
          <w:iCs/>
          <w:i/>
        </w:rPr>
        <w:t xml:space="preserve">(figure files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figXX_*.png/.pdf</w:t>
      </w:r>
      <w:r>
        <w:rPr>
          <w:iCs/>
          <w:i/>
        </w:rPr>
        <w:t xml:space="preserve">, tables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tables/T2–T4</w:t>
      </w:r>
      <w:r>
        <w:rPr>
          <w:iCs/>
          <w:i/>
        </w:rPr>
        <w:t xml:space="preserve">).</w:t>
      </w:r>
    </w:p>
    <w:bookmarkStart w:id="23" w:name="wind-resource"/>
    <w:p>
      <w:pPr>
        <w:pStyle w:val="Heading2"/>
      </w:pPr>
      <w:r>
        <w:t xml:space="preserve">1 Wind resource</w:t>
      </w:r>
    </w:p>
    <w:p>
      <w:pPr>
        <w:pStyle w:val="FirstParagraph"/>
      </w:pPr>
      <w:r>
        <w:t xml:space="preserve">The ERA5 wind speed at the site averages 9.4 m/s at 100 m and 9.8 m/s at the</w:t>
      </w:r>
      <w:r>
        <w:t xml:space="preserve"> </w:t>
      </w:r>
      <w:r>
        <w:t xml:space="preserve">150 m hub height. The 30 MW wind farm would deliver 133.8 GWh in 2023, a</w:t>
      </w:r>
      <w:r>
        <w:t xml:space="preserve"> </w:t>
      </w:r>
      <w:r>
        <w:t xml:space="preserve">capacity factor of</w:t>
      </w:r>
      <w:r>
        <w:t xml:space="preserve"> </w:t>
      </w:r>
      <w:r>
        <w:rPr>
          <w:bCs/>
          <w:b/>
        </w:rPr>
        <w:t xml:space="preserve">50.9 %</w:t>
      </w:r>
      <w:r>
        <w:t xml:space="preserve"> </w:t>
      </w:r>
      <w:r>
        <w:t xml:space="preserve">(Figure 1). Output is strongly seasonal: the</w:t>
      </w:r>
      <w:r>
        <w:t xml:space="preserve"> </w:t>
      </w:r>
      <w:r>
        <w:t xml:space="preserve">monthly capacity factor is 63–68 % in January and February and 36–37 % from</w:t>
      </w:r>
      <w:r>
        <w:t xml:space="preserve"> </w:t>
      </w:r>
      <w:r>
        <w:t xml:space="preserve">June to August. The farm delivers its maximum 26.5 MW in 40 % of the hours</w:t>
      </w:r>
      <w:r>
        <w:t xml:space="preserve"> </w:t>
      </w:r>
      <w:r>
        <w:t xml:space="preserve">(3,511 h) and nothing in 9.6 % of the hours (839 h, calm periods and a few</w:t>
      </w:r>
      <w:r>
        <w:t xml:space="preserve"> </w:t>
      </w:r>
      <w:r>
        <w:t xml:space="preserve">hours above cut-out). Available wind power exceeds the platform’s design</w:t>
      </w:r>
      <w:r>
        <w:t xml:space="preserve"> </w:t>
      </w:r>
      <w:r>
        <w:t xml:space="preserve">demand of 20.3 MW in 4,017 hours.</w:t>
      </w:r>
    </w:p>
    <w:p>
      <w:pPr>
        <w:pStyle w:val="CaptionedFigure"/>
      </w:pPr>
      <w:r>
        <w:drawing>
          <wp:inline>
            <wp:extent cx="5334000" cy="1931581"/>
            <wp:effectExtent b="0" l="0" r="0" t="0"/>
            <wp:docPr descr="Figure 1. Wind resource at 61° N, 2° E in 2023 (ERA5). Left: monthly capacity factor of the 30 MW wind farm (dashed: annual mean). Right: duration curve of wind farm power." title="" id="21" name="Picture"/>
            <a:graphic>
              <a:graphicData uri="http://schemas.openxmlformats.org/drawingml/2006/picture">
                <pic:pic>
                  <pic:nvPicPr>
                    <pic:cNvPr descr="results/paper/fig01_wind_resourc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1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1.</w:t>
      </w:r>
      <w:r>
        <w:t xml:space="preserve"> </w:t>
      </w:r>
      <w:r>
        <w:t xml:space="preserve">Wind resource at 61° N, 2° E in 2023 (ERA5). Left: monthly capacity factor of the 30 MW wind farm (dashed: annual mean). Right: duration curve of wind farm power.</w:t>
      </w:r>
    </w:p>
    <w:bookmarkEnd w:id="23"/>
    <w:bookmarkStart w:id="30" w:name="demand-map-and-gas-turbine-efficiency"/>
    <w:p>
      <w:pPr>
        <w:pStyle w:val="Heading2"/>
      </w:pPr>
      <w:r>
        <w:t xml:space="preserve">2 Demand map and gas-turbine efficiency</w:t>
      </w:r>
    </w:p>
    <w:p>
      <w:pPr>
        <w:pStyle w:val="FirstParagraph"/>
      </w:pPr>
      <w:r>
        <w:t xml:space="preserve">At design the platform needs 20.3 MW (Table 1, Figure 2). Water injection is</w:t>
      </w:r>
      <w:r>
        <w:t xml:space="preserve"> </w:t>
      </w:r>
      <w:r>
        <w:t xml:space="preserve">the largest single consumer (9.2 MW, 45 %) and the only large deferrable one.</w:t>
      </w:r>
      <w:r>
        <w:t xml:space="preserve"> </w:t>
      </w:r>
      <w:r>
        <w:t xml:space="preserve">The sheddable consumers tied to production account for 7.2 MW (35 %) and the</w:t>
      </w:r>
      <w:r>
        <w:t xml:space="preserve"> </w:t>
      </w:r>
      <w:r>
        <w:t xml:space="preserve">must-run base load for 3.5 MW (17 %). Stopping injection at full production</w:t>
      </w:r>
      <w:r>
        <w:t xml:space="preserve"> </w:t>
      </w:r>
      <w:r>
        <w:t xml:space="preserve">lowers the demand from 20.3 MW to 10.7 MW, a swing of 9.6 MW that costs no</w:t>
      </w:r>
      <w:r>
        <w:t xml:space="preserve"> </w:t>
      </w:r>
      <w:r>
        <w:t xml:space="preserve">production as long as the injection is caught up. The production lever has a</w:t>
      </w:r>
      <w:r>
        <w:t xml:space="preserve"> </w:t>
      </w:r>
      <w:r>
        <w:t xml:space="preserve">characteristic step: just above 50 % rate the second export compressor train</w:t>
      </w:r>
      <w:r>
        <w:t xml:space="preserve"> </w:t>
      </w:r>
      <w:r>
        <w:t xml:space="preserve">must start at its surge limit, raising power by 0.75 MW.</w:t>
      </w:r>
    </w:p>
    <w:p>
      <w:pPr>
        <w:pStyle w:val="CaptionedFigure"/>
      </w:pPr>
      <w:r>
        <w:drawing>
          <wp:inline>
            <wp:extent cx="5334000" cy="2191613"/>
            <wp:effectExtent b="0" l="0" r="0" t="0"/>
            <wp:docPr descr="Figure 2. Demand map. Left: electric power at design by consumer, coloured by flexibility class. Right: power of the production (sheddable) and injection (flexible) levers against lever position." title="" id="25" name="Picture"/>
            <a:graphic>
              <a:graphicData uri="http://schemas.openxmlformats.org/drawingml/2006/picture">
                <pic:pic>
                  <pic:nvPicPr>
                    <pic:cNvPr descr="results/paper/fig02_demand_map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1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2.</w:t>
      </w:r>
      <w:r>
        <w:t xml:space="preserve"> </w:t>
      </w:r>
      <w:r>
        <w:t xml:space="preserve">Demand map. Left: electric power at design by consumer, coloured by flexibility class. Right: power of the production (sheddable) and injection (flexible) levers against lever position.</w:t>
      </w:r>
    </w:p>
    <w:p>
      <w:pPr>
        <w:pStyle w:val="BodyText"/>
      </w:pPr>
      <w:r>
        <w:t xml:space="preserve">GT efficiency falls steeply at part load (Figure 3): from 34.7 % at full load</w:t>
      </w:r>
      <w:r>
        <w:t xml:space="preserve"> </w:t>
      </w:r>
      <w:r>
        <w:t xml:space="preserve">to 29.3 % at half load and 17.7 % at the 3.5 MW minimum load, so the CO2 per</w:t>
      </w:r>
      <w:r>
        <w:t xml:space="preserve"> </w:t>
      </w:r>
      <w:r>
        <w:t xml:space="preserve">MWh of electricity almost doubles (623 → 1,220 kg/MWh). Running GTs at low</w:t>
      </w:r>
      <w:r>
        <w:t xml:space="preserve"> </w:t>
      </w:r>
      <w:r>
        <w:t xml:space="preserve">load is therefore costly, and avoiding it is the main lever for savings.</w:t>
      </w:r>
    </w:p>
    <w:p>
      <w:pPr>
        <w:pStyle w:val="CaptionedFigure"/>
      </w:pPr>
      <w:r>
        <w:drawing>
          <wp:inline>
            <wp:extent cx="5334000" cy="2144232"/>
            <wp:effectExtent b="0" l="0" r="0" t="0"/>
            <wp:docPr descr="Figure 3. Part-load electric efficiency (left) and specific CO2 emission (right) of the gas turbines. Shaded: below minimum stable load." title="" id="28" name="Picture"/>
            <a:graphic>
              <a:graphicData uri="http://schemas.openxmlformats.org/drawingml/2006/picture">
                <pic:pic>
                  <pic:nvPicPr>
                    <pic:cNvPr descr="results/paper/fig03_gt_part_loa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4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3.</w:t>
      </w:r>
      <w:r>
        <w:t xml:space="preserve"> </w:t>
      </w:r>
      <w:r>
        <w:t xml:space="preserve">Part-load electric efficiency (left) and specific CO2 emission (right) of the gas turbines. Shaded: below minimum stable load.</w:t>
      </w:r>
    </w:p>
    <w:bookmarkEnd w:id="30"/>
    <w:bookmarkStart w:id="34" w:name="comparison-of-the-four-cases"/>
    <w:p>
      <w:pPr>
        <w:pStyle w:val="Heading2"/>
      </w:pPr>
      <w:r>
        <w:t xml:space="preserve">3 Comparison of the four cases</w:t>
      </w:r>
    </w:p>
    <w:p>
      <w:pPr>
        <w:pStyle w:val="FirstParagraph"/>
      </w:pPr>
      <w:r>
        <w:rPr>
          <w:bCs/>
          <w:b/>
        </w:rPr>
        <w:t xml:space="preserve">Table 2.</w:t>
      </w:r>
      <w:r>
        <w:t xml:space="preserve"> </w:t>
      </w:r>
      <w:r>
        <w:t xml:space="preserve">Annual results for the four cases (2023).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 GTs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Wind,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Wind, flexible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Flexible + battery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CO2 [kt/yr]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Reduction vs case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Fuel gas [MSm3/yr]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 running [unit-h/yr]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10,462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8,760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 below 50 % load [unit-h/yr]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6,235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 starts [-/yr]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 used [GWh/yr]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 curtailed [GWh/yr]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Lost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Fuel value + CO2 cost [MNOK/yr]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216.6</w:t>
            </w:r>
          </w:p>
        </w:tc>
      </w:tr>
    </w:tbl>
    <w:p>
      <w:pPr>
        <w:pStyle w:val="BodyText"/>
      </w:pPr>
      <w:r>
        <w:t xml:space="preserve">With gas turbines only, the platform burns 54.6 MSm3 of fuel gas and emits</w:t>
      </w:r>
      <w:r>
        <w:t xml:space="preserve"> </w:t>
      </w:r>
      <w:r>
        <w:t xml:space="preserve">127.7 kt CO2 per year (Table 2, Figure 4). Two GTs run in every hour to</w:t>
      </w:r>
      <w:r>
        <w:t xml:space="preserve"> </w:t>
      </w:r>
      <w:r>
        <w:t xml:space="preserve">carry the load and the 5 MW reserve, each at about 43 % load, so all 17,520</w:t>
      </w:r>
      <w:r>
        <w:t xml:space="preserve"> </w:t>
      </w:r>
      <w:r>
        <w:t xml:space="preserve">unit-hours are low-load hours.</w:t>
      </w:r>
    </w:p>
    <w:p>
      <w:pPr>
        <w:pStyle w:val="BodyText"/>
      </w:pPr>
      <w:r>
        <w:t xml:space="preserve">Adding the 30 MW wind farm with fixed demand (case 2) halves the emissions to</w:t>
      </w:r>
      <w:r>
        <w:t xml:space="preserve"> </w:t>
      </w:r>
      <w:r>
        <w:t xml:space="preserve">64.7 kt (−49.4 %). Because demand cannot follow the wind, 44.5 GWh of wind</w:t>
      </w:r>
      <w:r>
        <w:t xml:space="preserve"> </w:t>
      </w:r>
      <w:r>
        <w:t xml:space="preserve">(33 % of the available energy) is curtailed, and a second GT is still needed</w:t>
      </w:r>
      <w:r>
        <w:t xml:space="preserve"> </w:t>
      </w:r>
      <w:r>
        <w:t xml:space="preserve">in 1,702 hours, with 149 starts.</w:t>
      </w:r>
    </w:p>
    <w:p>
      <w:pPr>
        <w:pStyle w:val="BodyText"/>
      </w:pPr>
      <w:r>
        <w:t xml:space="preserve">Flexible scheduling (case 3) reduces CO2 by a further</w:t>
      </w:r>
      <w:r>
        <w:t xml:space="preserve"> </w:t>
      </w:r>
      <w:r>
        <w:rPr>
          <w:bCs/>
          <w:b/>
        </w:rPr>
        <w:t xml:space="preserve">7.1 kt/yr (−11.0 %</w:t>
      </w:r>
      <w:r>
        <w:rPr>
          <w:bCs/>
          <w:b/>
        </w:rPr>
        <w:t xml:space="preserve"> </w:t>
      </w:r>
      <w:r>
        <w:rPr>
          <w:bCs/>
          <w:b/>
        </w:rPr>
        <w:t xml:space="preserve">relative to case 2)</w:t>
      </w:r>
      <w:r>
        <w:t xml:space="preserve"> </w:t>
      </w:r>
      <w:r>
        <w:t xml:space="preserve">to 57.6 kt,</w:t>
      </w:r>
      <w:r>
        <w:t xml:space="preserve"> </w:t>
      </w:r>
      <w:r>
        <w:rPr>
          <w:bCs/>
          <w:b/>
        </w:rPr>
        <w:t xml:space="preserve">without any loss of production</w:t>
      </w:r>
      <w:r>
        <w:t xml:space="preserve">. Fuel use</w:t>
      </w:r>
      <w:r>
        <w:t xml:space="preserve"> </w:t>
      </w:r>
      <w:r>
        <w:t xml:space="preserve">falls by the same 11 %, GT low-load unit-hours by 34 % (9,005 → 5,928), GT</w:t>
      </w:r>
      <w:r>
        <w:t xml:space="preserve"> </w:t>
      </w:r>
      <w:r>
        <w:t xml:space="preserve">starts from 149 to 6, and wind curtailment by 13 % (44.5 → 38.8 GWh). The</w:t>
      </w:r>
      <w:r>
        <w:t xml:space="preserve"> </w:t>
      </w:r>
      <w:r>
        <w:t xml:space="preserve">combined fuel value and CO2 cost falls by 27 MNOK/yr compared with case 2.</w:t>
      </w:r>
    </w:p>
    <w:p>
      <w:pPr>
        <w:pStyle w:val="BodyText"/>
      </w:pPr>
      <w:r>
        <w:t xml:space="preserve">A 4 MW / 4 MWh battery (case 4) adds only 0.4 kt (−0.7 %). It removes the</w:t>
      </w:r>
      <w:r>
        <w:t xml:space="preserve"> </w:t>
      </w:r>
      <w:r>
        <w:t xml:space="preserve">remaining GT starts and the last hours with a second GT, but with one GT</w:t>
      </w:r>
      <w:r>
        <w:t xml:space="preserve"> </w:t>
      </w:r>
      <w:r>
        <w:t xml:space="preserve">always online it cannot remove the main remaining loss: one GT idling near</w:t>
      </w:r>
      <w:r>
        <w:t xml:space="preserve"> </w:t>
      </w:r>
      <w:r>
        <w:t xml:space="preserve">minimum load whenever the wind covers the demand.</w:t>
      </w:r>
    </w:p>
    <w:p>
      <w:pPr>
        <w:pStyle w:val="CaptionedFigure"/>
      </w:pPr>
      <w:r>
        <w:drawing>
          <wp:inline>
            <wp:extent cx="5334000" cy="4135962"/>
            <wp:effectExtent b="0" l="0" r="0" t="0"/>
            <wp:docPr descr="Figure 4. Annual CO2, fuel gas, GT hours below 50 % load and lost production for cases 1–4." title="" id="32" name="Picture"/>
            <a:graphic>
              <a:graphicData uri="http://schemas.openxmlformats.org/drawingml/2006/picture">
                <pic:pic>
                  <pic:nvPicPr>
                    <pic:cNvPr descr="results/paper/fig04_case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5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4.</w:t>
      </w:r>
      <w:r>
        <w:t xml:space="preserve"> </w:t>
      </w:r>
      <w:r>
        <w:t xml:space="preserve">Annual CO2, fuel gas, GT hours below 50 % load and lost production for cases 1–4.</w:t>
      </w:r>
    </w:p>
    <w:bookmarkEnd w:id="34"/>
    <w:bookmarkStart w:id="44" w:name="how-flexible-scheduling-saves-fuel"/>
    <w:p>
      <w:pPr>
        <w:pStyle w:val="Heading2"/>
      </w:pPr>
      <w:r>
        <w:t xml:space="preserve">4 How flexible scheduling saves fuel</w:t>
      </w:r>
    </w:p>
    <w:p>
      <w:pPr>
        <w:pStyle w:val="FirstParagraph"/>
      </w:pPr>
      <w:r>
        <w:t xml:space="preserve">The savings in case 3 come almost entirely from</w:t>
      </w:r>
      <w:r>
        <w:t xml:space="preserve"> </w:t>
      </w:r>
      <w:r>
        <w:rPr>
          <w:bCs/>
          <w:b/>
        </w:rPr>
        <w:t xml:space="preserve">avoiding a second gas</w:t>
      </w:r>
      <w:r>
        <w:rPr>
          <w:bCs/>
          <w:b/>
        </w:rPr>
        <w:t xml:space="preserve"> </w:t>
      </w:r>
      <w:r>
        <w:rPr>
          <w:bCs/>
          <w:b/>
        </w:rPr>
        <w:t xml:space="preserve">turbine</w:t>
      </w:r>
      <w:r>
        <w:t xml:space="preserve">. With fixed demand, a second GT is needed whenever the wind drops</w:t>
      </w:r>
      <w:r>
        <w:t xml:space="preserve"> </w:t>
      </w:r>
      <w:r>
        <w:t xml:space="preserve">and one GT cannot carry the load while keeping 5 MW in reserve (1,702 h in</w:t>
      </w:r>
      <w:r>
        <w:t xml:space="preserve"> </w:t>
      </w:r>
      <w:r>
        <w:t xml:space="preserve">case 2). Each such hour costs the no-load fuel of a whole extra GT. In case 3,</w:t>
      </w:r>
      <w:r>
        <w:t xml:space="preserve"> </w:t>
      </w:r>
      <w:r>
        <w:t xml:space="preserve">the optimiser postpones water injection in exactly these hours, so one GT</w:t>
      </w:r>
      <w:r>
        <w:t xml:space="preserve"> </w:t>
      </w:r>
      <w:r>
        <w:t xml:space="preserve">suffices; a second GT runs in only 30 hours of the year (Figure 6).</w:t>
      </w:r>
    </w:p>
    <w:p>
      <w:pPr>
        <w:pStyle w:val="BodyText"/>
      </w:pPr>
      <w:r>
        <w:t xml:space="preserve">The example week in Figure 5 (week 29, the week with the median fuel saving)</w:t>
      </w:r>
      <w:r>
        <w:t xml:space="preserve"> </w:t>
      </w:r>
      <w:r>
        <w:t xml:space="preserve">shows the pattern: whenever wind drops, injection is cut, sometimes to zero,</w:t>
      </w:r>
      <w:r>
        <w:t xml:space="preserve"> </w:t>
      </w:r>
      <w:r>
        <w:t xml:space="preserve">and the demand line follows the wind; when wind returns, injection runs at</w:t>
      </w:r>
      <w:r>
        <w:t xml:space="preserve"> </w:t>
      </w:r>
      <w:r>
        <w:t xml:space="preserve">100 % to catch up. Over the year, injection is below its 85 % target in</w:t>
      </w:r>
      <w:r>
        <w:t xml:space="preserve"> </w:t>
      </w:r>
      <w:r>
        <w:t xml:space="preserve">2,597 hours, stopped completely in 178 hours, and above target in 6,048 hours.</w:t>
      </w:r>
      <w:r>
        <w:t xml:space="preserve"> </w:t>
      </w:r>
      <w:r>
        <w:t xml:space="preserve">The mean injection rate stays at 84.9 % of capacity, so the voidage target is</w:t>
      </w:r>
      <w:r>
        <w:t xml:space="preserve"> </w:t>
      </w:r>
      <w:r>
        <w:t xml:space="preserve">met (Figure 8). Injection rate and available wind are clearly correlated</w:t>
      </w:r>
      <w:r>
        <w:t xml:space="preserve"> </w:t>
      </w:r>
      <w:r>
        <w:t xml:space="preserve">(r = 0.61): mean injection rises from 59 % in the calmest hours to 98–99 %</w:t>
      </w:r>
      <w:r>
        <w:t xml:space="preserve"> </w:t>
      </w:r>
      <w:r>
        <w:t xml:space="preserve">when more than 16 MW of wind is available.</w:t>
      </w:r>
    </w:p>
    <w:p>
      <w:pPr>
        <w:pStyle w:val="BodyText"/>
      </w:pPr>
      <w:r>
        <w:t xml:space="preserve">The injection deficit stays small. It averages 7.5 h of full-rate injection</w:t>
      </w:r>
      <w:r>
        <w:t xml:space="preserve"> </w:t>
      </w:r>
      <w:r>
        <w:t xml:space="preserve">and never exceeds 25.2 h, well below the 72 h allowed (Figure 8, right). The</w:t>
      </w:r>
      <w:r>
        <w:t xml:space="preserve"> </w:t>
      </w:r>
      <w:r>
        <w:t xml:space="preserve">year ends with 6.3 h of injection still to be caught up, equivalent to less</w:t>
      </w:r>
      <w:r>
        <w:t xml:space="preserve"> </w:t>
      </w:r>
      <w:r>
        <w:t xml:space="preserve">than 1 % of the annual saving.</w:t>
      </w:r>
    </w:p>
    <w:p>
      <w:pPr>
        <w:pStyle w:val="BodyText"/>
      </w:pPr>
      <w:r>
        <w:t xml:space="preserve">Production is never reduced in any case. Shedding production is not</w:t>
      </w:r>
      <w:r>
        <w:t xml:space="preserve"> </w:t>
      </w:r>
      <w:r>
        <w:t xml:space="preserve">economic: one hour at 50 % rate loses oil and gas worth about 1.5 MNOK,</w:t>
      </w:r>
      <w:r>
        <w:t xml:space="preserve"> </w:t>
      </w:r>
      <w:r>
        <w:t xml:space="preserve">while the CO2 and fuel saved are worth a few thousand NOK.</w:t>
      </w:r>
    </w:p>
    <w:p>
      <w:pPr>
        <w:pStyle w:val="CaptionedFigure"/>
      </w:pPr>
      <w:r>
        <w:drawing>
          <wp:inline>
            <wp:extent cx="5334000" cy="4365500"/>
            <wp:effectExtent b="0" l="0" r="0" t="0"/>
            <wp:docPr descr="Figure 5. Week 29 (16–22 July 2023), the week with the median fuel saving. Top and middle: power supplied by GTs and wind for fixed (case 2) and flexible (case 3) demand. Bottom: production and injection rates." title="" id="36" name="Picture"/>
            <a:graphic>
              <a:graphicData uri="http://schemas.openxmlformats.org/drawingml/2006/picture">
                <pic:pic>
                  <pic:nvPicPr>
                    <pic:cNvPr descr="results/paper/fig05_example_week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5.</w:t>
      </w:r>
      <w:r>
        <w:t xml:space="preserve"> </w:t>
      </w:r>
      <w:r>
        <w:t xml:space="preserve">Week 29 (16–22 July 2023), the week with the median fuel saving. Top and middle: power supplied by GTs and wind for fixed (case 2) and flexible (case 3) demand. Bottom: production and injection rates.</w:t>
      </w:r>
    </w:p>
    <w:p>
      <w:pPr>
        <w:pStyle w:val="CaptionedFigure"/>
      </w:pPr>
      <w:r>
        <w:drawing>
          <wp:inline>
            <wp:extent cx="5334000" cy="2037906"/>
            <wp:effectExtent b="0" l="0" r="0" t="0"/>
            <wp:docPr descr="Figure 6. Duration curves of GT load per running unit (left, shaded: below 50 %) and of the number of GTs running (right)." title="" id="39" name="Picture"/>
            <a:graphic>
              <a:graphicData uri="http://schemas.openxmlformats.org/drawingml/2006/picture">
                <pic:pic>
                  <pic:nvPicPr>
                    <pic:cNvPr descr="results/paper/fig06_gt_load_duration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7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6.</w:t>
      </w:r>
      <w:r>
        <w:t xml:space="preserve"> </w:t>
      </w:r>
      <w:r>
        <w:t xml:space="preserve">Duration curves of GT load per running unit (left, shaded: below 50 %) and of the number of GTs running (right).</w:t>
      </w:r>
    </w:p>
    <w:p>
      <w:pPr>
        <w:pStyle w:val="CaptionedFigure"/>
      </w:pPr>
      <w:r>
        <w:drawing>
          <wp:inline>
            <wp:extent cx="5334000" cy="2037906"/>
            <wp:effectExtent b="0" l="0" r="0" t="0"/>
            <wp:docPr descr="Figure 8. Left: water-injection rate against available wind in case 3 (mean and 10–90 % range of hours). Right: distribution of the injection deficit (dashed: 72 h limit)." title="" id="42" name="Picture"/>
            <a:graphic>
              <a:graphicData uri="http://schemas.openxmlformats.org/drawingml/2006/picture">
                <pic:pic>
                  <pic:nvPicPr>
                    <pic:cNvPr descr="results/paper/fig08_injection_mechanism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7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8.</w:t>
      </w:r>
      <w:r>
        <w:t xml:space="preserve"> </w:t>
      </w:r>
      <w:r>
        <w:t xml:space="preserve">Left: water-injection rate against available wind in case 3 (mean and 10–90 % range of hours). Right: distribution of the injection deficit (dashed: 72 h limit).</w:t>
      </w:r>
    </w:p>
    <w:bookmarkEnd w:id="44"/>
    <w:bookmarkStart w:id="48" w:name="seasonal-pattern"/>
    <w:p>
      <w:pPr>
        <w:pStyle w:val="Heading2"/>
      </w:pPr>
      <w:r>
        <w:t xml:space="preserve">5 Seasonal pattern</w:t>
      </w:r>
    </w:p>
    <w:p>
      <w:pPr>
        <w:pStyle w:val="FirstParagraph"/>
      </w:pPr>
      <w:r>
        <w:t xml:space="preserve">Monthly emissions follow the wind (Figure 7). In case 2 they range from</w:t>
      </w:r>
      <w:r>
        <w:t xml:space="preserve"> </w:t>
      </w:r>
      <w:r>
        <w:t xml:space="preserve">3.8 kt in February to 6.4 kt in June and July. The saving from flexibility is</w:t>
      </w:r>
      <w:r>
        <w:t xml:space="preserve"> </w:t>
      </w:r>
      <w:r>
        <w:t xml:space="preserve">present in every month (0.42–0.76 kt/month). It is largest in June (0.76 kt),</w:t>
      </w:r>
      <w:r>
        <w:t xml:space="preserve"> </w:t>
      </w:r>
      <w:r>
        <w:t xml:space="preserve">December and July, months in which the wind often falls below the demand and</w:t>
      </w:r>
      <w:r>
        <w:t xml:space="preserve"> </w:t>
      </w:r>
      <w:r>
        <w:t xml:space="preserve">a second GT would otherwise be needed.</w:t>
      </w:r>
    </w:p>
    <w:p>
      <w:pPr>
        <w:pStyle w:val="CaptionedFigure"/>
      </w:pPr>
      <w:r>
        <w:drawing>
          <wp:inline>
            <wp:extent cx="5334000" cy="2545269"/>
            <wp:effectExtent b="0" l="0" r="0" t="0"/>
            <wp:docPr descr="Figure 7. Monthly CO2 emissions for cases 1–4." title="" id="46" name="Picture"/>
            <a:graphic>
              <a:graphicData uri="http://schemas.openxmlformats.org/drawingml/2006/picture">
                <pic:pic>
                  <pic:nvPicPr>
                    <pic:cNvPr descr="results/paper/fig07_monthly_co2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5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7.</w:t>
      </w:r>
      <w:r>
        <w:t xml:space="preserve"> </w:t>
      </w:r>
      <w:r>
        <w:t xml:space="preserve">Monthly CO2 emissions for cases 1–4.</w:t>
      </w:r>
    </w:p>
    <w:bookmarkEnd w:id="48"/>
    <w:bookmarkStart w:id="52" w:name="sensitivity-analysis"/>
    <w:p>
      <w:pPr>
        <w:pStyle w:val="Heading2"/>
      </w:pPr>
      <w:r>
        <w:t xml:space="preserve">6 Sensitivity analysis</w:t>
      </w:r>
    </w:p>
    <w:p>
      <w:pPr>
        <w:pStyle w:val="FirstParagraph"/>
      </w:pPr>
      <w:r>
        <w:rPr>
          <w:bCs/>
          <w:b/>
        </w:rPr>
        <w:t xml:space="preserve">Table 3.</w:t>
      </w:r>
      <w:r>
        <w:t xml:space="preserve"> </w:t>
      </w:r>
      <w:r>
        <w:t xml:space="preserve">Annual CO2 [kt/yr] in the sensitivity runs (selected).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Varied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2 (fixed)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3 (flexible)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4 (battery)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 farm size [turbines]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2 / 3 /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77.6 / 64.7 / 60.2 / 57.6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72.0 / 57.6 / 53.3 / 50.9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CO2 price [NOK/kg]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/ 1 / 2 /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57.5 / 57.5 / 57.6 / 57.5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Gas price [NOK/Sm3]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4.19 / 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57.5 / 57.6 / 57.5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Battery [MW / MWh]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2/2 / 4/4 / 8/8 / 8/16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57.6 / 57.3 / 57.2 / 56.9 / 56.4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Injection deficit limit [h]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24 / 72 / 168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64.7 / 57.6 / 57.6 / 57.5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Min. GTs online (8 MW battery)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56.9 / 38.7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 fleet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main / 2 main + 1 small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57.6 / 55.6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Keep 2 GTs online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90.7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87.7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results (Table 3, Figure 9) show which inputs matter: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Prices do not change the schedule.</w:t>
      </w:r>
      <w:r>
        <w:t xml:space="preserve"> </w:t>
      </w:r>
      <w:r>
        <w:t xml:space="preserve">Across CO2 prices of 0.5–3 NOK/kg</w:t>
      </w:r>
      <w:r>
        <w:t xml:space="preserve"> </w:t>
      </w:r>
      <w:r>
        <w:t xml:space="preserve">and gas prices of 2–8 NOK/Sm3, emissions change by less than 0.1 %.</w:t>
      </w:r>
      <w:r>
        <w:t xml:space="preserve"> </w:t>
      </w:r>
      <w:r>
        <w:t xml:space="preserve">Production is never shed, and the injection schedule is driven by fuel</w:t>
      </w:r>
      <w:r>
        <w:t xml:space="preserve"> </w:t>
      </w:r>
      <w:r>
        <w:t xml:space="preserve">savings that are worthwhile at any price.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small injection deficit is enough.</w:t>
      </w:r>
      <w:r>
        <w:t xml:space="preserve"> </w:t>
      </w:r>
      <w:r>
        <w:t xml:space="preserve">With no deferral allowed (0 h)</w:t>
      </w:r>
      <w:r>
        <w:t xml:space="preserve"> </w:t>
      </w:r>
      <w:r>
        <w:t xml:space="preserve">case 3 is identical to case 2 (64.7 kt). A limit of 24 h already gives the</w:t>
      </w:r>
      <w:r>
        <w:t xml:space="preserve"> </w:t>
      </w:r>
      <w:r>
        <w:t xml:space="preserve">full saving; allowing 168 h changes nothing more. Even a conservative</w:t>
      </w:r>
      <w:r>
        <w:t xml:space="preserve"> </w:t>
      </w:r>
      <w:r>
        <w:t xml:space="preserve">reservoir constraint would therefore capture the benefit.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Wind farm size has diminishing returns.</w:t>
      </w:r>
      <w:r>
        <w:t xml:space="preserve"> </w:t>
      </w:r>
      <w:r>
        <w:t xml:space="preserve">Doubling the farm from 30 to</w:t>
      </w:r>
      <w:r>
        <w:t xml:space="preserve"> </w:t>
      </w:r>
      <w:r>
        <w:t xml:space="preserve">60 MW lowers case 3 emissions only from 57.6 to 50.9 kt, while curtailment</w:t>
      </w:r>
      <w:r>
        <w:t xml:space="preserve"> </w:t>
      </w:r>
      <w:r>
        <w:t xml:space="preserve">grows to 160 GWh, because one GT must stay online. The value of flexibility</w:t>
      </w:r>
      <w:r>
        <w:t xml:space="preserve"> </w:t>
      </w:r>
      <w:r>
        <w:t xml:space="preserve">(case 2 minus case 3) is largest for the base-case farm (7.1 kt) and</w:t>
      </w:r>
      <w:r>
        <w:t xml:space="preserve"> </w:t>
      </w:r>
      <w:r>
        <w:t xml:space="preserve">smaller for a 15 MW farm (5.5 kt), where wind seldom exceeds the demand.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Batteries add little on their own:</w:t>
      </w:r>
      <w:r>
        <w:t xml:space="preserve"> </w:t>
      </w:r>
      <w:r>
        <w:t xml:space="preserve">about 2 % at most (8 MW / 16 MWh).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minimum number of GTs online is the dominant assumption.</w:t>
      </w:r>
      <w:r>
        <w:t xml:space="preserve"> </w:t>
      </w:r>
      <w:r>
        <w:t xml:space="preserve">If an</w:t>
      </w:r>
      <w:r>
        <w:t xml:space="preserve"> </w:t>
      </w:r>
      <w:r>
        <w:t xml:space="preserve">8 MW / 8 MWh battery can provide the reserve and grid stability so that all</w:t>
      </w:r>
      <w:r>
        <w:t xml:space="preserve"> </w:t>
      </w:r>
      <w:r>
        <w:t xml:space="preserve">GTs may stop, emissions fall to 38.7 kt, 32 % below the same case with one</w:t>
      </w:r>
      <w:r>
        <w:t xml:space="preserve"> </w:t>
      </w:r>
      <w:r>
        <w:t xml:space="preserve">GT online. GTs then run only 3,809 unit-hours, and 15 GWh of heat is</w:t>
      </w:r>
      <w:r>
        <w:t xml:space="preserve"> </w:t>
      </w:r>
      <w:r>
        <w:t xml:space="preserve">supplied by the electric heater.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Operating practice matters as much as hardware.</w:t>
      </w:r>
      <w:r>
        <w:t xml:space="preserve"> </w:t>
      </w:r>
      <w:r>
        <w:t xml:space="preserve">If operators keep two</w:t>
      </w:r>
      <w:r>
        <w:t xml:space="preserve"> </w:t>
      </w:r>
      <w:r>
        <w:t xml:space="preserve">GTs online whatever the wind, emissions rise to 90.7 kt (case 2) and</w:t>
      </w:r>
      <w:r>
        <w:t xml:space="preserve"> </w:t>
      </w:r>
      <w:r>
        <w:t xml:space="preserve">87.7 kt (case 3). Flexibility then saves only 3.1 kt, because its main</w:t>
      </w:r>
      <w:r>
        <w:t xml:space="preserve"> </w:t>
      </w:r>
      <w:r>
        <w:t xml:space="preserve">mechanism, avoiding the second GT, is no longer available.</w:t>
      </w:r>
    </w:p>
    <w:p>
      <w:pPr>
        <w:numPr>
          <w:ilvl w:val="0"/>
          <w:numId w:val="1001"/>
        </w:numPr>
        <w:pStyle w:val="Compact"/>
      </w:pPr>
      <w:r>
        <w:t xml:space="preserve">Replacing one GT by a smaller unit lowers case 3 emissions by 3.4 %, but</w:t>
      </w:r>
      <w:r>
        <w:t xml:space="preserve"> </w:t>
      </w:r>
      <w:r>
        <w:t xml:space="preserve">the data for the small unit are not verified.</w:t>
      </w:r>
    </w:p>
    <w:p>
      <w:pPr>
        <w:pStyle w:val="CaptionedFigure"/>
      </w:pPr>
      <w:r>
        <w:drawing>
          <wp:inline>
            <wp:extent cx="5334000" cy="4492807"/>
            <wp:effectExtent b="0" l="0" r="0" t="0"/>
            <wp:docPr descr="Figure 9. Sensitivity of annual CO2 emissions to wind farm size, CO2 and gas price, battery size, injection deficit limit, minimum number of GTs online and GT fleet." title="" id="50" name="Picture"/>
            <a:graphic>
              <a:graphicData uri="http://schemas.openxmlformats.org/drawingml/2006/picture">
                <pic:pic>
                  <pic:nvPicPr>
                    <pic:cNvPr descr="results/paper/fig09_sensitivity_overview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92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9.</w:t>
      </w:r>
      <w:r>
        <w:t xml:space="preserve"> </w:t>
      </w:r>
      <w:r>
        <w:t xml:space="preserve">Sensitivity of annual CO2 emissions to wind farm size, CO2 and gas price, battery size, injection deficit limit, minimum number of GTs online and GT fleet.</w:t>
      </w:r>
    </w:p>
    <w:bookmarkEnd w:id="52"/>
    <w:bookmarkStart w:id="56" w:name="validation"/>
    <w:p>
      <w:pPr>
        <w:pStyle w:val="Heading2"/>
      </w:pPr>
      <w:r>
        <w:t xml:space="preserve">7 Validation</w:t>
      </w:r>
    </w:p>
    <w:p>
      <w:pPr>
        <w:pStyle w:val="FirstParagraph"/>
      </w:pPr>
      <w:r>
        <w:rPr>
          <w:bCs/>
          <w:b/>
        </w:rPr>
        <w:t xml:space="preserve">Table 4.</w:t>
      </w:r>
      <w:r>
        <w:t xml:space="preserve"> </w:t>
      </w:r>
      <w:r>
        <w:t xml:space="preserve">Model results against published benchmarks.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power, real North Sea platform (Voldsund et al., 2013)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 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18–26 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power, modelled platforms (Nguyen et al., 2013)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 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22.6–31.1 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power, Johan Castberg PDO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 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20 %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power implied by Hywind Tampen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 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25.1 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20 %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 capacity factor, Hywind Tampen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 capacity factor, Hywind Tampen Q1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58.4 % (winter)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20 %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CO2 avoided per MWh wind, two GTs kept 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 t/MWh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 t/MWh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CO2 avoided per MWh wind, GTs may 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 t/MWh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 t/MWh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(see text)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Water-injection specific energy (LEOGO)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 kWh/m3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 kWh/m3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CO2 intensity, Norwegian shelf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 kg/boe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 kg/boe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(see text)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CO2 intensity, non-electrified hubs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 kg/boe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~10.5 kg/boe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(see text)</w:t>
            </w:r>
          </w:p>
        </w:tc>
      </w:tr>
    </w:tbl>
    <w:p>
      <w:pPr>
        <w:pStyle w:val="BodyText"/>
      </w:pPr>
      <w:r>
        <w:t xml:space="preserve">The platform power, wind resource and pump calculation agree with the</w:t>
      </w:r>
      <w:r>
        <w:t xml:space="preserve"> </w:t>
      </w:r>
      <w:r>
        <w:t xml:space="preserve">published values (Table 4, Figure 10). The ERA5-based capacity factor of</w:t>
      </w:r>
      <w:r>
        <w:t xml:space="preserve"> </w:t>
      </w:r>
      <w:r>
        <w:t xml:space="preserve">50.9 % is within 2 % of the 49.8 % expected for Hywind Tampen, although that</w:t>
      </w:r>
      <w:r>
        <w:t xml:space="preserve"> </w:t>
      </w:r>
      <w:r>
        <w:t xml:space="preserve">farm uses different (8 MW, floating) turbines.</w:t>
      </w:r>
    </w:p>
    <w:p>
      <w:pPr>
        <w:pStyle w:val="BodyText"/>
      </w:pPr>
      <w:r>
        <w:t xml:space="preserve">The strongest check is the</w:t>
      </w:r>
      <w:r>
        <w:t xml:space="preserve"> </w:t>
      </w:r>
      <w:r>
        <w:rPr>
          <w:bCs/>
          <w:b/>
        </w:rPr>
        <w:t xml:space="preserve">CO2 avoided per MWh of wind</w:t>
      </w:r>
      <w:r>
        <w:t xml:space="preserve">, because it tests</w:t>
      </w:r>
      <w:r>
        <w:t xml:space="preserve"> </w:t>
      </w:r>
      <w:r>
        <w:t xml:space="preserve">the wind, GT part-load fuel, CO2 factor and scheduling together. When the</w:t>
      </w:r>
      <w:r>
        <w:t xml:space="preserve"> </w:t>
      </w:r>
      <w:r>
        <w:t xml:space="preserve">model keeps two GTs online and only lowers their load, as assumed in the</w:t>
      </w:r>
      <w:r>
        <w:t xml:space="preserve"> </w:t>
      </w:r>
      <w:r>
        <w:t xml:space="preserve">Hywind Tampen estimate, it gives 0.51 t/MWh against the published 0.52 t/MWh</w:t>
      </w:r>
      <w:r>
        <w:t xml:space="preserve"> </w:t>
      </w:r>
      <w:r>
        <w:t xml:space="preserve">(−2 %). When a GT may stop in windy hours, the model avoids 0.71 t/MWh,</w:t>
      </w:r>
      <w:r>
        <w:t xml:space="preserve"> </w:t>
      </w:r>
      <w:r>
        <w:t xml:space="preserve">because the no-load fuel of the stopped unit is saved as well. The</w:t>
      </w:r>
      <w:r>
        <w:t xml:space="preserve"> </w:t>
      </w:r>
      <w:r>
        <w:t xml:space="preserve">difference indicates how much additional reduction depends on operating</w:t>
      </w:r>
      <w:r>
        <w:t xml:space="preserve"> </w:t>
      </w:r>
      <w:r>
        <w:t xml:space="preserve">practice rather than on the wind farm itself.</w:t>
      </w:r>
    </w:p>
    <w:p>
      <w:pPr>
        <w:pStyle w:val="BodyText"/>
      </w:pPr>
      <w:r>
        <w:t xml:space="preserve">The field data (Figure 10, right) support the fuel and emission model. The</w:t>
      </w:r>
      <w:r>
        <w:t xml:space="preserve"> </w:t>
      </w:r>
      <w:r>
        <w:t xml:space="preserve">Gullfaks field centre emits 2.32–2.40 kg CO2 per Sm3 of fuel gas in 2021–2024,</w:t>
      </w:r>
      <w:r>
        <w:t xml:space="preserve"> </w:t>
      </w:r>
      <w:r>
        <w:t xml:space="preserve">consistent with the 2.34 kg/Sm3 used in the model. After Hywind Tampen started</w:t>
      </w:r>
      <w:r>
        <w:t xml:space="preserve"> </w:t>
      </w:r>
      <w:r>
        <w:t xml:space="preserve">supplying power, fuel gas use fell by 30 % at Gullfaks (2021 → 2023) and by</w:t>
      </w:r>
      <w:r>
        <w:t xml:space="preserve"> </w:t>
      </w:r>
      <w:r>
        <w:t xml:space="preserve">11 % at Snorre (2021 → 2024), and Snorre’s diesel use fell from 15.6 kt to</w:t>
      </w:r>
      <w:r>
        <w:t xml:space="preserve"> </w:t>
      </w:r>
      <w:r>
        <w:t xml:space="preserve">2.7–3.2 kt. At Statfjord, which has no wind supply, fuel use was unchanged</w:t>
      </w:r>
      <w:r>
        <w:t xml:space="preserve"> </w:t>
      </w:r>
      <w:r>
        <w:t xml:space="preserve">(+2 %). Production also declined over the period, so not all of the</w:t>
      </w:r>
      <w:r>
        <w:t xml:space="preserve"> </w:t>
      </w:r>
      <w:r>
        <w:t xml:space="preserve">reduction can be attributed to the wind farm.</w:t>
      </w:r>
    </w:p>
    <w:p>
      <w:pPr>
        <w:pStyle w:val="BodyText"/>
      </w:pPr>
      <w:r>
        <w:t xml:space="preserve">The model’s CO2 intensity (3.1 kg/boe in case 1) is lower than the shelf</w:t>
      </w:r>
      <w:r>
        <w:t xml:space="preserve"> </w:t>
      </w:r>
      <w:r>
        <w:t xml:space="preserve">average and the field values (9–14 kg/boe at Gullfaks and Snorre, 55–78 kg/boe</w:t>
      </w:r>
      <w:r>
        <w:t xml:space="preserve"> </w:t>
      </w:r>
      <w:r>
        <w:t xml:space="preserve">at late-life Statfjord). This is expected from the system boundary: the model</w:t>
      </w:r>
      <w:r>
        <w:t xml:space="preserve"> </w:t>
      </w:r>
      <w:r>
        <w:t xml:space="preserve">covers only power generation for an efficient platform at plateau rate,</w:t>
      </w:r>
      <w:r>
        <w:t xml:space="preserve"> </w:t>
      </w:r>
      <w:r>
        <w:t xml:space="preserve">whereas the field values include flaring, diesel, gas re-injection</w:t>
      </w:r>
      <w:r>
        <w:t xml:space="preserve"> </w:t>
      </w:r>
      <w:r>
        <w:t xml:space="preserve">compression (Snorre re-injects all its gas) and the lower production of</w:t>
      </w:r>
      <w:r>
        <w:t xml:space="preserve"> </w:t>
      </w:r>
      <w:r>
        <w:t xml:space="preserve">mature fields. The like-for-like checks (fuel-gas factor and CO2 avoided per</w:t>
      </w:r>
      <w:r>
        <w:t xml:space="preserve"> </w:t>
      </w:r>
      <w:r>
        <w:t xml:space="preserve">MWh) agree, which indicates that the difference stems from the boundary and</w:t>
      </w:r>
      <w:r>
        <w:t xml:space="preserve"> </w:t>
      </w:r>
      <w:r>
        <w:t xml:space="preserve">not from the power-system model.</w:t>
      </w:r>
    </w:p>
    <w:p>
      <w:pPr>
        <w:pStyle w:val="CaptionedFigure"/>
      </w:pPr>
      <w:r>
        <w:drawing>
          <wp:inline>
            <wp:extent cx="5334000" cy="3083079"/>
            <wp:effectExtent b="0" l="0" r="0" t="0"/>
            <wp:docPr descr="Figure 10. Left: model results divided by published benchmarks (1 = equal; shaded: ±20 %; grey bars: published ranges). Right: CO2 intensity of the Gullfaks, Snorre and Statfjord field centres (grey: GT-powered; teal: receiving Hywind Tampen power) with the model case 1 value (dashed)." title="" id="54" name="Picture"/>
            <a:graphic>
              <a:graphicData uri="http://schemas.openxmlformats.org/drawingml/2006/picture">
                <pic:pic>
                  <pic:nvPicPr>
                    <pic:cNvPr descr="results/paper/fig10_validation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3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10.</w:t>
      </w:r>
      <w:r>
        <w:t xml:space="preserve"> </w:t>
      </w:r>
      <w:r>
        <w:t xml:space="preserve">Left: model results divided by published benchmarks (1 = equal; shaded: ±20 %; grey bars: published ranges). Right: CO2 intensity of the Gullfaks, Snorre and Statfjord field centres (grey: GT-powered; teal: receiving Hywind Tampen power) with the model case 1 value (dashed).</w:t>
      </w:r>
    </w:p>
    <w:bookmarkEnd w:id="56"/>
    <w:bookmarkStart w:id="57" w:name="summary-of-findings"/>
    <w:p>
      <w:pPr>
        <w:pStyle w:val="Heading2"/>
      </w:pPr>
      <w:r>
        <w:t xml:space="preserve">8 Summary of findings</w:t>
      </w:r>
    </w:p>
    <w:p>
      <w:pPr>
        <w:numPr>
          <w:ilvl w:val="0"/>
          <w:numId w:val="1002"/>
        </w:numPr>
        <w:pStyle w:val="Compact"/>
      </w:pPr>
      <w:r>
        <w:t xml:space="preserve">A 30 MW wind farm halves the CO2 emissions of the 20 MW platform</w:t>
      </w:r>
      <w:r>
        <w:t xml:space="preserve"> </w:t>
      </w:r>
      <w:r>
        <w:t xml:space="preserve">(−49 %), even with fixed demand.</w:t>
      </w:r>
    </w:p>
    <w:p>
      <w:pPr>
        <w:numPr>
          <w:ilvl w:val="0"/>
          <w:numId w:val="1002"/>
        </w:numPr>
        <w:pStyle w:val="Compact"/>
      </w:pPr>
      <w:r>
        <w:t xml:space="preserve">Scheduling flexible topside consumers cuts emissions by a further 11 %</w:t>
      </w:r>
      <w:r>
        <w:t xml:space="preserve"> </w:t>
      </w:r>
      <w:r>
        <w:t xml:space="preserve">(7.1 kt/yr), with</w:t>
      </w:r>
      <w:r>
        <w:t xml:space="preserve"> </w:t>
      </w:r>
      <w:r>
        <w:rPr>
          <w:bCs/>
          <w:b/>
        </w:rPr>
        <w:t xml:space="preserve">no lost production</w:t>
      </w:r>
      <w:r>
        <w:t xml:space="preserve">, fewer GT low-load hours (−34 %),</w:t>
      </w:r>
      <w:r>
        <w:t xml:space="preserve"> </w:t>
      </w:r>
      <w:r>
        <w:t xml:space="preserve">almost no GT starts and less wind curtailment.</w:t>
      </w:r>
    </w:p>
    <w:p>
      <w:pPr>
        <w:numPr>
          <w:ilvl w:val="0"/>
          <w:numId w:val="1002"/>
        </w:numPr>
        <w:pStyle w:val="Compact"/>
      </w:pPr>
      <w:r>
        <w:t xml:space="preserve">Water injection provides all of the flexibility; shedding production is</w:t>
      </w:r>
      <w:r>
        <w:t xml:space="preserve"> </w:t>
      </w:r>
      <w:r>
        <w:t xml:space="preserve">never worthwhile. A deferral capacity of about 24 h of injection is</w:t>
      </w:r>
      <w:r>
        <w:t xml:space="preserve"> </w:t>
      </w:r>
      <w:r>
        <w:t xml:space="preserve">enough.</w:t>
      </w:r>
    </w:p>
    <w:p>
      <w:pPr>
        <w:numPr>
          <w:ilvl w:val="0"/>
          <w:numId w:val="1002"/>
        </w:numPr>
        <w:pStyle w:val="Compact"/>
      </w:pPr>
      <w:r>
        <w:t xml:space="preserve">The saving comes mainly from avoiding a second running GT. It therefore</w:t>
      </w:r>
      <w:r>
        <w:t xml:space="preserve"> </w:t>
      </w:r>
      <w:r>
        <w:t xml:space="preserve">depends strongly on operating practice: rules that keep two GTs online</w:t>
      </w:r>
      <w:r>
        <w:t xml:space="preserve"> </w:t>
      </w:r>
      <w:r>
        <w:t xml:space="preserve">remove most of it, and allowing all GTs to stop (with a battery providing</w:t>
      </w:r>
      <w:r>
        <w:t xml:space="preserve"> </w:t>
      </w:r>
      <w:r>
        <w:t xml:space="preserve">reserve) would cut emissions by a further third.</w:t>
      </w:r>
    </w:p>
    <w:p>
      <w:pPr>
        <w:numPr>
          <w:ilvl w:val="0"/>
          <w:numId w:val="1002"/>
        </w:numPr>
        <w:pStyle w:val="Compact"/>
      </w:pPr>
      <w:r>
        <w:t xml:space="preserve">Batteries alone, CO2 price and gas price have little effect on the</w:t>
      </w:r>
      <w:r>
        <w:t xml:space="preserve"> </w:t>
      </w:r>
      <w:r>
        <w:t xml:space="preserve">result.</w:t>
      </w:r>
    </w:p>
    <w:p>
      <w:pPr>
        <w:numPr>
          <w:ilvl w:val="0"/>
          <w:numId w:val="1002"/>
        </w:numPr>
        <w:pStyle w:val="Compact"/>
      </w:pPr>
      <w:r>
        <w:t xml:space="preserve">The model reproduces the CO2 avoided per MWh of wind reported for Hywind</w:t>
      </w:r>
      <w:r>
        <w:t xml:space="preserve"> </w:t>
      </w:r>
      <w:r>
        <w:t xml:space="preserve">Tampen within 2 % and the fuel-gas emission factor observed at Gullfaks.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Relationship Id="rId24" Type="http://schemas.openxmlformats.org/officeDocument/2006/relationships/image" Target="media/rId24.png"/><Relationship Id="rId27" Type="http://schemas.openxmlformats.org/officeDocument/2006/relationships/image" Target="media/rId27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38" Type="http://schemas.openxmlformats.org/officeDocument/2006/relationships/image" Target="media/rId38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49" Type="http://schemas.openxmlformats.org/officeDocument/2006/relationships/image" Target="media/rId49.png"/><Relationship Id="rId53" Type="http://schemas.openxmlformats.org/officeDocument/2006/relationships/image" Target="media/rId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2026-10-26T09:45:51Z</dcterms:created>
  <dcterms:modified xsi:type="dcterms:W3CDTF">2026-10-26T09:45:51Z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