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"/>
    <w:p>
      <w:pPr>
        <w:pStyle w:val="Heading1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Topside loads are mapped from a process model and classed by flexibility</w:t>
      </w:r>
    </w:p>
    <w:p>
      <w:pPr>
        <w:numPr>
          <w:ilvl w:val="0"/>
          <w:numId w:val="1001"/>
        </w:numPr>
        <w:pStyle w:val="Compact"/>
      </w:pPr>
      <w:r>
        <w:t xml:space="preserve">Deferring water injection cuts CO2 a further 11 % with no lost production</w:t>
      </w:r>
    </w:p>
    <w:p>
      <w:pPr>
        <w:numPr>
          <w:ilvl w:val="0"/>
          <w:numId w:val="1001"/>
        </w:numPr>
        <w:pStyle w:val="Compact"/>
      </w:pPr>
      <w:r>
        <w:t xml:space="preserve">The saving comes from avoiding a second gas turbine, not from shedding output</w:t>
      </w:r>
    </w:p>
    <w:p>
      <w:pPr>
        <w:numPr>
          <w:ilvl w:val="0"/>
          <w:numId w:val="1001"/>
        </w:numPr>
        <w:pStyle w:val="Compact"/>
      </w:pPr>
      <w:r>
        <w:t xml:space="preserve">About 24 h of deferrable injection captures the full benefit</w:t>
      </w:r>
    </w:p>
    <w:p>
      <w:pPr>
        <w:numPr>
          <w:ilvl w:val="0"/>
          <w:numId w:val="1001"/>
        </w:numPr>
        <w:pStyle w:val="Compact"/>
      </w:pPr>
      <w:r>
        <w:t xml:space="preserve">Rules that keep two gas turbines online remove most of the gain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2026-10-26T22:12:25Z</dcterms:created>
  <dcterms:modified xsi:type="dcterms:W3CDTF">2026-10-26T22:12:25Z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