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2" w:name="Xd969dbdcee26c3dc49c23a7936207aeb905ae7a"/>
    <w:p>
      <w:pPr>
        <w:pStyle w:val="Heading1"/>
      </w:pPr>
      <w:r>
        <w:t xml:space="preserve">Scheduling flexible topside loads to reduce gas turbine emissions on a wind-powered offshore oil platform</w:t>
      </w:r>
    </w:p>
    <w:p>
      <w:pPr>
        <w:pStyle w:val="FirstParagraph"/>
      </w:pPr>
      <w:r>
        <w:t xml:space="preserve">[Author names and affiliations]</w:t>
      </w:r>
    </w:p>
    <w:p>
      <w:pPr>
        <w:pStyle w:val="BodyText"/>
      </w:pPr>
      <w:r>
        <w:t xml:space="preserve">Corresponding author: [name, e-mail]</w:t>
      </w:r>
    </w:p>
    <w:bookmarkStart w:id="2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Gas turbines on offshore oil and gas platforms are a major source of CO2</w:t>
      </w:r>
      <w:r>
        <w:t xml:space="preserve"> </w:t>
      </w:r>
      <w:r>
        <w:t xml:space="preserve">emissions, and wind power integrated into these off-grid systems saves less</w:t>
      </w:r>
      <w:r>
        <w:t xml:space="preserve"> </w:t>
      </w:r>
      <w:r>
        <w:t xml:space="preserve">fuel than expected because the turbines must stay online at inefficient part</w:t>
      </w:r>
      <w:r>
        <w:t xml:space="preserve"> </w:t>
      </w:r>
      <w:r>
        <w:t xml:space="preserve">load. Studies of wind-powered platforms usually treat the topside load as</w:t>
      </w:r>
      <w:r>
        <w:t xml:space="preserve"> </w:t>
      </w:r>
      <w:r>
        <w:t xml:space="preserve">fixed. This paper maps the electric demand of a generic North Sea oil</w:t>
      </w:r>
      <w:r>
        <w:t xml:space="preserve"> </w:t>
      </w:r>
      <w:r>
        <w:t xml:space="preserve">platform from a process model, classifies each consumer as must-run,</w:t>
      </w:r>
      <w:r>
        <w:t xml:space="preserve"> </w:t>
      </w:r>
      <w:r>
        <w:t xml:space="preserve">flexible or sheddable, and schedules the flexible consumers together with</w:t>
      </w:r>
      <w:r>
        <w:t xml:space="preserve"> </w:t>
      </w:r>
      <w:r>
        <w:t xml:space="preserve">the gas turbines. A steady-state process model gives the power of each</w:t>
      </w:r>
      <w:r>
        <w:t xml:space="preserve"> </w:t>
      </w:r>
      <w:r>
        <w:t xml:space="preserve">consumer as a function of its operating lever. A mixed-integer linear</w:t>
      </w:r>
      <w:r>
        <w:t xml:space="preserve"> </w:t>
      </w:r>
      <w:r>
        <w:t xml:space="preserve">program then schedules production rate, water injection rate, gas turbine</w:t>
      </w:r>
      <w:r>
        <w:t xml:space="preserve"> </w:t>
      </w:r>
      <w:r>
        <w:t xml:space="preserve">commitment, wind use and an optional battery for one year hourly with ERA5</w:t>
      </w:r>
      <w:r>
        <w:t xml:space="preserve"> </w:t>
      </w:r>
      <w:r>
        <w:t xml:space="preserve">wind data. Postponed water injection is represented as a virtual storage</w:t>
      </w:r>
      <w:r>
        <w:t xml:space="preserve"> </w:t>
      </w:r>
      <w:r>
        <w:t xml:space="preserve">that must be caught up. For a 20.3 MW platform with a 30 MW wind farm, wind</w:t>
      </w:r>
      <w:r>
        <w:t xml:space="preserve"> </w:t>
      </w:r>
      <w:r>
        <w:t xml:space="preserve">with fixed demand reduces annual CO2 emissions by 49 %. Flexible scheduling</w:t>
      </w:r>
      <w:r>
        <w:t xml:space="preserve"> </w:t>
      </w:r>
      <w:r>
        <w:t xml:space="preserve">cuts them by a further 11 % (7.2 kt/yr) without lost production,</w:t>
      </w:r>
      <w:r>
        <w:t xml:space="preserve"> </w:t>
      </w:r>
      <w:r>
        <w:t xml:space="preserve">mainly because it avoids running a second gas turbine: the hours with two</w:t>
      </w:r>
      <w:r>
        <w:t xml:space="preserve"> </w:t>
      </w:r>
      <w:r>
        <w:t xml:space="preserve">turbines online fall from 1,702 to 28. About 24 h of deferrable injection</w:t>
      </w:r>
      <w:r>
        <w:t xml:space="preserve"> </w:t>
      </w:r>
      <w:r>
        <w:t xml:space="preserve">captures the full benefit, and a small added gas turbine saves a similar</w:t>
      </w:r>
      <w:r>
        <w:t xml:space="preserve"> </w:t>
      </w:r>
      <w:r>
        <w:t xml:space="preserve">amount on top. Operating</w:t>
      </w:r>
      <w:r>
        <w:t xml:space="preserve"> </w:t>
      </w:r>
      <w:r>
        <w:t xml:space="preserve">rules that keep two gas turbines online remove most of the gain. The model</w:t>
      </w:r>
      <w:r>
        <w:t xml:space="preserve"> </w:t>
      </w:r>
      <w:r>
        <w:t xml:space="preserve">reproduces Hywind Tampen’s reported CO2 avoided per MWh of wind within 2 %.</w:t>
      </w:r>
    </w:p>
    <w:p>
      <w:pPr>
        <w:pStyle w:val="BodyText"/>
      </w:pPr>
      <w:r>
        <w:rPr>
          <w:bCs/>
          <w:b/>
        </w:rPr>
        <w:t xml:space="preserve">Keywords:</w:t>
      </w:r>
      <w:r>
        <w:t xml:space="preserve"> </w:t>
      </w:r>
      <w:r>
        <w:t xml:space="preserve">offshore oil and gas platform; offshore wind; demand-side</w:t>
      </w:r>
      <w:r>
        <w:t xml:space="preserve"> </w:t>
      </w:r>
      <w:r>
        <w:t xml:space="preserve">flexibility; gas turbine part load; unit commitment; water injection</w:t>
      </w:r>
    </w:p>
    <w:bookmarkEnd w:id="20"/>
    <w:bookmarkStart w:id="21" w:name="nomenclature"/>
    <w:p>
      <w:pPr>
        <w:pStyle w:val="Heading2"/>
      </w:pPr>
      <w:r>
        <w:t xml:space="preserve">Nomenclature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Sets and indices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t>T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hours of a scheduling 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g</m:t>
              </m:r>
              <m:r>
                <m:rPr>
                  <m:sty m:val="p"/>
                </m:rPr>
                <m:t>∈</m:t>
              </m:r>
              <m:r>
                <m:t>G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gas turbines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Variables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f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production rate, fraction of design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f</m:t>
                  </m:r>
                </m:e>
                <m:sub>
                  <m:r>
                    <m:t>w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water injection rate, fraction of pump capacity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D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water injection deficit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 of full-rate injection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u</m:t>
                  </m:r>
                </m:e>
                <m:sub>
                  <m:r>
                    <m:t>g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on/off state of gas turbine</w:t>
            </w:r>
            <w:r>
              <w:t xml:space="preserve"> </w:t>
            </w:r>
            <m:oMath>
              <m:r>
                <m:t>g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s</m:t>
                  </m:r>
                </m:e>
                <m:sub>
                  <m:r>
                    <m:t>g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start-up indicator of gas turbine</w:t>
            </w:r>
            <w:r>
              <w:t xml:space="preserve"> </w:t>
            </w:r>
            <m:oMath>
              <m:r>
                <m:t>g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t>g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electric power of gas turbine</w:t>
            </w:r>
            <w:r>
              <w:t xml:space="preserve"> </w:t>
            </w:r>
            <m:oMath>
              <m:r>
                <m:t>g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Q</m:t>
                  </m:r>
                </m:e>
                <m:sub>
                  <m:r>
                    <m:t>g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fuel energy input of gas turbine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(LHV)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w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c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wind power used and curtailed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h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electric heater 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c</m:t>
                  </m:r>
                  <m:r>
                    <m:t>h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d</m:t>
                  </m:r>
                  <m:r>
                    <m:t>i</m:t>
                  </m:r>
                  <m:r>
                    <m:t>s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battery charge, discharge and stored energy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W, J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d</m:t>
                  </m:r>
                  <m:r>
                    <m:t>e</m:t>
                  </m:r>
                  <m:r>
                    <m:t>m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platform electric 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Parameters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m:oMath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a</m:t>
                  </m:r>
                  <m:r>
                    <m:t>v</m:t>
                  </m:r>
                  <m:r>
                    <m:t>a</m:t>
                  </m:r>
                  <m:r>
                    <m:t>i</m:t>
                  </m:r>
                  <m:r>
                    <m:t>l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available wind farm 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t>r</m:t>
                  </m:r>
                  <m:r>
                    <m:t>a</m:t>
                  </m:r>
                  <m:r>
                    <m:t>t</m:t>
                  </m:r>
                  <m:r>
                    <m:t>e</m:t>
                  </m:r>
                  <m:r>
                    <m:t>d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m</m:t>
                  </m:r>
                  <m:r>
                    <m:t>i</m:t>
                  </m:r>
                  <m:r>
                    <m:t>n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rated and minimum stable gas turbine 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η</m:t>
                  </m:r>
                </m:e>
                <m:sub>
                  <m:r>
                    <m:t>r</m:t>
                  </m:r>
                  <m:r>
                    <m:t>a</m:t>
                  </m:r>
                  <m:r>
                    <m:t>t</m:t>
                  </m:r>
                  <m:r>
                    <m:t>e</m:t>
                  </m:r>
                  <m:r>
                    <m:t>d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gas turbine electric efficiency at rated 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a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no-load fuel fraction of the Willans 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ϕ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fraction of gas turbine waste heat recovered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Sup>
                <m:e>
                  <m:r>
                    <m:t>f</m:t>
                  </m:r>
                </m:e>
                <m:sub>
                  <m:r>
                    <m:t>w</m:t>
                  </m:r>
                  <m:r>
                    <m:t>i</m:t>
                  </m:r>
                </m:sub>
                <m:sup>
                  <m:r>
                    <m:t>t</m:t>
                  </m:r>
                  <m:r>
                    <m:t>a</m:t>
                  </m:r>
                  <m:r>
                    <m:t>r</m:t>
                  </m:r>
                  <m:r>
                    <m:t>g</m:t>
                  </m:r>
                  <m:r>
                    <m:t>e</m:t>
                  </m:r>
                  <m:r>
                    <m:t>t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voidage-replacement target for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w</m:t>
                  </m:r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maximum injection deficit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R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spinning reserve 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H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process heat 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v</m:t>
                  </m:r>
                </m:e>
                <m:sub>
                  <m:r>
                    <m:t>100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h</m:t>
                  </m:r>
                  <m:r>
                    <m:t>u</m:t>
                  </m:r>
                  <m:r>
                    <m:t>b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wind speed at 100 m and at hub height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m/s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α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wind shear exponent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Abbreviations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gas turbine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LHV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lower heating value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MILP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mixed-integer linear program</w:t>
            </w:r>
          </w:p>
        </w:tc>
        <w:tc>
          <w:tcPr/>
          <w:p>
            <w:pPr>
              <w:pStyle w:val="Compact"/>
            </w:pPr>
          </w:p>
        </w:tc>
      </w:tr>
    </w:tbl>
    <w:bookmarkEnd w:id="21"/>
    <w:bookmarkStart w:id="22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The petroleum industry accounts for about a quarter of Norway’s greenhouse</w:t>
      </w:r>
      <w:r>
        <w:t xml:space="preserve"> </w:t>
      </w:r>
      <w:r>
        <w:t xml:space="preserve">gas emissions [1], and most of these emissions come from</w:t>
      </w:r>
      <w:r>
        <w:t xml:space="preserve"> </w:t>
      </w:r>
      <w:r>
        <w:t xml:space="preserve">gas turbines (GTs) that generate power and drive compressors on the offshore</w:t>
      </w:r>
      <w:r>
        <w:t xml:space="preserve"> </w:t>
      </w:r>
      <w:r>
        <w:t xml:space="preserve">installations [2]. Power from shore removes them</w:t>
      </w:r>
      <w:r>
        <w:t xml:space="preserve"> </w:t>
      </w:r>
      <w:r>
        <w:t xml:space="preserve">where a grid connection is feasible. A Norwegian government study found that</w:t>
      </w:r>
      <w:r>
        <w:t xml:space="preserve"> </w:t>
      </w:r>
      <w:r>
        <w:t xml:space="preserve">the electrification projects then planned would cut emissions at less than</w:t>
      </w:r>
      <w:r>
        <w:t xml:space="preserve"> </w:t>
      </w:r>
      <w:r>
        <w:t xml:space="preserve">NOK 1,500 per tonne of CO2 [3], and the CO2 cost faced by operators</w:t>
      </w:r>
      <w:r>
        <w:t xml:space="preserve"> </w:t>
      </w:r>
      <w:r>
        <w:t xml:space="preserve">has since risen from about NOK 860 per tonne in 2020 to NOK 1,860 in 2025</w:t>
      </w:r>
      <w:r>
        <w:t xml:space="preserve"> </w:t>
      </w:r>
      <w:r>
        <w:t xml:space="preserve">[4]. Many installations, however, are far from shore, too small to</w:t>
      </w:r>
      <w:r>
        <w:t xml:space="preserve"> </w:t>
      </w:r>
      <w:r>
        <w:t xml:space="preserve">justify a cable, or connected to a grid whose capacity is needed onshore.</w:t>
      </w:r>
      <w:r>
        <w:t xml:space="preserve"> </w:t>
      </w:r>
      <w:r>
        <w:t xml:space="preserve">The operators’ own assessments found the alternatives to power from shore</w:t>
      </w:r>
      <w:r>
        <w:t xml:space="preserve"> </w:t>
      </w:r>
      <w:r>
        <w:t xml:space="preserve">more costly or less effective [4], which is why improving the</w:t>
      </w:r>
      <w:r>
        <w:t xml:space="preserve"> </w:t>
      </w:r>
      <w:r>
        <w:t xml:space="preserve">efficiency of the remaining offshore power plants matters.</w:t>
      </w:r>
    </w:p>
    <w:p>
      <w:pPr>
        <w:pStyle w:val="BodyText"/>
      </w:pPr>
      <w:r>
        <w:t xml:space="preserve">Offshore wind connected directly to a platform’s power system is the most</w:t>
      </w:r>
      <w:r>
        <w:t xml:space="preserve"> </w:t>
      </w:r>
      <w:r>
        <w:t xml:space="preserve">studied alternative. He et al. [5] showed more than a decade ago that</w:t>
      </w:r>
      <w:r>
        <w:t xml:space="preserve"> </w:t>
      </w:r>
      <w:r>
        <w:t xml:space="preserve">wind could supply part of the demand of North Sea platforms and reduce</w:t>
      </w:r>
      <w:r>
        <w:t xml:space="preserve"> </w:t>
      </w:r>
      <w:r>
        <w:t xml:space="preserve">their emissions, and Marvik et al. [6] found that a cluster of</w:t>
      </w:r>
      <w:r>
        <w:t xml:space="preserve"> </w:t>
      </w:r>
      <w:r>
        <w:t xml:space="preserve">platforms with an integrated wind farm can be operated with acceptable</w:t>
      </w:r>
      <w:r>
        <w:t xml:space="preserve"> </w:t>
      </w:r>
      <w:r>
        <w:t xml:space="preserve">transient stability. Riboldi and Nord [7] optimised the design of</w:t>
      </w:r>
      <w:r>
        <w:t xml:space="preserve"> </w:t>
      </w:r>
      <w:r>
        <w:t xml:space="preserve">an offshore combined-cycle plant with a wind farm and concluded that the</w:t>
      </w:r>
      <w:r>
        <w:t xml:space="preserve"> </w:t>
      </w:r>
      <w:r>
        <w:t xml:space="preserve">economic case depends on favourable gas and CO2 prices. The concept has now</w:t>
      </w:r>
      <w:r>
        <w:t xml:space="preserve"> </w:t>
      </w:r>
      <w:r>
        <w:t xml:space="preserve">been realised: Hywind Tampen, an 88 MW floating wind farm supplying five</w:t>
      </w:r>
      <w:r>
        <w:t xml:space="preserve"> </w:t>
      </w:r>
      <w:r>
        <w:t xml:space="preserve">platforms in the Norwegian North Sea, has operated since 2023 and is</w:t>
      </w:r>
      <w:r>
        <w:t xml:space="preserve"> </w:t>
      </w:r>
      <w:r>
        <w:t xml:space="preserve">expected to cover about 35 % of their electricity demand and avoid about</w:t>
      </w:r>
      <w:r>
        <w:t xml:space="preserve"> </w:t>
      </w:r>
      <w:r>
        <w:t xml:space="preserve">200 kt of CO2 per year [8].</w:t>
      </w:r>
    </w:p>
    <w:p>
      <w:pPr>
        <w:pStyle w:val="BodyText"/>
      </w:pPr>
      <w:r>
        <w:t xml:space="preserve">On an off-grid platform, wind power saves less fuel than its energy</w:t>
      </w:r>
      <w:r>
        <w:t xml:space="preserve"> </w:t>
      </w:r>
      <w:r>
        <w:t xml:space="preserve">suggests. The wind turbines are usually grid-following, so at least one GT</w:t>
      </w:r>
      <w:r>
        <w:t xml:space="preserve"> </w:t>
      </w:r>
      <w:r>
        <w:t xml:space="preserve">must stay online for frequency and voltage control, and enough GT capacity</w:t>
      </w:r>
      <w:r>
        <w:t xml:space="preserve"> </w:t>
      </w:r>
      <w:r>
        <w:t xml:space="preserve">must run to cover a sudden loss of wind or of a generator. When wind</w:t>
      </w:r>
      <w:r>
        <w:t xml:space="preserve"> </w:t>
      </w:r>
      <w:r>
        <w:t xml:space="preserve">supplies part of the demand, the GTs therefore run at low load, where their</w:t>
      </w:r>
      <w:r>
        <w:t xml:space="preserve"> </w:t>
      </w:r>
      <w:r>
        <w:t xml:space="preserve">efficiency falls steeply: the reference turbine of the LEOGO platform drops</w:t>
      </w:r>
      <w:r>
        <w:t xml:space="preserve"> </w:t>
      </w:r>
      <w:r>
        <w:t xml:space="preserve">from about 35 % electric efficiency at full load to below 20 % near minimum</w:t>
      </w:r>
      <w:r>
        <w:t xml:space="preserve"> </w:t>
      </w:r>
      <w:r>
        <w:t xml:space="preserve">stable load [9]. Exergy analyses of North Sea platforms have</w:t>
      </w:r>
      <w:r>
        <w:t xml:space="preserve"> </w:t>
      </w:r>
      <w:r>
        <w:t xml:space="preserve">found that the gas turbines account for 62–65 % of the exergy destroyed on a</w:t>
      </w:r>
      <w:r>
        <w:t xml:space="preserve"> </w:t>
      </w:r>
      <w:r>
        <w:t xml:space="preserve">platform, more than the whole processing plant [10]. The fuel saved</w:t>
      </w:r>
      <w:r>
        <w:t xml:space="preserve"> </w:t>
      </w:r>
      <w:r>
        <w:t xml:space="preserve">per MWh of wind is thus limited by how the remaining GT capacity must be</w:t>
      </w:r>
      <w:r>
        <w:t xml:space="preserve"> </w:t>
      </w:r>
      <w:r>
        <w:t xml:space="preserve">operated, and a large part of the wind energy is curtailed when it exceeds</w:t>
      </w:r>
      <w:r>
        <w:t xml:space="preserve"> </w:t>
      </w:r>
      <w:r>
        <w:t xml:space="preserve">what the platform can absorb.</w:t>
      </w:r>
    </w:p>
    <w:p>
      <w:pPr>
        <w:pStyle w:val="BodyText"/>
      </w:pPr>
      <w:r>
        <w:t xml:space="preserve">Operational optimisation can recover part of this loss. The open-source</w:t>
      </w:r>
      <w:r>
        <w:t xml:space="preserve"> </w:t>
      </w:r>
      <w:r>
        <w:t xml:space="preserve">tool Oogeso optimises GT commitment, wind use and storage on platforms, and</w:t>
      </w:r>
      <w:r>
        <w:t xml:space="preserve"> </w:t>
      </w:r>
      <w:r>
        <w:t xml:space="preserve">shows that a battery that provides reserve lets one turbine be switched off</w:t>
      </w:r>
      <w:r>
        <w:t xml:space="preserve"> </w:t>
      </w:r>
      <w:r>
        <w:t xml:space="preserve">and the remaining turbines run more efficiently [11]. The Low</w:t>
      </w:r>
      <w:r>
        <w:t xml:space="preserve"> </w:t>
      </w:r>
      <w:r>
        <w:t xml:space="preserve">Emission Oil and Gas Open (LEOGO) reference platform provides a common data</w:t>
      </w:r>
      <w:r>
        <w:t xml:space="preserve"> </w:t>
      </w:r>
      <w:r>
        <w:t xml:space="preserve">set for such studies [9]. Planning models for offshore energy</w:t>
      </w:r>
      <w:r>
        <w:t xml:space="preserve"> </w:t>
      </w:r>
      <w:r>
        <w:t xml:space="preserve">hubs choose investments in wind, storage and cables to meet emission targets</w:t>
      </w:r>
      <w:r>
        <w:t xml:space="preserve"> </w:t>
      </w:r>
      <w:r>
        <w:t xml:space="preserve">[12], and power-system studies have examined how relaxing GT</w:t>
      </w:r>
      <w:r>
        <w:t xml:space="preserve"> </w:t>
      </w:r>
      <w:r>
        <w:t xml:space="preserve">operating constraints lets the platform absorb more wind [13]. In</w:t>
      </w:r>
      <w:r>
        <w:t xml:space="preserve"> </w:t>
      </w:r>
      <w:r>
        <w:t xml:space="preserve">these studies, however, the platform load is a given time series or a fixed</w:t>
      </w:r>
      <w:r>
        <w:t xml:space="preserve"> </w:t>
      </w:r>
      <w:r>
        <w:t xml:space="preserve">demand. Svendsen [11] identifies demand-side flexibility as</w:t>
      </w:r>
      <w:r>
        <w:t xml:space="preserve"> </w:t>
      </w:r>
      <w:r>
        <w:t xml:space="preserve">important for reducing the need for costly storage, and leaves its</w:t>
      </w:r>
      <w:r>
        <w:t xml:space="preserve"> </w:t>
      </w:r>
      <w:r>
        <w:t xml:space="preserve">representation in operational optimisation to future work.</w:t>
      </w:r>
    </w:p>
    <w:p>
      <w:pPr>
        <w:pStyle w:val="BodyText"/>
      </w:pPr>
      <w:r>
        <w:t xml:space="preserve">Demand-side flexibility is well established in onshore process industries.</w:t>
      </w:r>
      <w:r>
        <w:t xml:space="preserve"> </w:t>
      </w:r>
      <w:r>
        <w:t xml:space="preserve">Scheduling of energy-intensive production, such as steel, cement, aluminium</w:t>
      </w:r>
      <w:r>
        <w:t xml:space="preserve"> </w:t>
      </w:r>
      <w:r>
        <w:t xml:space="preserve">or air separation, around electricity prices has been studied extensively</w:t>
      </w:r>
      <w:r>
        <w:t xml:space="preserve"> </w:t>
      </w:r>
      <w:r>
        <w:t xml:space="preserve">[14,15]. Those studies exploit time-varying</w:t>
      </w:r>
      <w:r>
        <w:t xml:space="preserve"> </w:t>
      </w:r>
      <w:r>
        <w:t xml:space="preserve">prices in a large grid. An off-grid platform is different: there is no</w:t>
      </w:r>
      <w:r>
        <w:t xml:space="preserve"> </w:t>
      </w:r>
      <w:r>
        <w:t xml:space="preserve">price signal, and the value of moving a load lies in the fuel and emissions</w:t>
      </w:r>
      <w:r>
        <w:t xml:space="preserve"> </w:t>
      </w:r>
      <w:r>
        <w:t xml:space="preserve">of its own power plant. That value is strongly non-linear, because it</w:t>
      </w:r>
      <w:r>
        <w:t xml:space="preserve"> </w:t>
      </w:r>
      <w:r>
        <w:t xml:space="preserve">depends on whether a load change allows a GT to be stopped or avoids</w:t>
      </w:r>
      <w:r>
        <w:t xml:space="preserve"> </w:t>
      </w:r>
      <w:r>
        <w:t xml:space="preserve">starting one, and it is limited by process constraints that are specific</w:t>
      </w:r>
      <w:r>
        <w:t xml:space="preserve"> </w:t>
      </w:r>
      <w:r>
        <w:t xml:space="preserve">to oil and gas production.</w:t>
      </w:r>
    </w:p>
    <w:p>
      <w:pPr>
        <w:pStyle w:val="BodyText"/>
      </w:pPr>
      <w:r>
        <w:t xml:space="preserve">The process plant on an oil platform is not a fixed load. Water injection</w:t>
      </w:r>
      <w:r>
        <w:t xml:space="preserve"> </w:t>
      </w:r>
      <w:r>
        <w:t xml:space="preserve">for pressure support is one of the largest electric consumers, second only</w:t>
      </w:r>
      <w:r>
        <w:t xml:space="preserve"> </w:t>
      </w:r>
      <w:r>
        <w:t xml:space="preserve">to gas compression on the platforms studied by Nguyen et al. [10].</w:t>
      </w:r>
      <w:r>
        <w:t xml:space="preserve"> </w:t>
      </w:r>
      <w:r>
        <w:t xml:space="preserve">It can be postponed for hours as long as the cumulative injection meets the</w:t>
      </w:r>
      <w:r>
        <w:t xml:space="preserve"> </w:t>
      </w:r>
      <w:r>
        <w:t xml:space="preserve">reservoir’s needs, because reservoir pressure responds slowly. Production</w:t>
      </w:r>
      <w:r>
        <w:t xml:space="preserve"> </w:t>
      </w:r>
      <w:r>
        <w:t xml:space="preserve">can be reduced, at the cost of lost revenue. Other loads, such as utilities</w:t>
      </w:r>
      <w:r>
        <w:t xml:space="preserve"> </w:t>
      </w:r>
      <w:r>
        <w:t xml:space="preserve">and safety systems, must run at all times. How much flexibility these</w:t>
      </w:r>
      <w:r>
        <w:t xml:space="preserve"> </w:t>
      </w:r>
      <w:r>
        <w:t xml:space="preserve">consumers offer, and what it is worth, depends on equipment limits that a</w:t>
      </w:r>
      <w:r>
        <w:t xml:space="preserve"> </w:t>
      </w:r>
      <w:r>
        <w:t xml:space="preserve">fixed load profile hides: parallel trains, minimum-flow recycle on</w:t>
      </w:r>
      <w:r>
        <w:t xml:space="preserve"> </w:t>
      </w:r>
      <w:r>
        <w:t xml:space="preserve">compressors and pumps, ramp limits, and the requirement to catch up</w:t>
      </w:r>
      <w:r>
        <w:t xml:space="preserve"> </w:t>
      </w:r>
      <w:r>
        <w:t xml:space="preserve">postponed injection.</w:t>
      </w:r>
    </w:p>
    <w:p>
      <w:pPr>
        <w:pStyle w:val="BodyText"/>
      </w:pPr>
      <w:r>
        <w:t xml:space="preserve">This paper therefore asks three questions. How much fuel and CO2 can be</w:t>
      </w:r>
      <w:r>
        <w:t xml:space="preserve"> </w:t>
      </w:r>
      <w:r>
        <w:t xml:space="preserve">saved by scheduling the flexible topside consumers of a wind-powered oil</w:t>
      </w:r>
      <w:r>
        <w:t xml:space="preserve"> </w:t>
      </w:r>
      <w:r>
        <w:t xml:space="preserve">platform, compared with operating the same platform at fixed demand? Which</w:t>
      </w:r>
      <w:r>
        <w:t xml:space="preserve"> </w:t>
      </w:r>
      <w:r>
        <w:t xml:space="preserve">consumers provide the flexibility, and through which mechanism does it save</w:t>
      </w:r>
      <w:r>
        <w:t xml:space="preserve"> </w:t>
      </w:r>
      <w:r>
        <w:t xml:space="preserve">fuel? And which technical and operational assumptions decide the size of the</w:t>
      </w:r>
      <w:r>
        <w:t xml:space="preserve"> </w:t>
      </w:r>
      <w:r>
        <w:t xml:space="preserve">saving? Its contributions are:</w:t>
      </w:r>
    </w:p>
    <w:p>
      <w:pPr>
        <w:numPr>
          <w:ilvl w:val="0"/>
          <w:numId w:val="1001"/>
        </w:numPr>
        <w:pStyle w:val="Compact"/>
      </w:pPr>
      <w:r>
        <w:t xml:space="preserve">A demand map of a generic North Sea oil platform derived from a</w:t>
      </w:r>
      <w:r>
        <w:t xml:space="preserve"> </w:t>
      </w:r>
      <w:r>
        <w:t xml:space="preserve">steady-state process model, which gives the power of each consumer as a</w:t>
      </w:r>
      <w:r>
        <w:t xml:space="preserve"> </w:t>
      </w:r>
      <w:r>
        <w:t xml:space="preserve">function of its operating lever, including train switching and</w:t>
      </w:r>
      <w:r>
        <w:t xml:space="preserve"> </w:t>
      </w:r>
      <w:r>
        <w:t xml:space="preserve">minimum-flow recycle.</w:t>
      </w:r>
    </w:p>
    <w:p>
      <w:pPr>
        <w:numPr>
          <w:ilvl w:val="0"/>
          <w:numId w:val="1001"/>
        </w:numPr>
        <w:pStyle w:val="Compact"/>
      </w:pPr>
      <w:r>
        <w:t xml:space="preserve">A classification of the consumers as must-run, flexible (deferrable) or</w:t>
      </w:r>
      <w:r>
        <w:t xml:space="preserve"> </w:t>
      </w:r>
      <w:r>
        <w:t xml:space="preserve">sheddable, with water injection represented as a virtual storage that must</w:t>
      </w:r>
      <w:r>
        <w:t xml:space="preserve"> </w:t>
      </w:r>
      <w:r>
        <w:t xml:space="preserve">be caught up.</w:t>
      </w:r>
    </w:p>
    <w:p>
      <w:pPr>
        <w:numPr>
          <w:ilvl w:val="0"/>
          <w:numId w:val="1001"/>
        </w:numPr>
        <w:pStyle w:val="Compact"/>
      </w:pPr>
      <w:r>
        <w:t xml:space="preserve">A mixed-integer linear scheduling model that optimises the flexible</w:t>
      </w:r>
      <w:r>
        <w:t xml:space="preserve"> </w:t>
      </w:r>
      <w:r>
        <w:t xml:space="preserve">consumers together with GT commitment, wind use and an optional battery</w:t>
      </w:r>
      <w:r>
        <w:t xml:space="preserve"> </w:t>
      </w:r>
      <w:r>
        <w:t xml:space="preserve">for a full year at hourly resolution.</w:t>
      </w:r>
    </w:p>
    <w:p>
      <w:pPr>
        <w:numPr>
          <w:ilvl w:val="0"/>
          <w:numId w:val="1001"/>
        </w:numPr>
        <w:pStyle w:val="Compact"/>
      </w:pPr>
      <w:r>
        <w:t xml:space="preserve">A comparison of four cases, from GTs only to wind with flexible demand and</w:t>
      </w:r>
      <w:r>
        <w:t xml:space="preserve"> </w:t>
      </w:r>
      <w:r>
        <w:t xml:space="preserve">a battery, with sensitivity analysis on the assumptions that drive the</w:t>
      </w:r>
      <w:r>
        <w:t xml:space="preserve"> </w:t>
      </w:r>
      <w:r>
        <w:t xml:space="preserve">result, and validation against Hywind Tampen and reported field data.</w:t>
      </w:r>
    </w:p>
    <w:p>
      <w:pPr>
        <w:pStyle w:val="FirstParagraph"/>
      </w:pPr>
      <w:r>
        <w:t xml:space="preserve">Section 2 describes the platform, models and cases. Section 3 presents the</w:t>
      </w:r>
      <w:r>
        <w:t xml:space="preserve"> </w:t>
      </w:r>
      <w:r>
        <w:t xml:space="preserve">results, Section 4 discusses the mechanism, implications and limitations,</w:t>
      </w:r>
      <w:r>
        <w:t xml:space="preserve"> </w:t>
      </w:r>
      <w:r>
        <w:t xml:space="preserve">and Section 5 concludes. The model code, input data and all parameters with</w:t>
      </w:r>
      <w:r>
        <w:t xml:space="preserve"> </w:t>
      </w:r>
      <w:r>
        <w:t xml:space="preserve">their sources are openly available (see Data availability).</w:t>
      </w:r>
    </w:p>
    <w:bookmarkEnd w:id="22"/>
    <w:bookmarkStart w:id="34" w:name="methods"/>
    <w:p>
      <w:pPr>
        <w:pStyle w:val="Heading2"/>
      </w:pPr>
      <w:r>
        <w:t xml:space="preserve">2 Methods</w:t>
      </w:r>
    </w:p>
    <w:bookmarkStart w:id="26" w:name="system-and-cases"/>
    <w:p>
      <w:pPr>
        <w:pStyle w:val="Heading3"/>
      </w:pPr>
      <w:r>
        <w:t xml:space="preserve">2.1 System and cases</w:t>
      </w:r>
    </w:p>
    <w:p>
      <w:pPr>
        <w:pStyle w:val="FirstParagraph"/>
      </w:pPr>
      <w:r>
        <w:t xml:space="preserve">The study models the electric power system of a generic oil platform in the</w:t>
      </w:r>
      <w:r>
        <w:t xml:space="preserve"> </w:t>
      </w:r>
      <w:r>
        <w:t xml:space="preserve">northern North Sea (Tampen area, 61.0° N, 2.0° E) for the year 2023 at</w:t>
      </w:r>
      <w:r>
        <w:t xml:space="preserve"> </w:t>
      </w:r>
      <w:r>
        <w:t xml:space="preserve">hourly resolution (Fig. 1). The platform produces oil with associated gas,</w:t>
      </w:r>
      <w:r>
        <w:t xml:space="preserve"> </w:t>
      </w:r>
      <w:r>
        <w:t xml:space="preserve">exports both, and injects water for pressure support. Power is supplied by</w:t>
      </w:r>
      <w:r>
        <w:t xml:space="preserve"> </w:t>
      </w:r>
      <w:r>
        <w:t xml:space="preserve">three GTs and, in the wind cases, by a nearby two-turbine offshore wind farm</w:t>
      </w:r>
      <w:r>
        <w:t xml:space="preserve"> </w:t>
      </w:r>
      <w:r>
        <w:t xml:space="preserve">connected to the platform’s AC system. Four cases are compared: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GTs only</w:t>
      </w:r>
      <w:r>
        <w:t xml:space="preserve">, fixed demand (baseline).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Wind + GTs, fixed demand</w:t>
      </w:r>
      <w:r>
        <w:t xml:space="preserve">: production and water injection at their</w:t>
      </w:r>
      <w:r>
        <w:t xml:space="preserve"> </w:t>
      </w:r>
      <w:r>
        <w:t xml:space="preserve">design and target rates in every hour.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Wind + GTs, flexible scheduling</w:t>
      </w:r>
      <w:r>
        <w:t xml:space="preserve">: production and injection rates are</w:t>
      </w:r>
      <w:r>
        <w:t xml:space="preserve"> </w:t>
      </w:r>
      <w:r>
        <w:t xml:space="preserve">decision variables.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Case 3 + battery</w:t>
      </w:r>
      <w:r>
        <w:t xml:space="preserve"> </w:t>
      </w:r>
      <w:r>
        <w:t xml:space="preserve">of 4 MW / 4 MWh.</w:t>
      </w:r>
    </w:p>
    <w:p>
      <w:pPr>
        <w:pStyle w:val="FirstParagraph"/>
      </w:pPr>
      <w:r>
        <w:t xml:space="preserve">The platform keeps its three GTs in all cases, as a retrofit would; the</w:t>
      </w:r>
      <w:r>
        <w:t xml:space="preserve"> </w:t>
      </w:r>
      <w:r>
        <w:t xml:space="preserve">optimiser decides how many run in each hour. Case 2 corresponds to the</w:t>
      </w:r>
      <w:r>
        <w:t xml:space="preserve"> </w:t>
      </w:r>
      <w:r>
        <w:t xml:space="preserve">usual assumption in platform–wind studies, in which wind displaces GT power</w:t>
      </w:r>
      <w:r>
        <w:t xml:space="preserve"> </w:t>
      </w:r>
      <w:r>
        <w:t xml:space="preserve">but the load is unchanged. The difference between cases 2 and 3 isolates</w:t>
      </w:r>
      <w:r>
        <w:t xml:space="preserve"> </w:t>
      </w:r>
      <w:r>
        <w:t xml:space="preserve">the value of demand flexibility, and case 4 tests whether a small battery</w:t>
      </w:r>
      <w:r>
        <w:t xml:space="preserve"> </w:t>
      </w:r>
      <w:r>
        <w:t xml:space="preserve">adds to it.</w:t>
      </w:r>
    </w:p>
    <w:p>
      <w:pPr>
        <w:pStyle w:val="BodyText"/>
      </w:pPr>
      <w:r>
        <w:t xml:space="preserve">The base case uses the existing main turbines rather than a new, smaller</w:t>
      </w:r>
      <w:r>
        <w:t xml:space="preserve"> </w:t>
      </w:r>
      <w:r>
        <w:t xml:space="preserve">GT, for three reasons. First, wind is being added to existing platforms that</w:t>
      </w:r>
      <w:r>
        <w:t xml:space="preserve"> </w:t>
      </w:r>
      <w:r>
        <w:t xml:space="preserve">keep their installed turbines; the five platforms supplied by Hywind Tampen</w:t>
      </w:r>
      <w:r>
        <w:t xml:space="preserve"> </w:t>
      </w:r>
      <w:r>
        <w:t xml:space="preserve">are an example [8]. Second, load flexibility is an operational</w:t>
      </w:r>
      <w:r>
        <w:t xml:space="preserve"> </w:t>
      </w:r>
      <w:r>
        <w:t xml:space="preserve">measure, whereas a new GT is an investment; keeping the fleet fixed isolates</w:t>
      </w:r>
      <w:r>
        <w:t xml:space="preserve"> </w:t>
      </w:r>
      <w:r>
        <w:t xml:space="preserve">the value of flexibility. The effect of a smaller unit is quantified</w:t>
      </w:r>
      <w:r>
        <w:t xml:space="preserve"> </w:t>
      </w:r>
      <w:r>
        <w:t xml:space="preserve">separately in the sensitivity analysis with an 11.35 MW Solar Turbines</w:t>
      </w:r>
      <w:r>
        <w:t xml:space="preserve"> </w:t>
      </w:r>
      <w:r>
        <w:t xml:space="preserve">Mars 100 [16], either replacing one main unit or added to the</w:t>
      </w:r>
      <w:r>
        <w:t xml:space="preserve"> </w:t>
      </w:r>
      <w:r>
        <w:t xml:space="preserve">three, with both fixed and flexible demand. Third, the main turbine is a published reference machine with</w:t>
      </w:r>
      <w:r>
        <w:t xml:space="preserve"> </w:t>
      </w:r>
      <w:r>
        <w:t xml:space="preserve">a documented part-load curve [9], whereas manufacturers publish</w:t>
      </w:r>
      <w:r>
        <w:t xml:space="preserve"> </w:t>
      </w:r>
      <w:r>
        <w:t xml:space="preserve">only full-load ratings for small units. A small unit alone could not carry</w:t>
      </w:r>
      <w:r>
        <w:t xml:space="preserve"> </w:t>
      </w:r>
      <w:r>
        <w:t xml:space="preserve">the 20 MW platform with 5 MW of reserve in calm periods, so it is meaningful</w:t>
      </w:r>
      <w:r>
        <w:t xml:space="preserve"> </w:t>
      </w:r>
      <w:r>
        <w:t xml:space="preserve">only as part of a mixed fleet.</w:t>
      </w:r>
    </w:p>
    <w:p>
      <w:pPr>
        <w:pStyle w:val="BodyText"/>
      </w:pPr>
      <w:r>
        <w:t xml:space="preserve">Process behaviour is represented by steady-state operating points with ramp</w:t>
      </w:r>
      <w:r>
        <w:t xml:space="preserve"> </w:t>
      </w:r>
      <w:r>
        <w:t xml:space="preserve">limits; transient process dynamics are outside the scope. The model is</w:t>
      </w:r>
      <w:r>
        <w:t xml:space="preserve"> </w:t>
      </w:r>
      <w:r>
        <w:t xml:space="preserve">written in Python with NeqSim for thermodynamics and process simulation</w:t>
      </w:r>
      <w:r>
        <w:t xml:space="preserve"> </w:t>
      </w:r>
      <w:r>
        <w:t xml:space="preserve">[17] and Pyomo with the HiGHS solver for optimisation</w:t>
      </w:r>
      <w:r>
        <w:t xml:space="preserve"> </w:t>
      </w:r>
      <w:r>
        <w:t xml:space="preserve">[18,19]. Every parameter is stored in a single</w:t>
      </w:r>
      <w:r>
        <w:t xml:space="preserve"> </w:t>
      </w:r>
      <w:r>
        <w:t xml:space="preserve">configuration file with its unit and source; 29 of 101 parameters are marked</w:t>
      </w:r>
      <w:r>
        <w:t xml:space="preserve"> </w:t>
      </w:r>
      <w:r>
        <w:t xml:space="preserve">as assumptions because no published value could be found (Table S1). An</w:t>
      </w:r>
      <w:r>
        <w:t xml:space="preserve"> </w:t>
      </w:r>
      <w:r>
        <w:t xml:space="preserve">automated test suite checks each model component against hand calculations</w:t>
      </w:r>
      <w:r>
        <w:t xml:space="preserve"> </w:t>
      </w:r>
      <w:r>
        <w:t xml:space="preserve">and published values.</w:t>
      </w:r>
    </w:p>
    <w:p>
      <w:pPr>
        <w:pStyle w:val="CaptionedFigure"/>
      </w:pPr>
      <w:r>
        <w:drawing>
          <wp:inline>
            <wp:extent cx="5334000" cy="2638687"/>
            <wp:effectExtent b="0" l="0" r="0" t="0"/>
            <wp:docPr descr="Fig. 1. The platform power system. Supply (left) and topside consumers coloured by flexibility class (middle) are connected to one AC bus. The scheduler sets the production rate f_p, the injection rate f_{wi} and the GT commitment every hour." title="" id="24" name="Picture"/>
            <a:graphic>
              <a:graphicData uri="http://schemas.openxmlformats.org/drawingml/2006/picture">
                <pic:pic>
                  <pic:nvPicPr>
                    <pic:cNvPr descr="results/paper/fig00_system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386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Fig. 1.</w:t>
      </w:r>
      <w:r>
        <w:t xml:space="preserve"> </w:t>
      </w:r>
      <w:r>
        <w:t xml:space="preserve">The platform power system. Supply (left) and topside consumers coloured by flexibility class (middle) are connected to one AC bus. The scheduler sets the production rate</w:t>
      </w:r>
      <w:r>
        <w:t xml:space="preserve"> </w:t>
      </w:r>
      <m:oMath>
        <m:sSub>
          <m:e>
            <m:r>
              <m:t>f</m:t>
            </m:r>
          </m:e>
          <m:sub>
            <m:r>
              <m:t>p</m:t>
            </m:r>
          </m:sub>
        </m:sSub>
      </m:oMath>
      <w:r>
        <w:t xml:space="preserve">, the injection rate</w:t>
      </w:r>
      <w:r>
        <w:t xml:space="preserve"> </w:t>
      </w:r>
      <m:oMath>
        <m:sSub>
          <m:e>
            <m:r>
              <m:t>f</m:t>
            </m:r>
          </m:e>
          <m:sub>
            <m:r>
              <m:t>w</m:t>
            </m:r>
            <m:r>
              <m:t>i</m:t>
            </m:r>
          </m:sub>
        </m:sSub>
      </m:oMath>
      <w:r>
        <w:t xml:space="preserve"> </w:t>
      </w:r>
      <w:r>
        <w:t xml:space="preserve">and the GT commitment every hour.</w:t>
      </w:r>
    </w:p>
    <w:bookmarkEnd w:id="26"/>
    <w:bookmarkStart w:id="27" w:name="wind-farm-power"/>
    <w:p>
      <w:pPr>
        <w:pStyle w:val="Heading3"/>
      </w:pPr>
      <w:r>
        <w:t xml:space="preserve">2.2 Wind farm power</w:t>
      </w:r>
    </w:p>
    <w:p>
      <w:pPr>
        <w:pStyle w:val="FirstParagraph"/>
      </w:pPr>
      <w:r>
        <w:t xml:space="preserve">Hourly eastward and northward wind components at 100 m above sea level for</w:t>
      </w:r>
      <w:r>
        <w:t xml:space="preserve"> </w:t>
      </w:r>
      <w:r>
        <w:t xml:space="preserve">2023 were taken from the ERA5 reanalysis [20] at the grid point</w:t>
      </w:r>
      <w:r>
        <w:t xml:space="preserve"> </w:t>
      </w:r>
      <w:r>
        <w:t xml:space="preserve">nearest the site. Wind speed was extrapolated to the 150 m hub height with a</w:t>
      </w:r>
      <w:r>
        <w:t xml:space="preserve"> </w:t>
      </w:r>
      <w:r>
        <w:t xml:space="preserve">power law,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h</m:t>
              </m:r>
              <m:r>
                <m:t>u</m:t>
              </m:r>
              <m:r>
                <m:t>b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100</m:t>
              </m:r>
            </m:sub>
          </m:sSub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h</m:t>
                          </m:r>
                          <m:r>
                            <m:t>u</m:t>
                          </m:r>
                          <m:r>
                            <m:t>b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100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α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α</m:t>
          </m:r>
          <m:r>
            <m:rPr>
              <m:sty m:val="p"/>
            </m:rPr>
            <m:t>=</m:t>
          </m:r>
          <m:r>
            <m:t>0.11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exponent recommended for near-neutral conditions at sea [21].</w:t>
      </w:r>
      <w:r>
        <w:t xml:space="preserve"> </w:t>
      </w:r>
      <w:r>
        <w:t xml:space="preserve">Turbine power was interpolated on the power curve of the IEA 15 MW offshore</w:t>
      </w:r>
      <w:r>
        <w:t xml:space="preserve"> </w:t>
      </w:r>
      <w:r>
        <w:t xml:space="preserve">reference turbine [22], with cut-in at 3 m/s, rated power from</w:t>
      </w:r>
      <w:r>
        <w:t xml:space="preserve"> </w:t>
      </w:r>
      <w:r>
        <w:t xml:space="preserve">10.7 m/s and cut-out at 25 m/s. The base-case farm of two turbines (30 MW)</w:t>
      </w:r>
      <w:r>
        <w:t xml:space="preserve"> </w:t>
      </w:r>
      <w:r>
        <w:t xml:space="preserve">is of the same order as the 32 MW farm of the LEOGO platform</w:t>
      </w:r>
      <w:r>
        <w:t xml:space="preserve"> </w:t>
      </w:r>
      <w:r>
        <w:t xml:space="preserve">[9]. Wake losses (5 %), electrical losses (2 %) and availability</w:t>
      </w:r>
      <w:r>
        <w:t xml:space="preserve"> </w:t>
      </w:r>
      <w:r>
        <w:t xml:space="preserve">(95 %) give a combined factor of 0.884, so the farm delivers at most</w:t>
      </w:r>
      <w:r>
        <w:t xml:space="preserve"> </w:t>
      </w:r>
      <w:r>
        <w:t xml:space="preserve">26.5 MW. Hourly resolution does not resolve wind variations within the hour;</w:t>
      </w:r>
      <w:r>
        <w:t xml:space="preserve"> </w:t>
      </w:r>
      <w:r>
        <w:t xml:space="preserve">these are covered by the spinning reserve (Section 2.6).</w:t>
      </w:r>
    </w:p>
    <w:bookmarkEnd w:id="27"/>
    <w:bookmarkStart w:id="28" w:name="gas-turbines-and-emissions"/>
    <w:p>
      <w:pPr>
        <w:pStyle w:val="Heading3"/>
      </w:pPr>
      <w:r>
        <w:t xml:space="preserve">2.3 Gas turbines and emissions</w:t>
      </w:r>
    </w:p>
    <w:p>
      <w:pPr>
        <w:pStyle w:val="FirstParagraph"/>
      </w:pPr>
      <w:r>
        <w:t xml:space="preserve">The GTs follow the LEOGO reference turbine [9]: 21.8 MW rated</w:t>
      </w:r>
      <w:r>
        <w:t xml:space="preserve"> </w:t>
      </w:r>
      <w:r>
        <w:t xml:space="preserve">electric power and 3.5 MW minimum stable load (16 % of rating). Fuel input</w:t>
      </w:r>
      <w:r>
        <w:t xml:space="preserve"> </w:t>
      </w:r>
      <w:r>
        <w:t xml:space="preserve">is linear in electric output, a Willans line,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r</m:t>
                  </m:r>
                  <m:r>
                    <m:t>a</m:t>
                  </m:r>
                  <m:r>
                    <m:t>t</m:t>
                  </m:r>
                  <m:r>
                    <m:t>e</m:t>
                  </m:r>
                  <m:r>
                    <m:t>d</m:t>
                  </m:r>
                </m:sub>
              </m:sSub>
            </m:num>
            <m:den>
              <m:sSub>
                <m:e>
                  <m:r>
                    <m:t>η</m:t>
                  </m:r>
                </m:e>
                <m:sub>
                  <m:r>
                    <m:t>r</m:t>
                  </m:r>
                  <m:r>
                    <m:t>a</m:t>
                  </m:r>
                  <m:r>
                    <m:t>t</m:t>
                  </m:r>
                  <m:r>
                    <m:t>e</m:t>
                  </m:r>
                  <m:r>
                    <m:t>d</m:t>
                  </m:r>
                </m:sub>
              </m:sSub>
            </m:den>
          </m:f>
          <m:d>
            <m:dPr>
              <m:begChr m:val="("/>
              <m:endChr m:val=")"/>
              <m:sepChr m:val=""/>
              <m:grow/>
            </m:dPr>
            <m:e>
              <m:r>
                <m:t>a</m:t>
              </m:r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g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g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t</m:t>
                      </m:r>
                    </m:sub>
                  </m:sSub>
                </m:num>
                <m:den>
                  <m:sSub>
                    <m:e>
                      <m:r>
                        <m:t>P</m:t>
                      </m:r>
                    </m:e>
                    <m:sub>
                      <m:r>
                        <m:t>r</m:t>
                      </m:r>
                      <m:r>
                        <m:t>a</m:t>
                      </m:r>
                      <m:r>
                        <m:t>t</m:t>
                      </m:r>
                      <m:r>
                        <m:t>e</m:t>
                      </m:r>
                      <m:r>
                        <m:t>d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u</m:t>
            </m:r>
          </m:e>
          <m:sub>
            <m:r>
              <m:t>g</m:t>
            </m:r>
            <m:r>
              <m:rPr>
                <m:sty m:val="p"/>
              </m:rPr>
              <m:t>,</m:t>
            </m:r>
            <m:r>
              <m:t>t</m:t>
            </m:r>
          </m:sub>
        </m:sSub>
      </m:oMath>
      <w:r>
        <w:t xml:space="preserve"> </w:t>
      </w:r>
      <w:r>
        <w:t xml:space="preserve">is 1 when the unit runs. The rated efficiency</w:t>
      </w:r>
      <w:r>
        <w:t xml:space="preserve"> </w:t>
      </w:r>
      <m:oMath>
        <m:sSub>
          <m:e>
            <m:r>
              <m:t>η</m:t>
            </m:r>
          </m:e>
          <m:sub>
            <m:r>
              <m:t>r</m:t>
            </m:r>
            <m:r>
              <m:t>a</m:t>
            </m:r>
            <m:r>
              <m:t>t</m:t>
            </m:r>
            <m:r>
              <m:t>e</m:t>
            </m:r>
            <m:r>
              <m:t>d</m:t>
            </m:r>
          </m:sub>
        </m:sSub>
        <m:r>
          <m:rPr>
            <m:sty m:val="p"/>
          </m:rPr>
          <m:t>=</m:t>
        </m:r>
        <m:r>
          <m:t>0.347</m:t>
        </m:r>
      </m:oMath>
      <w:r>
        <w:t xml:space="preserve"> </w:t>
      </w:r>
      <w:r>
        <w:t xml:space="preserve">and no-load fuel fraction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0.184</m:t>
        </m:r>
      </m:oMath>
      <w:r>
        <w:t xml:space="preserve"> </w:t>
      </w:r>
      <w:r>
        <w:t xml:space="preserve">follow from the</w:t>
      </w:r>
      <w:r>
        <w:t xml:space="preserve"> </w:t>
      </w:r>
      <w:r>
        <w:t xml:space="preserve">LEOGO fuel coefficients. A running GT thus burns 18.4 % of its full-load</w:t>
      </w:r>
      <w:r>
        <w:t xml:space="preserve"> </w:t>
      </w:r>
      <w:r>
        <w:t xml:space="preserve">fuel before it delivers any power, which is why low-load operation is</w:t>
      </w:r>
      <w:r>
        <w:t xml:space="preserve"> </w:t>
      </w:r>
      <w:r>
        <w:t xml:space="preserve">costly: efficiency falls from 34.7 % at full load to 29.3 % at half load and</w:t>
      </w:r>
      <w:r>
        <w:t xml:space="preserve"> </w:t>
      </w:r>
      <w:r>
        <w:t xml:space="preserve">17.7 % at minimum load, and the CO2 emitted per MWh of electricity rises from</w:t>
      </w:r>
      <w:r>
        <w:t xml:space="preserve"> </w:t>
      </w:r>
      <w:r>
        <w:t xml:space="preserve">623 kg to 737 kg and 1,220 kg (Fig. S2). A fraction</w:t>
      </w:r>
      <w:r>
        <w:t xml:space="preserve"> </w:t>
      </w:r>
      <m:oMath>
        <m:r>
          <m:t>ϕ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of the fuel</w:t>
      </w:r>
      <w:r>
        <w:t xml:space="preserve"> </w:t>
      </w:r>
      <w:r>
        <w:t xml:space="preserve">energy not converted to power is recovered as process heat.</w:t>
      </w:r>
    </w:p>
    <w:p>
      <w:pPr>
        <w:pStyle w:val="BodyText"/>
      </w:pPr>
      <w:r>
        <w:t xml:space="preserve">The lower heating value of the fuel gas (38.96 MJ/Sm³) was computed with</w:t>
      </w:r>
      <w:r>
        <w:t xml:space="preserve"> </w:t>
      </w:r>
      <w:r>
        <w:t xml:space="preserve">NeqSim to ISO 6976 [23] from a generic North Sea fuel gas</w:t>
      </w:r>
      <w:r>
        <w:t xml:space="preserve"> </w:t>
      </w:r>
      <w:r>
        <w:t xml:space="preserve">composition. CO2 emissions use the Norwegian standard factor of</w:t>
      </w:r>
      <w:r>
        <w:t xml:space="preserve"> </w:t>
      </w:r>
      <w:r>
        <w:t xml:space="preserve">2.34 kg/Sm³ [9]. A carbon balance of the assumed composition</w:t>
      </w:r>
      <w:r>
        <w:t xml:space="preserve"> </w:t>
      </w:r>
      <w:r>
        <w:t xml:space="preserve">gives 2.27 kg/Sm³, and the factor reported for the Gullfaks field centre lies</w:t>
      </w:r>
      <w:r>
        <w:t xml:space="preserve"> </w:t>
      </w:r>
      <w:r>
        <w:t xml:space="preserve">between 2.32 and 2.40 kg/Sm³ (Section 3.5).</w:t>
      </w:r>
    </w:p>
    <w:bookmarkEnd w:id="28"/>
    <w:bookmarkStart w:id="29" w:name="process-model-and-demand-map"/>
    <w:p>
      <w:pPr>
        <w:pStyle w:val="Heading3"/>
      </w:pPr>
      <w:r>
        <w:t xml:space="preserve">2.4 Process model and demand map</w:t>
      </w:r>
    </w:p>
    <w:p>
      <w:pPr>
        <w:pStyle w:val="FirstParagraph"/>
      </w:pPr>
      <w:r>
        <w:t xml:space="preserve">The topside process was modelled in NeqSim with the Peng–Robinson equation</w:t>
      </w:r>
      <w:r>
        <w:t xml:space="preserve"> </w:t>
      </w:r>
      <w:r>
        <w:t xml:space="preserve">of state for hydrocarbons and the CPA equation of state for water. CPA</w:t>
      </w:r>
      <w:r>
        <w:t xml:space="preserve"> </w:t>
      </w:r>
      <w:r>
        <w:t xml:space="preserve">reproduces the density of liquid water, and therefore pump power, more</w:t>
      </w:r>
      <w:r>
        <w:t xml:space="preserve"> </w:t>
      </w:r>
      <w:r>
        <w:t xml:space="preserve">accurately than a cubic equation without association terms. The flowsheet</w:t>
      </w:r>
      <w:r>
        <w:t xml:space="preserve"> </w:t>
      </w:r>
      <w:r>
        <w:t xml:space="preserve">comprises:</w:t>
      </w:r>
    </w:p>
    <w:p>
      <w:pPr>
        <w:numPr>
          <w:ilvl w:val="0"/>
          <w:numId w:val="1003"/>
        </w:numPr>
        <w:pStyle w:val="Compact"/>
      </w:pPr>
      <w:r>
        <w:t xml:space="preserve">four-stage separation at 70 / 29 / 7.2 / 1.8 bara [10], with the</w:t>
      </w:r>
      <w:r>
        <w:t xml:space="preserve"> </w:t>
      </w:r>
      <w:r>
        <w:t xml:space="preserve">last stage within the 1.7–2.8 bar found on four real North Sea platforms</w:t>
      </w:r>
      <w:r>
        <w:t xml:space="preserve"> </w:t>
      </w:r>
      <w:r>
        <w:t xml:space="preserve">[24];</w:t>
      </w:r>
    </w:p>
    <w:p>
      <w:pPr>
        <w:numPr>
          <w:ilvl w:val="0"/>
          <w:numId w:val="1003"/>
        </w:numPr>
        <w:pStyle w:val="Compact"/>
      </w:pPr>
      <w:r>
        <w:t xml:space="preserve">three recompression stages lifting the gas from each separator to the</w:t>
      </w:r>
      <w:r>
        <w:t xml:space="preserve"> </w:t>
      </w:r>
      <w:r>
        <w:t xml:space="preserve">pressure of the previous one, each followed by a cooler to 30 °C and a</w:t>
      </w:r>
      <w:r>
        <w:t xml:space="preserve"> </w:t>
      </w:r>
      <w:r>
        <w:t xml:space="preserve">scrubber;</w:t>
      </w:r>
    </w:p>
    <w:p>
      <w:pPr>
        <w:numPr>
          <w:ilvl w:val="0"/>
          <w:numId w:val="1003"/>
        </w:numPr>
        <w:pStyle w:val="Compact"/>
      </w:pPr>
      <w:r>
        <w:t xml:space="preserve">gas export compression from 70 to 180 bara, which agrees with the 179 bar</w:t>
      </w:r>
      <w:r>
        <w:t xml:space="preserve"> </w:t>
      </w:r>
      <w:r>
        <w:t xml:space="preserve">reported for a real platform [24];</w:t>
      </w:r>
    </w:p>
    <w:p>
      <w:pPr>
        <w:numPr>
          <w:ilvl w:val="0"/>
          <w:numId w:val="1003"/>
        </w:numPr>
        <w:pStyle w:val="Compact"/>
      </w:pPr>
      <w:r>
        <w:t xml:space="preserve">oil export pumping to 50 bara;</w:t>
      </w:r>
    </w:p>
    <w:p>
      <w:pPr>
        <w:numPr>
          <w:ilvl w:val="0"/>
          <w:numId w:val="1003"/>
        </w:numPr>
        <w:pStyle w:val="Compact"/>
      </w:pPr>
      <w:r>
        <w:t xml:space="preserve">water injection pumps from 7 to 250 bara;</w:t>
      </w:r>
    </w:p>
    <w:p>
      <w:pPr>
        <w:numPr>
          <w:ilvl w:val="0"/>
          <w:numId w:val="1003"/>
        </w:numPr>
        <w:pStyle w:val="Compact"/>
      </w:pPr>
      <w:r>
        <w:t xml:space="preserve">seawater lift pumps that supply cooling water (10 K temperature rise) and</w:t>
      </w:r>
      <w:r>
        <w:t xml:space="preserve"> </w:t>
      </w:r>
      <w:r>
        <w:t xml:space="preserve">make-up water for injection, with seawater properties from</w:t>
      </w:r>
      <w:r>
        <w:t xml:space="preserve"> </w:t>
      </w:r>
      <w:r>
        <w:t xml:space="preserve">[25];</w:t>
      </w:r>
    </w:p>
    <w:p>
      <w:pPr>
        <w:numPr>
          <w:ilvl w:val="0"/>
          <w:numId w:val="1003"/>
        </w:numPr>
        <w:pStyle w:val="Compact"/>
      </w:pPr>
      <w:r>
        <w:t xml:space="preserve">a fixed utility load of 3.5 MW and a process heat demand of 3 MW.</w:t>
      </w:r>
    </w:p>
    <w:p>
      <w:pPr>
        <w:pStyle w:val="FirstParagraph"/>
      </w:pPr>
      <w:r>
        <w:t xml:space="preserve">Compressor isentropic efficiency (0.75), pump efficiencies, the injection</w:t>
      </w:r>
      <w:r>
        <w:t xml:space="preserve"> </w:t>
      </w:r>
      <w:r>
        <w:t xml:space="preserve">pressure and the utility load follow LEOGO [9]. The design point</w:t>
      </w:r>
      <w:r>
        <w:t xml:space="preserve"> </w:t>
      </w:r>
      <w:r>
        <w:t xml:space="preserve">is 15,000 Sm³/d of oil with a gas–oil ratio of 179 Sm³/Sm³ (2.68 MSm³/d of</w:t>
      </w:r>
      <w:r>
        <w:t xml:space="preserve"> </w:t>
      </w:r>
      <w:r>
        <w:t xml:space="preserve">gas export), a water cut of 40 % (10,000 m³/d of produced water) and</w:t>
      </w:r>
      <w:r>
        <w:t xml:space="preserve"> </w:t>
      </w:r>
      <w:r>
        <w:t xml:space="preserve">25,000 m³/d of water injection capacity. The resulting electric demand is</w:t>
      </w:r>
      <w:r>
        <w:t xml:space="preserve"> </w:t>
      </w:r>
      <w:r>
        <w:t xml:space="preserve">20.3 MW at full injection (Table 1). At the injection target of 85 % of</w:t>
      </w:r>
      <w:r>
        <w:t xml:space="preserve"> </w:t>
      </w:r>
      <w:r>
        <w:t xml:space="preserve">capacity (Section 2.5) the demand is 18.8 MW.</w:t>
      </w:r>
    </w:p>
    <w:p>
      <w:pPr>
        <w:pStyle w:val="BodyText"/>
      </w:pPr>
      <w:r>
        <w:rPr>
          <w:bCs/>
          <w:b/>
        </w:rPr>
        <w:t xml:space="preserve">Table 1.</w:t>
      </w:r>
      <w:r>
        <w:t xml:space="preserve"> </w:t>
      </w:r>
      <w:r>
        <w:t xml:space="preserve">Electric power at the design point.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Consumer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 [MW]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Water injection pumps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flexible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× 33 %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Gas export compression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sheddable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× 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Utilities and base 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must-run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Recompression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sheddable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× 100 %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Oil export pumps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sheddable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× 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Seawater lift pumps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× 33 %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20.29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At fixed pressures and efficiencies, steady-state power is proportional to</w:t>
      </w:r>
      <w:r>
        <w:t xml:space="preserve"> </w:t>
      </w:r>
      <w:r>
        <w:t xml:space="preserve">flow, so a simple flow-scaled power curve would make every consumer</w:t>
      </w:r>
      <w:r>
        <w:t xml:space="preserve"> </w:t>
      </w:r>
      <w:r>
        <w:t xml:space="preserve">perfectly flexible. Real equipment is not. Each consumer is therefore</w:t>
      </w:r>
      <w:r>
        <w:t xml:space="preserve"> </w:t>
      </w:r>
      <w:r>
        <w:t xml:space="preserve">represented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identical parallel trains, of which the smallest number</w:t>
      </w:r>
      <w:r>
        <w:t xml:space="preserve"> </w:t>
      </w:r>
      <w:r>
        <w:t xml:space="preserve">that can carry the flow is running, and by a minimum flow per train,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  <m:r>
              <m:t>i</m:t>
            </m:r>
            <m:r>
              <m:t>n</m:t>
            </m:r>
          </m:sub>
        </m:sSub>
      </m:oMath>
      <w:r>
        <w:t xml:space="preserve">, below which the train recycles. For a flow fraction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power is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r>
                <m:t>f</m:t>
              </m:r>
            </m:e>
          </m:d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d</m:t>
              </m:r>
              <m:r>
                <m:t>e</m:t>
              </m:r>
              <m:r>
                <m:t>s</m:t>
              </m:r>
              <m:r>
                <m:t>i</m:t>
              </m:r>
              <m:r>
                <m:t>g</m:t>
              </m:r>
              <m:r>
                <m:t>n</m:t>
              </m:r>
            </m:sub>
          </m:sSub>
          <m:r>
            <m:t> 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r</m:t>
                  </m:r>
                  <m:r>
                    <m:t>u</m:t>
                  </m:r>
                  <m:r>
                    <m:t>n</m:t>
                  </m:r>
                </m:sub>
              </m:sSub>
            </m:num>
            <m:den>
              <m:r>
                <m:t>n</m:t>
              </m:r>
            </m:den>
          </m:f>
          <m:r>
            <m:t> </m:t>
          </m:r>
          <m:r>
            <m:rPr>
              <m:sty m:val="p"/>
            </m:rPr>
            <m:t>max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t> </m:t>
                  </m:r>
                  <m:r>
                    <m:t>n</m:t>
                  </m:r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r</m:t>
                      </m:r>
                      <m:r>
                        <m:t>u</m:t>
                      </m:r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,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m</m:t>
                  </m:r>
                  <m:r>
                    <m:t>i</m:t>
                  </m:r>
                  <m:r>
                    <m:t>n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n</m:t>
              </m:r>
            </m:e>
            <m:sub>
              <m:r>
                <m:t>r</m:t>
              </m:r>
              <m:r>
                <m:t>u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⌈"/>
              <m:endChr m:val="⌉"/>
              <m:sepChr m:val=""/>
              <m:grow/>
            </m:dPr>
            <m:e>
              <m:r>
                <m:t>f</m:t>
              </m:r>
              <m:r>
                <m:t> </m:t>
              </m:r>
              <m:r>
                <m:t>n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zero when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. Recycle represents anti-surge recycle for compressors</w:t>
      </w:r>
      <w:r>
        <w:t xml:space="preserve"> </w:t>
      </w:r>
      <w:r>
        <w:t xml:space="preserve">and minimum-flow recirculation for pumps. The minimum flow is 70 % for</w:t>
      </w:r>
      <w:r>
        <w:t xml:space="preserve"> </w:t>
      </w:r>
      <w:r>
        <w:t xml:space="preserve">compressors and 30 % for pumps. These values are assumptions; anti-surge</w:t>
      </w:r>
      <w:r>
        <w:t xml:space="preserve"> </w:t>
      </w:r>
      <w:r>
        <w:t xml:space="preserve">recycle rates between 4 % and 92 % of compressor flow have been reported on</w:t>
      </w:r>
      <w:r>
        <w:t xml:space="preserve"> </w:t>
      </w:r>
      <w:r>
        <w:t xml:space="preserve">real North Sea platforms [24], which shows that recycle is common</w:t>
      </w:r>
      <w:r>
        <w:t xml:space="preserve"> </w:t>
      </w:r>
      <w:r>
        <w:t xml:space="preserve">in practice.</w:t>
      </w:r>
    </w:p>
    <w:bookmarkEnd w:id="29"/>
    <w:bookmarkStart w:id="30" w:name="consumer-classes-and-levers"/>
    <w:p>
      <w:pPr>
        <w:pStyle w:val="Heading3"/>
      </w:pPr>
      <w:r>
        <w:t xml:space="preserve">2.5 Consumer classes and levers</w:t>
      </w:r>
    </w:p>
    <w:p>
      <w:pPr>
        <w:pStyle w:val="FirstParagraph"/>
      </w:pPr>
      <w:r>
        <w:t xml:space="preserve">Each consumer is assigned to one class and one operating lever (Fig. 1):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Must-run</w:t>
      </w:r>
      <w:r>
        <w:t xml:space="preserve">: utilities and base load, never reduced.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Flexible (deferrable)</w:t>
      </w:r>
      <w:r>
        <w:t xml:space="preserve">: water injection pumps. The lever is the</w:t>
      </w:r>
      <w:r>
        <w:t xml:space="preserve"> </w:t>
      </w:r>
      <w:r>
        <w:t xml:space="preserve">injection rate</w:t>
      </w:r>
      <w:r>
        <w:t xml:space="preserve"> </w:t>
      </w:r>
      <m:oMath>
        <m:sSub>
          <m:e>
            <m:r>
              <m:t>f</m:t>
            </m:r>
          </m:e>
          <m:sub>
            <m:r>
              <m:t>w</m:t>
            </m:r>
            <m:r>
              <m:t>i</m:t>
            </m:r>
          </m:sub>
        </m:sSub>
      </m:oMath>
      <w:r>
        <w:t xml:space="preserve">. Postponed injection is not lost but must be</w:t>
      </w:r>
      <w:r>
        <w:t xml:space="preserve"> </w:t>
      </w:r>
      <w:r>
        <w:t xml:space="preserve">caught up.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Sheddable</w:t>
      </w:r>
      <w:r>
        <w:t xml:space="preserve">: recompression, gas export compression and oil export pumps.</w:t>
      </w:r>
      <w:r>
        <w:t xml:space="preserve"> </w:t>
      </w:r>
      <w:r>
        <w:t xml:space="preserve">The lever is the production rate</w:t>
      </w:r>
      <w:r>
        <w:t xml:space="preserve"> </w:t>
      </w:r>
      <m:oMath>
        <m:sSub>
          <m:e>
            <m:r>
              <m:t>f</m:t>
            </m:r>
          </m:e>
          <m:sub>
            <m:r>
              <m:t>p</m:t>
            </m:r>
          </m:sub>
        </m:sSub>
      </m:oMath>
      <w:r>
        <w:t xml:space="preserve">; any reduction is lost production.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Mixed</w:t>
      </w:r>
      <w:r>
        <w:t xml:space="preserve">: seawater lift pumps, whose cooling part follows</w:t>
      </w:r>
      <w:r>
        <w:t xml:space="preserve"> </w:t>
      </w:r>
      <m:oMath>
        <m:sSub>
          <m:e>
            <m:r>
              <m:t>f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r>
        <w:t xml:space="preserve">make-up part follows</w:t>
      </w:r>
      <w:r>
        <w:t xml:space="preserve"> </w:t>
      </w:r>
      <m:oMath>
        <m:sSub>
          <m:e>
            <m:r>
              <m:t>f</m:t>
            </m:r>
          </m:e>
          <m:sub>
            <m:r>
              <m:t>w</m:t>
            </m:r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power of each lever group is the sum of the train curves of its</w:t>
      </w:r>
      <w:r>
        <w:t xml:space="preserve"> </w:t>
      </w:r>
      <w:r>
        <w:t xml:space="preserve">consumers. It is a piecewise-linear function of the lever with steps where</w:t>
      </w:r>
      <w:r>
        <w:t xml:space="preserve"> </w:t>
      </w:r>
      <w:r>
        <w:t xml:space="preserve">a train starts at its minimum flow (Fig. 2), and it enters the scheduling</w:t>
      </w:r>
      <w:r>
        <w:t xml:space="preserve"> </w:t>
      </w:r>
      <w:r>
        <w:t xml:space="preserve">model through incremental binary variables, one per segment. Production can</w:t>
      </w:r>
      <w:r>
        <w:t xml:space="preserve"> </w:t>
      </w:r>
      <w:r>
        <w:t xml:space="preserve">be turned down to 50 % of design and changed by at most 10 % of design per</w:t>
      </w:r>
      <w:r>
        <w:t xml:space="preserve"> </w:t>
      </w:r>
      <w:r>
        <w:t xml:space="preserve">hour, which represents the speed at which well chokes and the separation</w:t>
      </w:r>
      <w:r>
        <w:t xml:space="preserve"> </w:t>
      </w:r>
      <w:r>
        <w:t xml:space="preserve">process can be adjusted. Injection can vary between 0 and 100 % of pump</w:t>
      </w:r>
      <w:r>
        <w:t xml:space="preserve"> </w:t>
      </w:r>
      <w:r>
        <w:t xml:space="preserve">capacity, by at most 34 % per hour, about one pump started or stopped.</w:t>
      </w:r>
    </w:p>
    <w:p>
      <w:pPr>
        <w:pStyle w:val="BodyText"/>
      </w:pPr>
      <w:r>
        <w:t xml:space="preserve">The average injection must meet a voidage-replacement target, set here to</w:t>
      </w:r>
      <w:r>
        <w:t xml:space="preserve"> </w:t>
      </w:r>
      <w:r>
        <w:t xml:space="preserve">85 % of capacity. This is modelled as a virtual storage: postponing</w:t>
      </w:r>
      <w:r>
        <w:t xml:space="preserve"> </w:t>
      </w:r>
      <w:r>
        <w:t xml:space="preserve">injection builds a deficit, measured in hours of full-rate injection,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d>
            <m:dPr>
              <m:begChr m:val="("/>
              <m:endChr m:val=")"/>
              <m:sepChr m:val=""/>
              <m:grow/>
            </m:dPr>
            <m:e>
              <m:sSubSup>
                <m:e>
                  <m:r>
                    <m:t>f</m:t>
                  </m:r>
                </m:e>
                <m:sub>
                  <m:r>
                    <m:t>w</m:t>
                  </m:r>
                  <m:r>
                    <m:t>i</m:t>
                  </m:r>
                </m:sub>
                <m:sup>
                  <m:r>
                    <m:t>t</m:t>
                  </m:r>
                  <m:r>
                    <m:t>a</m:t>
                  </m:r>
                  <m:r>
                    <m:t>r</m:t>
                  </m:r>
                  <m:r>
                    <m:t>g</m:t>
                  </m:r>
                  <m:r>
                    <m:t>e</m:t>
                  </m:r>
                  <m:r>
                    <m:t>t</m:t>
                  </m:r>
                </m:sup>
              </m:sSubSup>
              <m:r>
                <m:rPr>
                  <m:sty m:val="p"/>
                </m:rPr>
                <m:t>−</m:t>
              </m:r>
              <m:sSub>
                <m:e>
                  <m:r>
                    <m:t>f</m:t>
                  </m:r>
                </m:e>
                <m:sub>
                  <m:r>
                    <m:t>w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e>
          </m:d>
          <m:r>
            <m:t>Δ</m:t>
          </m:r>
          <m:r>
            <m:t>t</m:t>
          </m:r>
          <m:r>
            <m:rPr>
              <m:sty m:val="p"/>
            </m:rPr>
            <m:t>,</m:t>
          </m:r>
          <m:r>
            <m:t>  </m:t>
          </m:r>
          <m:r>
            <m:t>0</m:t>
          </m:r>
          <m:r>
            <m:rPr>
              <m:sty m:val="p"/>
            </m:rPr>
            <m:t>≤</m:t>
          </m:r>
          <m:sSub>
            <m:e>
              <m:r>
                <m:t>D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D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Δ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h and</w:t>
      </w:r>
      <w:r>
        <w:t xml:space="preserve"> </w:t>
      </w:r>
      <m:oMath>
        <m:sSub>
          <m:e>
            <m:r>
              <m:t>D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  <m:r>
          <m:rPr>
            <m:sty m:val="p"/>
          </m:rPr>
          <m:t>=</m:t>
        </m:r>
        <m:r>
          <m:t>72</m:t>
        </m:r>
      </m:oMath>
      <w:r>
        <w:t xml:space="preserve"> </w:t>
      </w:r>
      <w:r>
        <w:t xml:space="preserve">h. The lower bound prevents</w:t>
      </w:r>
      <w:r>
        <w:t xml:space="preserve"> </w:t>
      </w:r>
      <w:r>
        <w:t xml:space="preserve">injection from being brought forward, which the reservoir may not tolerate</w:t>
      </w:r>
      <w:r>
        <w:t xml:space="preserve"> </w:t>
      </w:r>
      <w:r>
        <w:t xml:space="preserve">either. The upper bound represents how much injection the reservoir</w:t>
      </w:r>
      <w:r>
        <w:t xml:space="preserve"> </w:t>
      </w:r>
      <w:r>
        <w:t xml:space="preserve">tolerates being postponed. It depends on the reservoir and is uncertain, so</w:t>
      </w:r>
      <w:r>
        <w:t xml:space="preserve"> </w:t>
      </w:r>
      <w:r>
        <w:t xml:space="preserve">it is varied from 0 to 168 h in the sensitivity analysis.</w:t>
      </w:r>
    </w:p>
    <w:bookmarkEnd w:id="30"/>
    <w:bookmarkStart w:id="31" w:name="scheduling-model"/>
    <w:p>
      <w:pPr>
        <w:pStyle w:val="Heading3"/>
      </w:pPr>
      <w:r>
        <w:t xml:space="preserve">2.6 Scheduling model</w:t>
      </w:r>
    </w:p>
    <w:p>
      <w:pPr>
        <w:pStyle w:val="FirstParagraph"/>
      </w:pPr>
      <w:r>
        <w:t xml:space="preserve">The schedule is found with a mixed-integer linear program over each window</w:t>
      </w:r>
      <w:r>
        <w:t xml:space="preserve"> </w:t>
      </w:r>
      <w:r>
        <w:t xml:space="preserve">of hours</w:t>
      </w:r>
      <w:r>
        <w:t xml:space="preserve"> </w:t>
      </w:r>
      <m:oMath>
        <m:r>
          <m:t>T</m:t>
        </m:r>
      </m:oMath>
      <w:r>
        <w:t xml:space="preserve">. The objective minimises the operating cost in NOK,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min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t</m:t>
              </m:r>
              <m:r>
                <m:rPr>
                  <m:sty m:val="p"/>
                </m:rPr>
                <m:t>∈</m:t>
              </m:r>
              <m:r>
                <m:t>T</m:t>
              </m:r>
            </m:sub>
            <m:sup>
              <m:r>
                <m:t>​</m:t>
              </m:r>
            </m:sup>
            <m:e>
              <m:d>
                <m:dPr>
                  <m:begChr m:val="["/>
                  <m:endChr m:val="]"/>
                  <m:sepChr m:val=""/>
                  <m:grow/>
                </m:d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g</m:t>
                          </m:r>
                          <m:r>
                            <m:t>a</m:t>
                          </m:r>
                          <m:r>
                            <m:t>s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C</m:t>
                          </m:r>
                          <m:r>
                            <m:t>O</m:t>
                          </m:r>
                          <m:r>
                            <m:t>2</m:t>
                          </m:r>
                        </m:sub>
                      </m:sSub>
                      <m:r>
                        <m:t> 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C</m:t>
                          </m:r>
                          <m:r>
                            <m:t>O</m:t>
                          </m:r>
                          <m:r>
                            <m:t>2</m:t>
                          </m:r>
                        </m:sub>
                      </m:sSub>
                    </m:e>
                  </m:d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g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Q</m:t>
                              </m:r>
                            </m:e>
                            <m:sub>
                              <m:r>
                                <m:t>g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t</m:t>
                              </m:r>
                            </m:sub>
                          </m:sSub>
                        </m:num>
                        <m:den>
                          <m:r>
                            <m:t>L</m:t>
                          </m:r>
                          <m:r>
                            <m:t>H</m:t>
                          </m:r>
                          <m:r>
                            <m:t>V</m:t>
                          </m:r>
                        </m:den>
                      </m:f>
                    </m:e>
                  </m:nary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p</m:t>
                      </m:r>
                      <m:r>
                        <m:t>r</m:t>
                      </m:r>
                      <m:r>
                        <m:t>o</m:t>
                      </m:r>
                      <m:r>
                        <m:t>d</m:t>
                      </m:r>
                    </m:sub>
                  </m:sSub>
                  <m:r>
                    <m:t> 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t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  <m:r>
                        <m:t>a</m:t>
                      </m:r>
                      <m:r>
                        <m:t>r</m:t>
                      </m:r>
                      <m:r>
                        <m:t>t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g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p</m:t>
                      </m:r>
                      <m:r>
                        <m:t>e</m:t>
                      </m:r>
                      <m:r>
                        <m:t>n</m:t>
                      </m:r>
                    </m:sub>
                  </m:sSub>
                  <m:r>
                    <m:t> 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Sup>
                        <m:e>
                          <m:r>
                            <m:t>P</m:t>
                          </m:r>
                        </m:e>
                        <m:sub>
                          <m:r>
                            <m:t>t</m:t>
                          </m:r>
                        </m:sub>
                        <m:sup>
                          <m:r>
                            <m:t>u</m:t>
                          </m:r>
                        </m:sup>
                      </m:sSubSup>
                      <m:r>
                        <m:rPr>
                          <m:sty m:val="p"/>
                        </m:rPr>
                        <m:t>+</m:t>
                      </m:r>
                      <m:sSubSup>
                        <m:e>
                          <m:r>
                            <m:t>R</m:t>
                          </m:r>
                        </m:e>
                        <m:sub>
                          <m:r>
                            <m:t>t</m:t>
                          </m:r>
                        </m:sub>
                        <m:sup>
                          <m:r>
                            <m:t>u</m:t>
                          </m:r>
                        </m:sup>
                      </m:sSubSup>
                    </m:e>
                  </m:d>
                </m:e>
              </m:d>
            </m:e>
          </m:nary>
          <m:r>
            <m:t>Δ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g</m:t>
            </m:r>
            <m:r>
              <m:t>a</m:t>
            </m:r>
            <m:r>
              <m:t>s</m:t>
            </m:r>
          </m:sub>
        </m:sSub>
        <m:r>
          <m:rPr>
            <m:sty m:val="p"/>
          </m:rPr>
          <m:t>=</m:t>
        </m:r>
        <m:r>
          <m:t>4.19</m:t>
        </m:r>
      </m:oMath>
      <w:r>
        <w:t xml:space="preserve"> </w:t>
      </w:r>
      <w:r>
        <w:t xml:space="preserve">NOK/Sm³ is the value of fuel gas, which could</w:t>
      </w:r>
      <w:r>
        <w:t xml:space="preserve"> </w:t>
      </w:r>
      <w:r>
        <w:t xml:space="preserve">otherwise be sold,</w:t>
      </w:r>
      <w:r>
        <w:t xml:space="preserve"> </w:t>
      </w:r>
      <m:oMath>
        <m:sSub>
          <m:e>
            <m:r>
              <m:t>c</m:t>
            </m:r>
          </m:e>
          <m:sub>
            <m:r>
              <m:t>C</m:t>
            </m:r>
            <m:r>
              <m:t>O</m:t>
            </m:r>
            <m:r>
              <m:t>2</m:t>
            </m:r>
          </m:sub>
        </m:sSub>
        <m:r>
          <m:rPr>
            <m:sty m:val="p"/>
          </m:rPr>
          <m:t>=</m:t>
        </m:r>
        <m:r>
          <m:t>2.0</m:t>
        </m:r>
      </m:oMath>
      <w:r>
        <w:t xml:space="preserve"> </w:t>
      </w:r>
      <w:r>
        <w:t xml:space="preserve">NOK/kg is the Norwegian target for the</w:t>
      </w:r>
      <w:r>
        <w:t xml:space="preserve"> </w:t>
      </w:r>
      <w:r>
        <w:t xml:space="preserve">total CO2 price in 2030 [26],</w:t>
      </w:r>
      <w:r>
        <w:t xml:space="preserve"> </w:t>
      </w:r>
      <m:oMath>
        <m:sSub>
          <m:e>
            <m:r>
              <m:t>e</m:t>
            </m:r>
          </m:e>
          <m:sub>
            <m:r>
              <m:t>C</m:t>
            </m:r>
            <m:r>
              <m:t>O</m:t>
            </m:r>
            <m:r>
              <m:t>2</m:t>
            </m:r>
          </m:sub>
        </m:sSub>
      </m:oMath>
      <w:r>
        <w:t xml:space="preserve"> </w:t>
      </w:r>
      <w:r>
        <w:t xml:space="preserve">is the emission factor,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  <m:r>
              <m:t>r</m:t>
            </m:r>
            <m:r>
              <m:t>o</m:t>
            </m:r>
            <m:r>
              <m:t>d</m:t>
            </m:r>
          </m:sub>
        </m:sSub>
      </m:oMath>
      <w:r>
        <w:t xml:space="preserve"> </w:t>
      </w:r>
      <w:r>
        <w:t xml:space="preserve">is the hourly value of design production (oil at 4,190 NOK/Sm³</w:t>
      </w:r>
      <w:r>
        <w:t xml:space="preserve"> </w:t>
      </w:r>
      <w:r>
        <w:t xml:space="preserve">and gas at the gas price) and</w:t>
      </w:r>
      <w:r>
        <w:t xml:space="preserve"> </w:t>
      </w:r>
      <m:oMath>
        <m:sSub>
          <m:e>
            <m:r>
              <m:t>c</m:t>
            </m:r>
          </m:e>
          <m:sub>
            <m:r>
              <m:t>s</m:t>
            </m:r>
            <m:r>
              <m:t>t</m:t>
            </m:r>
            <m:r>
              <m:t>a</m:t>
            </m:r>
            <m:r>
              <m:t>r</m:t>
            </m:r>
            <m:r>
              <m:t>t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NOK per GT start</w:t>
      </w:r>
      <w:r>
        <w:t xml:space="preserve"> </w:t>
      </w:r>
      <w:r>
        <w:t xml:space="preserve">[9]. Unserved energy</w:t>
      </w:r>
      <w:r>
        <w:t xml:space="preserve"> </w:t>
      </w:r>
      <m:oMath>
        <m:sSubSup>
          <m:e>
            <m:r>
              <m:t>P</m:t>
            </m:r>
          </m:e>
          <m:sub>
            <m:r>
              <m:t>t</m:t>
            </m:r>
          </m:sub>
          <m:sup>
            <m:r>
              <m:t>u</m:t>
            </m:r>
          </m:sup>
        </m:sSubSup>
      </m:oMath>
      <w:r>
        <w:t xml:space="preserve"> </w:t>
      </w:r>
      <w:r>
        <w:t xml:space="preserve">and missing reserve</w:t>
      </w:r>
      <w:r>
        <w:t xml:space="preserve"> </w:t>
      </w:r>
      <m:oMath>
        <m:sSubSup>
          <m:e>
            <m:r>
              <m:t>R</m:t>
            </m:r>
          </m:e>
          <m:sub>
            <m:r>
              <m:t>t</m:t>
            </m:r>
          </m:sub>
          <m:sup>
            <m:r>
              <m:t>u</m:t>
            </m:r>
          </m:sup>
        </m:sSubSup>
      </m:oMath>
      <w:r>
        <w:t xml:space="preserve"> </w:t>
      </w:r>
      <w:r>
        <w:t xml:space="preserve">are</w:t>
      </w:r>
      <w:r>
        <w:t xml:space="preserve"> </w:t>
      </w:r>
      <w:r>
        <w:t xml:space="preserve">allowed only at a penalty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  <m:r>
              <m:t>e</m:t>
            </m:r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NOK/MWh to keep every window</w:t>
      </w:r>
      <w:r>
        <w:t xml:space="preserve"> </w:t>
      </w:r>
      <w:r>
        <w:t xml:space="preserve">feasible; in all reported runs they are below 0.03 MWh/yr.</w:t>
      </w:r>
    </w:p>
    <w:p>
      <w:pPr>
        <w:pStyle w:val="BodyText"/>
      </w:pPr>
      <w:r>
        <w:t xml:space="preserve">The main constraints are: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g</m:t>
              </m:r>
            </m:sub>
            <m:sup>
              <m:r>
                <m:t>​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g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+</m:t>
          </m:r>
          <m:sSubSup>
            <m:e>
              <m:r>
                <m:t>P</m:t>
              </m:r>
            </m:e>
            <m:sub>
              <m:r>
                <m:t>t</m:t>
              </m:r>
            </m:sub>
            <m:sup>
              <m:r>
                <m:t>w</m:t>
              </m:r>
            </m:sup>
          </m:sSubSup>
          <m:r>
            <m:rPr>
              <m:sty m:val="p"/>
            </m:rPr>
            <m:t>+</m:t>
          </m:r>
          <m:sSubSup>
            <m:e>
              <m:r>
                <m:t>P</m:t>
              </m:r>
            </m:e>
            <m:sub>
              <m:r>
                <m:t>t</m:t>
              </m:r>
            </m:sub>
            <m:sup>
              <m:r>
                <m:t>d</m:t>
              </m:r>
              <m:r>
                <m:t>i</m:t>
              </m:r>
              <m:r>
                <m:t>s</m:t>
              </m:r>
            </m:sup>
          </m:sSubSup>
          <m:r>
            <m:rPr>
              <m:sty m:val="p"/>
            </m:rPr>
            <m:t>+</m:t>
          </m:r>
          <m:sSubSup>
            <m:e>
              <m:r>
                <m:t>P</m:t>
              </m:r>
            </m:e>
            <m:sub>
              <m:r>
                <m:t>t</m:t>
              </m:r>
            </m:sub>
            <m:sup>
              <m:r>
                <m:t>u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P</m:t>
              </m:r>
            </m:e>
            <m:sub>
              <m:r>
                <m:t>t</m:t>
              </m:r>
            </m:sub>
            <m:sup>
              <m:r>
                <m:t>d</m:t>
              </m:r>
              <m:r>
                <m:t>e</m:t>
              </m:r>
              <m:r>
                <m:t>m</m:t>
              </m:r>
            </m:sup>
          </m:sSubSup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f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f</m:t>
                  </m:r>
                </m:e>
                <m:sub>
                  <m:r>
                    <m:t>w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e>
          </m:d>
          <m:r>
            <m:rPr>
              <m:sty m:val="p"/>
            </m:rPr>
            <m:t>+</m:t>
          </m:r>
          <m:sSubSup>
            <m:e>
              <m:r>
                <m:t>P</m:t>
              </m:r>
            </m:e>
            <m:sub>
              <m:r>
                <m:t>t</m:t>
              </m:r>
            </m:sub>
            <m:sup>
              <m:r>
                <m:t>h</m:t>
              </m:r>
            </m:sup>
          </m:sSubSup>
          <m:r>
            <m:rPr>
              <m:sty m:val="p"/>
            </m:rPr>
            <m:t>+</m:t>
          </m:r>
          <m:sSubSup>
            <m:e>
              <m:r>
                <m:t>P</m:t>
              </m:r>
            </m:e>
            <m:sub>
              <m:r>
                <m:t>t</m:t>
              </m:r>
            </m:sub>
            <m:sup>
              <m:r>
                <m:t>c</m:t>
              </m:r>
              <m:r>
                <m:t>h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P</m:t>
              </m:r>
            </m:e>
            <m:sub>
              <m:r>
                <m:t>t</m:t>
              </m:r>
            </m:sub>
            <m:sup>
              <m:r>
                <m:t>w</m:t>
              </m:r>
            </m:sup>
          </m:sSubSup>
          <m:r>
            <m:rPr>
              <m:sty m:val="p"/>
            </m:rPr>
            <m:t>+</m:t>
          </m:r>
          <m:sSubSup>
            <m:e>
              <m:r>
                <m:t>P</m:t>
              </m:r>
            </m:e>
            <m:sub>
              <m:r>
                <m:t>t</m:t>
              </m:r>
            </m:sub>
            <m:sup>
              <m:r>
                <m:t>c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P</m:t>
              </m:r>
            </m:e>
            <m:sub>
              <m:r>
                <m:t>t</m:t>
              </m:r>
            </m:sub>
            <m:sup>
              <m:r>
                <m:t>a</m:t>
              </m:r>
              <m:r>
                <m:t>v</m:t>
              </m:r>
              <m:r>
                <m:t>a</m:t>
              </m:r>
              <m:r>
                <m:t>i</m:t>
              </m:r>
              <m:r>
                <m:t>l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ϕ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g</m:t>
              </m:r>
            </m:sub>
            <m:sup>
              <m:r>
                <m:t>​</m:t>
              </m:r>
            </m: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g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g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t</m:t>
                      </m:r>
                    </m:sub>
                  </m:sSub>
                </m:e>
              </m:d>
            </m:e>
          </m:nary>
          <m:r>
            <m:rPr>
              <m:sty m:val="p"/>
            </m:rPr>
            <m:t>+</m:t>
          </m:r>
          <m:sSub>
            <m:e>
              <m:r>
                <m:t>η</m:t>
              </m:r>
            </m:e>
            <m:sub>
              <m:r>
                <m:t>h</m:t>
              </m:r>
            </m:sub>
          </m:sSub>
          <m:sSubSup>
            <m:e>
              <m:r>
                <m:t>P</m:t>
              </m:r>
            </m:e>
            <m:sub>
              <m:r>
                <m:t>t</m:t>
              </m:r>
            </m:sub>
            <m:sup>
              <m:r>
                <m:t>h</m:t>
              </m:r>
            </m:sup>
          </m:sSubSup>
          <m:r>
            <m:rPr>
              <m:sty m:val="p"/>
            </m:rPr>
            <m:t>≥</m:t>
          </m:r>
          <m:r>
            <m:t>H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m</m:t>
              </m:r>
              <m:r>
                <m:t>i</m:t>
              </m:r>
              <m:r>
                <m:t>n</m:t>
              </m:r>
            </m:sub>
          </m:sSub>
          <m:r>
            <m:t> </m:t>
          </m:r>
          <m:sSub>
            <m:e>
              <m:r>
                <m:t>u</m:t>
              </m: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P</m:t>
              </m: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P</m:t>
              </m:r>
            </m:e>
            <m:sub>
              <m:r>
                <m:t>r</m:t>
              </m:r>
              <m:r>
                <m:t>a</m:t>
              </m:r>
              <m:r>
                <m:t>t</m:t>
              </m:r>
              <m:r>
                <m:t>e</m:t>
              </m:r>
              <m:r>
                <m:t>d</m:t>
              </m:r>
            </m:sub>
          </m:sSub>
          <m:r>
            <m:t> </m:t>
          </m:r>
          <m:sSub>
            <m:e>
              <m:r>
                <m:t>u</m:t>
              </m: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rPr>
              <m:sty m:val="p"/>
            </m:rPr>
            <m:t>≥</m:t>
          </m:r>
          <m:sSub>
            <m:e>
              <m:r>
                <m:t>u</m:t>
              </m: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u</m:t>
              </m: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g</m:t>
              </m:r>
            </m:sub>
            <m:sup>
              <m:r>
                <m:t>​</m:t>
              </m:r>
            </m: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r</m:t>
                      </m:r>
                      <m:r>
                        <m:t>a</m:t>
                      </m:r>
                      <m:r>
                        <m:t>t</m:t>
                      </m:r>
                      <m:r>
                        <m:t>e</m:t>
                      </m:r>
                      <m:r>
                        <m:t>d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g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g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t</m:t>
                      </m:r>
                    </m:sub>
                  </m:sSub>
                </m:e>
              </m:d>
            </m:e>
          </m:nary>
          <m:r>
            <m:rPr>
              <m:sty m:val="p"/>
            </m:rPr>
            <m:t>+</m:t>
          </m:r>
          <m:sSubSup>
            <m:e>
              <m:r>
                <m:t>P</m:t>
              </m:r>
            </m:e>
            <m:sub>
              <m:r>
                <m:t>t</m:t>
              </m:r>
            </m:sub>
            <m:sup>
              <m:r>
                <m:t>r</m:t>
              </m:r>
              <m:r>
                <m:t>e</m:t>
              </m:r>
              <m:r>
                <m:t>s</m:t>
              </m:r>
            </m:sup>
          </m:sSubSup>
          <m:r>
            <m:rPr>
              <m:sty m:val="p"/>
            </m:rPr>
            <m:t>+</m:t>
          </m:r>
          <m:sSubSup>
            <m:e>
              <m:r>
                <m:t>R</m:t>
              </m:r>
            </m:e>
            <m:sub>
              <m:r>
                <m:t>t</m:t>
              </m:r>
            </m:sub>
            <m:sup>
              <m:r>
                <m:t>u</m:t>
              </m:r>
            </m:sup>
          </m:sSubSup>
          <m:r>
            <m:rPr>
              <m:sty m:val="p"/>
            </m:rPr>
            <m:t>≥</m:t>
          </m:r>
          <m:r>
            <m:t>R</m:t>
          </m:r>
          <m:r>
            <m:rPr>
              <m:sty m:val="p"/>
            </m:rPr>
            <m:t>,</m:t>
          </m:r>
          <m:r>
            <m:t>  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g</m:t>
              </m:r>
            </m:sub>
            <m:sup>
              <m:r>
                <m:t>​</m:t>
              </m:r>
            </m:sup>
            <m:e>
              <m:sSub>
                <m:e>
                  <m:r>
                    <m:t>u</m:t>
                  </m:r>
                </m:e>
                <m:sub>
                  <m:r>
                    <m:t>g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≥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E</m:t>
              </m:r>
            </m:e>
            <m:sub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η</m:t>
                  </m:r>
                </m:e>
                <m:sub>
                  <m:r>
                    <m:t>c</m:t>
                  </m:r>
                </m:sub>
              </m:sSub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c</m:t>
                  </m:r>
                  <m:r>
                    <m:t>h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d</m:t>
                  </m:r>
                  <m:r>
                    <m:t>i</m:t>
                  </m:r>
                  <m:r>
                    <m:t>s</m:t>
                  </m:r>
                </m:sup>
              </m:sSubSup>
              <m:r>
                <m:rPr>
                  <m:sty m:val="p"/>
                </m:rPr>
                <m:t>/</m:t>
              </m:r>
              <m:sSub>
                <m:e>
                  <m:r>
                    <m:t>η</m:t>
                  </m:r>
                </m:e>
                <m:sub>
                  <m:r>
                    <m:t>d</m:t>
                  </m:r>
                </m:sub>
              </m:sSub>
            </m:e>
          </m:d>
          <m:r>
            <m:t>Δ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together with the deficit balance of Section 2.5, the ramp limits on</w:t>
      </w:r>
      <w:r>
        <w:t xml:space="preserve"> </w:t>
      </w:r>
      <m:oMath>
        <m:sSub>
          <m:e>
            <m:r>
              <m:t>f</m:t>
            </m:r>
          </m:e>
          <m:sub>
            <m:r>
              <m:t>p</m:t>
            </m:r>
            <m:r>
              <m:rPr>
                <m:sty m:val="p"/>
              </m:rPr>
              <m:t>,</m:t>
            </m:r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w</m:t>
            </m:r>
            <m:r>
              <m:t>i</m:t>
            </m:r>
            <m:r>
              <m:rPr>
                <m:sty m:val="p"/>
              </m:rPr>
              <m:t>,</m:t>
            </m:r>
            <m:r>
              <m:t>t</m:t>
            </m:r>
          </m:sub>
        </m:sSub>
      </m:oMath>
      <w:r>
        <w:t xml:space="preserve">, and the piecewise-linear demand</w:t>
      </w:r>
      <w:r>
        <w:t xml:space="preserve"> </w:t>
      </w:r>
      <m:oMath>
        <m:sSubSup>
          <m:e>
            <m:r>
              <m:t>P</m:t>
            </m:r>
          </m:e>
          <m:sub>
            <m:r>
              <m:t>t</m:t>
            </m:r>
          </m:sub>
          <m:sup>
            <m:r>
              <m:t>d</m:t>
            </m:r>
            <m:r>
              <m:t>e</m:t>
            </m:r>
            <m:r>
              <m:t>m</m:t>
            </m:r>
          </m:sup>
        </m:sSubSup>
      </m:oMath>
      <w:r>
        <w:t xml:space="preserve"> </w:t>
      </w:r>
      <w:r>
        <w:t xml:space="preserve">of the</w:t>
      </w:r>
      <w:r>
        <w:t xml:space="preserve"> </w:t>
      </w:r>
      <w:r>
        <w:t xml:space="preserve">lever groups. The first equation is the power balance and the second splits</w:t>
      </w:r>
      <w:r>
        <w:t xml:space="preserve"> </w:t>
      </w:r>
      <w:r>
        <w:t xml:space="preserve">the available wind into used and curtailed power. The heat balance requires</w:t>
      </w:r>
      <w:r>
        <w:t xml:space="preserve"> </w:t>
      </w:r>
      <w:r>
        <w:t xml:space="preserve">recovered exhaust heat plus electric heating, with heater efficiency</w:t>
      </w:r>
      <w:r>
        <w:t xml:space="preserve"> </w:t>
      </w:r>
      <m:oMath>
        <m:sSub>
          <m:e>
            <m:r>
              <m:t>η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, to cover the heat demand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MW. The reserve</w:t>
      </w:r>
      <w:r>
        <w:t xml:space="preserve"> </w:t>
      </w:r>
      <w:r>
        <w:t xml:space="preserve">requirement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MW follows LEOGO [9]. A battery contributes</w:t>
      </w:r>
      <w:r>
        <w:t xml:space="preserve"> </w:t>
      </w:r>
      <w:r>
        <w:t xml:space="preserve">reserve</w:t>
      </w:r>
      <w:r>
        <w:t xml:space="preserve"> </w:t>
      </w:r>
      <m:oMath>
        <m:sSubSup>
          <m:e>
            <m:r>
              <m:t>P</m:t>
            </m:r>
          </m:e>
          <m:sub>
            <m:r>
              <m:t>t</m:t>
            </m:r>
          </m:sub>
          <m:sup>
            <m:r>
              <m:t>r</m:t>
            </m:r>
            <m:r>
              <m:t>e</m:t>
            </m:r>
            <m:r>
              <m:t>s</m:t>
            </m:r>
          </m:sup>
        </m:sSubSup>
      </m:oMath>
      <w:r>
        <w:t xml:space="preserve"> </w:t>
      </w:r>
      <w:r>
        <w:t xml:space="preserve">only up to its unused discharge power and only if its</w:t>
      </w:r>
      <w:r>
        <w:t xml:space="preserve"> </w:t>
      </w:r>
      <w:r>
        <w:t xml:space="preserve">stored energy can sustain that power for 30 min. The round-trip efficiency</w:t>
      </w:r>
      <w:r>
        <w:t xml:space="preserve"> </w:t>
      </w:r>
      <w:r>
        <w:t xml:space="preserve">of the battery is 0.9. At least one GT must be online because the wind</w:t>
      </w:r>
      <w:r>
        <w:t xml:space="preserve"> </w:t>
      </w:r>
      <w:r>
        <w:t xml:space="preserve">turbines are grid-following and a synchronous machine is needed for</w:t>
      </w:r>
      <w:r>
        <w:t xml:space="preserve"> </w:t>
      </w:r>
      <w:r>
        <w:t xml:space="preserve">frequency and voltage control; this assumption is varied in the</w:t>
      </w:r>
      <w:r>
        <w:t xml:space="preserve"> </w:t>
      </w:r>
      <w:r>
        <w:t xml:space="preserve">sensitivity analysis.</w:t>
      </w:r>
    </w:p>
    <w:p>
      <w:pPr>
        <w:pStyle w:val="BodyText"/>
      </w:pPr>
      <w:r>
        <w:t xml:space="preserve">The year is solved as 52 rolling one-week windows, each with an uncommitted</w:t>
      </w:r>
      <w:r>
        <w:t xml:space="preserve"> </w:t>
      </w:r>
      <w:r>
        <w:t xml:space="preserve">24 h look-ahead, so that each window ends with a realistic state for the</w:t>
      </w:r>
      <w:r>
        <w:t xml:space="preserve"> </w:t>
      </w:r>
      <w:r>
        <w:t xml:space="preserve">next. At the end of each look-ahead horizon the injection deficit may not</w:t>
      </w:r>
      <w:r>
        <w:t xml:space="preserve"> </w:t>
      </w:r>
      <w:r>
        <w:t xml:space="preserve">exceed, and the battery energy may not fall below, their values at the</w:t>
      </w:r>
      <w:r>
        <w:t xml:space="preserve"> </w:t>
      </w:r>
      <w:r>
        <w:t xml:space="preserve">start of the window, which prevents the optimiser from emptying the virtual</w:t>
      </w:r>
      <w:r>
        <w:t xml:space="preserve"> </w:t>
      </w:r>
      <w:r>
        <w:t xml:space="preserve">or real storage at the end of a window. Each window of 192 h has about 6,900</w:t>
      </w:r>
      <w:r>
        <w:t xml:space="preserve"> </w:t>
      </w:r>
      <w:r>
        <w:t xml:space="preserve">variables, of which 1,344 are binary, and 6,900 constraints, and HiGHS</w:t>
      </w:r>
      <w:r>
        <w:t xml:space="preserve"> </w:t>
      </w:r>
      <w:r>
        <w:t xml:space="preserve">solves it to within 0.5 % of the proven optimum. A full case-year takes 2–3 min on a</w:t>
      </w:r>
      <w:r>
        <w:t xml:space="preserve"> </w:t>
      </w:r>
      <w:r>
        <w:t xml:space="preserve">laptop-class processor.</w:t>
      </w:r>
    </w:p>
    <w:p>
      <w:pPr>
        <w:pStyle w:val="BodyText"/>
      </w:pPr>
      <w:r>
        <w:t xml:space="preserve">Because fuel is linear in power, the split of load between identical</w:t>
      </w:r>
      <w:r>
        <w:t xml:space="preserve"> </w:t>
      </w:r>
      <w:r>
        <w:t xml:space="preserve">running GTs does not change total fuel, and the solver’s split between them</w:t>
      </w:r>
      <w:r>
        <w:t xml:space="preserve"> </w:t>
      </w:r>
      <w:r>
        <w:t xml:space="preserve">is arbitrary. GT load is therefore reported as shared in proportion to</w:t>
      </w:r>
      <w:r>
        <w:t xml:space="preserve"> </w:t>
      </w:r>
      <w:r>
        <w:t xml:space="preserve">rating, as with droop control in real operation, and an hour counts as a</w:t>
      </w:r>
      <w:r>
        <w:t xml:space="preserve"> </w:t>
      </w:r>
      <w:r>
        <w:t xml:space="preserve">low-load hour for a unit when this shared load is below 50 % of rating.</w:t>
      </w:r>
    </w:p>
    <w:bookmarkEnd w:id="31"/>
    <w:bookmarkStart w:id="32" w:name="sensitivity-analysis-and-validation"/>
    <w:p>
      <w:pPr>
        <w:pStyle w:val="Heading3"/>
      </w:pPr>
      <w:r>
        <w:t xml:space="preserve">2.7 Sensitivity analysis and validation</w:t>
      </w:r>
    </w:p>
    <w:p>
      <w:pPr>
        <w:pStyle w:val="FirstParagraph"/>
      </w:pPr>
      <w:r>
        <w:t xml:space="preserve">Cases 2–4 were rerun with one input changed at a time:</w:t>
      </w:r>
    </w:p>
    <w:p>
      <w:pPr>
        <w:numPr>
          <w:ilvl w:val="0"/>
          <w:numId w:val="1005"/>
        </w:numPr>
        <w:pStyle w:val="Compact"/>
      </w:pPr>
      <w:r>
        <w:t xml:space="preserve">wind farm size (1–4 turbines, 15–60 MW);</w:t>
      </w:r>
    </w:p>
    <w:p>
      <w:pPr>
        <w:numPr>
          <w:ilvl w:val="0"/>
          <w:numId w:val="1005"/>
        </w:numPr>
        <w:pStyle w:val="Compact"/>
      </w:pPr>
      <w:r>
        <w:t xml:space="preserve">CO2 price (0.5–3.0 NOK/kg) and gas price (2–8 NOK/Sm³);</w:t>
      </w:r>
    </w:p>
    <w:p>
      <w:pPr>
        <w:numPr>
          <w:ilvl w:val="0"/>
          <w:numId w:val="1005"/>
        </w:numPr>
        <w:pStyle w:val="Compact"/>
      </w:pPr>
      <w:r>
        <w:t xml:space="preserve">battery size (up to 8 MW / 16 MWh);</w:t>
      </w:r>
    </w:p>
    <w:p>
      <w:pPr>
        <w:numPr>
          <w:ilvl w:val="0"/>
          <w:numId w:val="1005"/>
        </w:numPr>
        <w:pStyle w:val="Compact"/>
      </w:pPr>
      <w:r>
        <w:t xml:space="preserve">injection deficit limit (0, 24, 72 and 168 h);</w:t>
      </w:r>
    </w:p>
    <w:p>
      <w:pPr>
        <w:numPr>
          <w:ilvl w:val="0"/>
          <w:numId w:val="1005"/>
        </w:numPr>
        <w:pStyle w:val="Compact"/>
      </w:pPr>
      <w:r>
        <w:t xml:space="preserve">minimum number of GTs online (1 or 0, with an 8 MW / 8 MWh battery that</w:t>
      </w:r>
      <w:r>
        <w:t xml:space="preserve"> </w:t>
      </w:r>
      <w:r>
        <w:t xml:space="preserve">must then provide the reserve);</w:t>
      </w:r>
    </w:p>
    <w:p>
      <w:pPr>
        <w:numPr>
          <w:ilvl w:val="0"/>
          <w:numId w:val="1005"/>
        </w:numPr>
        <w:pStyle w:val="Compact"/>
      </w:pPr>
      <w:r>
        <w:t xml:space="preserve">GT fleet: three main units; two main units and one small unit, a Solar</w:t>
      </w:r>
      <w:r>
        <w:t xml:space="preserve"> </w:t>
      </w:r>
      <w:r>
        <w:t xml:space="preserve">Turbines Mars 100 rated 11.35 MW with 32.9 % ISO efficiency</w:t>
      </w:r>
      <w:r>
        <w:t xml:space="preserve"> </w:t>
      </w:r>
      <w:r>
        <w:t xml:space="preserve">[16] and the same relative part-load curve as the main units;</w:t>
      </w:r>
      <w:r>
        <w:t xml:space="preserve"> </w:t>
      </w:r>
      <w:r>
        <w:t xml:space="preserve">or the three main units with one small unit added;</w:t>
      </w:r>
    </w:p>
    <w:p>
      <w:pPr>
        <w:numPr>
          <w:ilvl w:val="0"/>
          <w:numId w:val="1005"/>
        </w:numPr>
        <w:pStyle w:val="Compact"/>
      </w:pPr>
      <w:r>
        <w:t xml:space="preserve">an operating practice that keeps two GTs online whatever the wind, as</w:t>
      </w:r>
      <w:r>
        <w:t xml:space="preserve"> </w:t>
      </w:r>
      <w:r>
        <w:t xml:space="preserve">some operators require for redundancy.</w:t>
      </w:r>
    </w:p>
    <w:p>
      <w:pPr>
        <w:pStyle w:val="FirstParagraph"/>
      </w:pPr>
      <w:r>
        <w:t xml:space="preserve">The results were compared with independent values: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platform power:</w:t>
      </w:r>
      <w:r>
        <w:t xml:space="preserve"> </w:t>
      </w:r>
      <w:r>
        <w:t xml:space="preserve">three real North Sea oil platforms</w:t>
      </w:r>
      <w:r>
        <w:t xml:space="preserve"> </w:t>
      </w:r>
      <w:r>
        <w:t xml:space="preserve">[24,27], six modelled platforms [10], the</w:t>
      </w:r>
      <w:r>
        <w:t xml:space="preserve"> </w:t>
      </w:r>
      <w:r>
        <w:t xml:space="preserve">Johan Castberg development plan [28], and the average demand</w:t>
      </w:r>
      <w:r>
        <w:t xml:space="preserve"> </w:t>
      </w:r>
      <w:r>
        <w:t xml:space="preserve">implied by Hywind Tampen [8];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wind capacity factor:</w:t>
      </w:r>
      <w:r>
        <w:t xml:space="preserve"> </w:t>
      </w:r>
      <w:r>
        <w:t xml:space="preserve">Hywind Tampen [8,29];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CO2 avoided per MWh of wind:</w:t>
      </w:r>
      <w:r>
        <w:t xml:space="preserve"> </w:t>
      </w:r>
      <w:r>
        <w:t xml:space="preserve">Hywind Tampen [8];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water injection specific energy:</w:t>
      </w:r>
      <w:r>
        <w:t xml:space="preserve"> </w:t>
      </w:r>
      <w:r>
        <w:t xml:space="preserve">LEOGO [9];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CO2 intensity:</w:t>
      </w:r>
      <w:r>
        <w:t xml:space="preserve"> </w:t>
      </w:r>
      <w:r>
        <w:t xml:space="preserve">the Norwegian shelf [1] and</w:t>
      </w:r>
      <w:r>
        <w:t xml:space="preserve"> </w:t>
      </w:r>
      <w:r>
        <w:t xml:space="preserve">non-electrified hubs [30];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field data</w:t>
      </w:r>
      <w:r>
        <w:t xml:space="preserve"> </w:t>
      </w:r>
      <w:r>
        <w:t xml:space="preserve">for the Gullfaks, Snorre and Statfjord field centres,</w:t>
      </w:r>
      <w:r>
        <w:t xml:space="preserve"> </w:t>
      </w:r>
      <w:r>
        <w:t xml:space="preserve">2021–2024: CO2 to air, fuel gas and diesel use from Norskeutslipp</w:t>
      </w:r>
      <w:r>
        <w:t xml:space="preserve"> </w:t>
      </w:r>
      <w:r>
        <w:t xml:space="preserve">[31] and net production from the Norwegian Offshore</w:t>
      </w:r>
      <w:r>
        <w:t xml:space="preserve"> </w:t>
      </w:r>
      <w:r>
        <w:t xml:space="preserve">Directorate [32], summed over the fields processed at each</w:t>
      </w:r>
      <w:r>
        <w:t xml:space="preserve"> </w:t>
      </w:r>
      <w:r>
        <w:t xml:space="preserve">centre.</w:t>
      </w:r>
    </w:p>
    <w:p>
      <w:pPr>
        <w:pStyle w:val="FirstParagraph"/>
      </w:pPr>
      <w:r>
        <w:t xml:space="preserve">The model components were verified by automated tests before the case</w:t>
      </w:r>
      <w:r>
        <w:t xml:space="preserve"> </w:t>
      </w:r>
      <w:r>
        <w:t xml:space="preserve">runs. The water injection pump power from NeqSim matches a hand calculation</w:t>
      </w:r>
      <w:r>
        <w:t xml:space="preserve"> </w:t>
      </w:r>
      <w:r>
        <w:t xml:space="preserve">of hydraulic power, the fuel model reproduces the LEOGO fuel coefficients,</w:t>
      </w:r>
      <w:r>
        <w:t xml:space="preserve"> </w:t>
      </w:r>
      <w:r>
        <w:t xml:space="preserve">and the piecewise-linear lever curves used by the scheduler match the</w:t>
      </w:r>
      <w:r>
        <w:t xml:space="preserve"> </w:t>
      </w:r>
      <w:r>
        <w:t xml:space="preserve">process model at every breakpoint. For the scheduler, the tests check on</w:t>
      </w:r>
      <w:r>
        <w:t xml:space="preserve"> </w:t>
      </w:r>
      <w:r>
        <w:t xml:space="preserve">short synthetic wind series that the power and heat balances close in every</w:t>
      </w:r>
      <w:r>
        <w:t xml:space="preserve"> </w:t>
      </w:r>
      <w:r>
        <w:t xml:space="preserve">hour, that the consumer limits and ramp rates are respected, that the fuel</w:t>
      </w:r>
      <w:r>
        <w:t xml:space="preserve"> </w:t>
      </w:r>
      <w:r>
        <w:t xml:space="preserve">reported equals the GT model applied to the scheduled loads, that a zero</w:t>
      </w:r>
      <w:r>
        <w:t xml:space="preserve"> </w:t>
      </w:r>
      <w:r>
        <w:t xml:space="preserve">deficit limit reproduces fixed injection, and that neither flexibility nor</w:t>
      </w:r>
      <w:r>
        <w:t xml:space="preserve"> </w:t>
      </w:r>
      <w:r>
        <w:t xml:space="preserve">a battery ever increases fuel use compared with fixed demand.</w:t>
      </w:r>
    </w:p>
    <w:p>
      <w:pPr>
        <w:pStyle w:val="BodyText"/>
      </w:pPr>
      <w:r>
        <w:t xml:space="preserve">The CO2 avoided per MWh of wind is computed as the difference in annual CO2</w:t>
      </w:r>
      <w:r>
        <w:t xml:space="preserve"> </w:t>
      </w:r>
      <w:r>
        <w:t xml:space="preserve">between case 1 and a wind case, divided by the wind energy used in that</w:t>
      </w:r>
      <w:r>
        <w:t xml:space="preserve"> </w:t>
      </w:r>
      <w:r>
        <w:t xml:space="preserve">case. For the field data, the system boundary was checked by comparing the</w:t>
      </w:r>
      <w:r>
        <w:t xml:space="preserve"> </w:t>
      </w:r>
      <w:r>
        <w:t xml:space="preserve">reported oil volumes of the fields assigned to each centre with the</w:t>
      </w:r>
      <w:r>
        <w:t xml:space="preserve"> </w:t>
      </w:r>
      <w:r>
        <w:t xml:space="preserve">centre’s processing; they agree within 2 %. A single published value counts</w:t>
      </w:r>
      <w:r>
        <w:t xml:space="preserve"> </w:t>
      </w:r>
      <w:r>
        <w:t xml:space="preserve">as agreeing when the model is within ±20 %, and a published range when the</w:t>
      </w:r>
      <w:r>
        <w:t xml:space="preserve"> </w:t>
      </w:r>
      <w:r>
        <w:t xml:space="preserve">model lies inside it.</w:t>
      </w:r>
    </w:p>
    <w:bookmarkEnd w:id="32"/>
    <w:bookmarkStart w:id="33" w:name="economic-indicators"/>
    <w:p>
      <w:pPr>
        <w:pStyle w:val="Heading3"/>
      </w:pPr>
      <w:r>
        <w:t xml:space="preserve">2.8 Economic indicators</w:t>
      </w:r>
    </w:p>
    <w:p>
      <w:pPr>
        <w:pStyle w:val="FirstParagraph"/>
      </w:pPr>
      <w:r>
        <w:t xml:space="preserve">Two indicators are derived from the annual results, in real NOK. For the</w:t>
      </w:r>
      <w:r>
        <w:t xml:space="preserve"> </w:t>
      </w:r>
      <w:r>
        <w:t xml:space="preserve">wind farm, whose investment can be estimated, the abatement cost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a</m:t>
              </m:r>
              <m:r>
                <m:t>b</m:t>
              </m:r>
              <m:r>
                <m:t>a</m:t>
              </m:r>
              <m:r>
                <m:t>t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I</m:t>
              </m:r>
              <m:r>
                <m:t> 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O</m:t>
                  </m:r>
                  <m:r>
                    <m:rPr>
                      <m:sty m:val="p"/>
                    </m:rPr>
                    <m:t>&amp;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Δ</m:t>
              </m:r>
              <m:sSub>
                <m:e>
                  <m:r>
                    <m:t>C</m:t>
                  </m:r>
                </m:e>
                <m:sub>
                  <m:r>
                    <m:t>f</m:t>
                  </m:r>
                  <m:r>
                    <m:t>u</m:t>
                  </m:r>
                  <m:r>
                    <m:t>e</m:t>
                  </m:r>
                  <m:r>
                    <m:t>l</m:t>
                  </m:r>
                </m:sub>
              </m:sSub>
            </m:num>
            <m:den>
              <m:r>
                <m:t>Δ</m:t>
              </m:r>
              <m:sSub>
                <m:e>
                  <m:r>
                    <m:t>m</m:t>
                  </m:r>
                </m:e>
                <m:sub>
                  <m:r>
                    <m:t>C</m:t>
                  </m:r>
                  <m:r>
                    <m:t>O</m:t>
                  </m:r>
                  <m:r>
                    <m:t>2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C</m:t>
          </m:r>
          <m:r>
            <m:rPr>
              <m:sty m:val="p"/>
            </m:rPr>
            <m:t>R</m:t>
          </m:r>
          <m:r>
            <m:rPr>
              <m:sty m:val="p"/>
            </m:rP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r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r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r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investment,</w:t>
      </w:r>
      <w:r>
        <w:t xml:space="preserve"> </w:t>
      </w:r>
      <m:oMath>
        <m:sSub>
          <m:e>
            <m:r>
              <m:t>C</m:t>
            </m:r>
          </m:e>
          <m:sub>
            <m:r>
              <m:t>O</m:t>
            </m:r>
            <m:r>
              <m:rPr>
                <m:sty m:val="p"/>
              </m:rPr>
              <m:t>&amp;</m:t>
            </m:r>
            <m:r>
              <m:t>M</m:t>
            </m:r>
          </m:sub>
        </m:sSub>
      </m:oMath>
      <w:r>
        <w:t xml:space="preserve"> </w:t>
      </w:r>
      <w:r>
        <w:t xml:space="preserve">the annual operation and maintenance</w:t>
      </w:r>
      <w:r>
        <w:t xml:space="preserve"> </w:t>
      </w:r>
      <w:r>
        <w:t xml:space="preserve">cost,</w:t>
      </w:r>
      <w:r>
        <w:t xml:space="preserve"> </w:t>
      </w:r>
      <m:oMath>
        <m:r>
          <m:t>Δ</m:t>
        </m:r>
        <m:sSub>
          <m:e>
            <m:r>
              <m:t>C</m:t>
            </m:r>
          </m:e>
          <m:sub>
            <m:r>
              <m:t>f</m:t>
            </m:r>
            <m:r>
              <m:t>u</m:t>
            </m:r>
            <m:r>
              <m:t>e</m:t>
            </m:r>
            <m:r>
              <m:t>l</m:t>
            </m:r>
          </m:sub>
        </m:sSub>
      </m:oMath>
      <w:r>
        <w:t xml:space="preserve"> </w:t>
      </w:r>
      <w:r>
        <w:t xml:space="preserve">the annual value of the fuel saved and</w:t>
      </w:r>
      <w:r>
        <w:t xml:space="preserve"> </w:t>
      </w:r>
      <m:oMath>
        <m:r>
          <m:t>Δ</m:t>
        </m:r>
        <m:sSub>
          <m:e>
            <m:r>
              <m:t>m</m:t>
            </m:r>
          </m:e>
          <m:sub>
            <m:r>
              <m:t>C</m:t>
            </m:r>
            <m:r>
              <m:t>O</m:t>
            </m:r>
            <m:r>
              <m:t>2</m:t>
            </m:r>
          </m:sub>
        </m:sSub>
      </m:oMath>
      <w:r>
        <w:t xml:space="preserve"> </w:t>
      </w:r>
      <w:r>
        <w:t xml:space="preserve">the CO2 avoided per year. The CO2 price is not counted as a</w:t>
      </w:r>
      <w:r>
        <w:t xml:space="preserve"> </w:t>
      </w:r>
      <w:r>
        <w:t xml:space="preserve">saving, because the abatement cost is what is compared with the CO2 price.</w:t>
      </w:r>
      <w:r>
        <w:t xml:space="preserve"> </w:t>
      </w:r>
      <w:r>
        <w:t xml:space="preserve">The investment is scaled from Hywind Tampen, about NOK 7.4 billion for 88 MW</w:t>
      </w:r>
      <w:r>
        <w:t xml:space="preserve"> </w:t>
      </w:r>
      <w:r>
        <w:t xml:space="preserve">before public support [8], which gives 84 MNOK/MW for a</w:t>
      </w:r>
      <w:r>
        <w:t xml:space="preserve"> </w:t>
      </w:r>
      <w:r>
        <w:t xml:space="preserve">first-of-a-kind floating farm. Operation and maintenance cost 35–97 EUR/kW</w:t>
      </w:r>
      <w:r>
        <w:t xml:space="preserve"> </w:t>
      </w:r>
      <w:r>
        <w:t xml:space="preserve">per year, the range between the cheapest and the most expensive repair</w:t>
      </w:r>
      <w:r>
        <w:t xml:space="preserve"> </w:t>
      </w:r>
      <w:r>
        <w:t xml:space="preserve">strategy modelled for floating wind farms [33]. The real discount</w:t>
      </w:r>
      <w:r>
        <w:t xml:space="preserve"> </w:t>
      </w:r>
      <w:r>
        <w:t xml:space="preserve">rate is 7 %, with 4 % as an alternative, the two rates used in Norwegian</w:t>
      </w:r>
      <w:r>
        <w:t xml:space="preserve"> </w:t>
      </w:r>
      <w:r>
        <w:t xml:space="preserve">abatement-cost analyses of power from shore [34], and the economic</w:t>
      </w:r>
      <w:r>
        <w:t xml:space="preserve"> </w:t>
      </w:r>
      <w:r>
        <w:t xml:space="preserve">life is 20 years. For flexibility, the battery and a small GT, whose</w:t>
      </w:r>
      <w:r>
        <w:t xml:space="preserve"> </w:t>
      </w:r>
      <w:r>
        <w:t xml:space="preserve">investment on an existing platform could not be estimated from published</w:t>
      </w:r>
      <w:r>
        <w:t xml:space="preserve"> </w:t>
      </w:r>
      <w:r>
        <w:t xml:space="preserve">data, the break-even investment is given instead: the present value over 20</w:t>
      </w:r>
      <w:r>
        <w:t xml:space="preserve"> </w:t>
      </w:r>
      <w:r>
        <w:t xml:space="preserve">years of the annual saving, for the fuel saved alone and for fuel plus CO2</w:t>
      </w:r>
      <w:r>
        <w:t xml:space="preserve"> </w:t>
      </w:r>
      <w:r>
        <w:t xml:space="preserve">cost.</w:t>
      </w:r>
    </w:p>
    <w:bookmarkEnd w:id="33"/>
    <w:bookmarkEnd w:id="34"/>
    <w:bookmarkStart w:id="62" w:name="results"/>
    <w:p>
      <w:pPr>
        <w:pStyle w:val="Heading2"/>
      </w:pPr>
      <w:r>
        <w:t xml:space="preserve">3 Results</w:t>
      </w:r>
    </w:p>
    <w:bookmarkStart w:id="38" w:name="demand-map-and-wind-resource"/>
    <w:p>
      <w:pPr>
        <w:pStyle w:val="Heading3"/>
      </w:pPr>
      <w:r>
        <w:t xml:space="preserve">3.1 Demand map and wind resource</w:t>
      </w:r>
    </w:p>
    <w:p>
      <w:pPr>
        <w:pStyle w:val="FirstParagraph"/>
      </w:pPr>
      <w:r>
        <w:t xml:space="preserve">Water injection is the largest consumer (9.2 MW, 45 % of the design</w:t>
      </w:r>
      <w:r>
        <w:t xml:space="preserve"> </w:t>
      </w:r>
      <w:r>
        <w:t xml:space="preserve">demand) and the only large deferrable one (Table 1, Fig. 2). Stopping</w:t>
      </w:r>
      <w:r>
        <w:t xml:space="preserve"> </w:t>
      </w:r>
      <w:r>
        <w:t xml:space="preserve">injection at full production lowers the demand from 20.3 MW to 10.7 MW, a</w:t>
      </w:r>
      <w:r>
        <w:t xml:space="preserve"> </w:t>
      </w:r>
      <w:r>
        <w:t xml:space="preserve">swing of 9.6 MW that costs no production as long as the injection is caught</w:t>
      </w:r>
      <w:r>
        <w:t xml:space="preserve"> </w:t>
      </w:r>
      <w:r>
        <w:t xml:space="preserve">up. The sheddable consumers tied to production account for 7.2 MW and the</w:t>
      </w:r>
      <w:r>
        <w:t xml:space="preserve"> </w:t>
      </w:r>
      <w:r>
        <w:t xml:space="preserve">must-run base load for 3.5 MW. Both lever curves are far from proportional.</w:t>
      </w:r>
      <w:r>
        <w:t xml:space="preserve"> </w:t>
      </w:r>
      <w:r>
        <w:t xml:space="preserve">The injection lever jumps to 0.9 MW as soon as one pump runs, because the</w:t>
      </w:r>
      <w:r>
        <w:t xml:space="preserve"> </w:t>
      </w:r>
      <w:r>
        <w:t xml:space="preserve">pump recycles below 30 % of its flow, and rises linearly from there. The</w:t>
      </w:r>
      <w:r>
        <w:t xml:space="preserve"> </w:t>
      </w:r>
      <w:r>
        <w:t xml:space="preserve">production lever has a step just above 50 % rate, where the second export</w:t>
      </w:r>
      <w:r>
        <w:t xml:space="preserve"> </w:t>
      </w:r>
      <w:r>
        <w:t xml:space="preserve">compressor train must start at its surge limit and adds 0.75 MW. Reducing</w:t>
      </w:r>
      <w:r>
        <w:t xml:space="preserve"> </w:t>
      </w:r>
      <w:r>
        <w:t xml:space="preserve">production from 100 % to 50 % therefore saves only 3.2 MW, a third of what</w:t>
      </w:r>
      <w:r>
        <w:t xml:space="preserve"> </w:t>
      </w:r>
      <w:r>
        <w:t xml:space="preserve">the injection lever offers.</w:t>
      </w:r>
    </w:p>
    <w:p>
      <w:pPr>
        <w:pStyle w:val="CaptionedFigure"/>
      </w:pPr>
      <w:r>
        <w:drawing>
          <wp:inline>
            <wp:extent cx="5334000" cy="2191613"/>
            <wp:effectExtent b="0" l="0" r="0" t="0"/>
            <wp:docPr descr="Fig. 2. Demand map. Left: electric power at design by consumer, coloured by flexibility class. Right: power of the production (sheddable) and injection (flexible) levers against lever position." title="" id="36" name="Picture"/>
            <a:graphic>
              <a:graphicData uri="http://schemas.openxmlformats.org/drawingml/2006/picture">
                <pic:pic>
                  <pic:nvPicPr>
                    <pic:cNvPr descr="results/paper/fig02_demand_map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916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Fig. 2.</w:t>
      </w:r>
      <w:r>
        <w:t xml:space="preserve"> </w:t>
      </w:r>
      <w:r>
        <w:t xml:space="preserve">Demand map. Left: electric power at design by consumer, coloured by flexibility class. Right: power of the production (sheddable) and injection (flexible) levers against lever position.</w:t>
      </w:r>
    </w:p>
    <w:p>
      <w:pPr>
        <w:pStyle w:val="BodyText"/>
      </w:pPr>
      <w:r>
        <w:t xml:space="preserve">ERA5 gives a mean wind speed of 9.4 m/s at 100 m and 9.8 m/s at hub height,</w:t>
      </w:r>
      <w:r>
        <w:t xml:space="preserve"> </w:t>
      </w:r>
      <w:r>
        <w:t xml:space="preserve">and a capacity factor of 50.9 % for the 30 MW farm in 2023 (Fig. S1). Output</w:t>
      </w:r>
      <w:r>
        <w:t xml:space="preserve"> </w:t>
      </w:r>
      <w:r>
        <w:t xml:space="preserve">is seasonal, with monthly capacity factors of 63–68 % in January and</w:t>
      </w:r>
      <w:r>
        <w:t xml:space="preserve"> </w:t>
      </w:r>
      <w:r>
        <w:t xml:space="preserve">February and 36–37 % from June to August. The farm delivers its maximum of</w:t>
      </w:r>
      <w:r>
        <w:t xml:space="preserve"> </w:t>
      </w:r>
      <w:r>
        <w:t xml:space="preserve">26.5 MW in 40 % of the hours and nothing in 9.6 % of the hours, mainly calm</w:t>
      </w:r>
      <w:r>
        <w:t xml:space="preserve"> </w:t>
      </w:r>
      <w:r>
        <w:t xml:space="preserve">periods, and available wind power exceeds the design demand of 20.3 MW in</w:t>
      </w:r>
      <w:r>
        <w:t xml:space="preserve"> </w:t>
      </w:r>
      <w:r>
        <w:t xml:space="preserve">4,017 h. The farm can therefore cover the whole platform for long periods,</w:t>
      </w:r>
      <w:r>
        <w:t xml:space="preserve"> </w:t>
      </w:r>
      <w:r>
        <w:t xml:space="preserve">but it also leaves frequent and sometimes long gaps that the GTs must fill.</w:t>
      </w:r>
    </w:p>
    <w:bookmarkEnd w:id="38"/>
    <w:bookmarkStart w:id="42" w:name="comparison-of-the-four-cases"/>
    <w:p>
      <w:pPr>
        <w:pStyle w:val="Heading3"/>
      </w:pPr>
      <w:r>
        <w:t xml:space="preserve">3.2 Comparison of the four cases</w:t>
      </w:r>
    </w:p>
    <w:p>
      <w:pPr>
        <w:pStyle w:val="FirstParagraph"/>
      </w:pPr>
      <w:r>
        <w:rPr>
          <w:bCs/>
          <w:b/>
        </w:rPr>
        <w:t xml:space="preserve">Table 2.</w:t>
      </w:r>
      <w:r>
        <w:t xml:space="preserve"> </w:t>
      </w:r>
      <w:r>
        <w:t xml:space="preserve">Annual results for the four cases (2023).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1 GTs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Wind, fixed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Wind, flexible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Flexible + battery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CO2 [kt/yr]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127.7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Reduction vs case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55.0 %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55.2 %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Fuel gas [MSm³/yr]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GT running [unit-h/yr]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17,520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10,462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8,788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8,760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GT below 50 % load [unit-h/yr]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17,520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6,242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GT starts [–/yr]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 used [GWh/yr]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 curtailed [GWh/yr]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Lost production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Fuel value + CO2 cost [MNOK/yr]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217.9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216.7</w:t>
            </w:r>
          </w:p>
        </w:tc>
      </w:tr>
    </w:tbl>
    <w:p>
      <w:pPr>
        <w:pStyle w:val="BodyText"/>
      </w:pPr>
      <w:r>
        <w:t xml:space="preserve">With GTs only (case 1), two turbines run in every hour to carry the 18.8 MW</w:t>
      </w:r>
      <w:r>
        <w:t xml:space="preserve"> </w:t>
      </w:r>
      <w:r>
        <w:t xml:space="preserve">average load and the 5 MW reserve, each at about 43 % load. The platform</w:t>
      </w:r>
      <w:r>
        <w:t xml:space="preserve"> </w:t>
      </w:r>
      <w:r>
        <w:t xml:space="preserve">burns 54.6 MSm³ of fuel gas and emits 127.7 kt CO2 per year (Table 2,</w:t>
      </w:r>
      <w:r>
        <w:t xml:space="preserve"> </w:t>
      </w:r>
      <w:r>
        <w:t xml:space="preserve">Fig. 3), and all 17,520 GT unit-hours are low-load hours. This illustrates</w:t>
      </w:r>
      <w:r>
        <w:t xml:space="preserve"> </w:t>
      </w:r>
      <w:r>
        <w:t xml:space="preserve">the reserve problem of off-grid platforms: even without wind, the platform</w:t>
      </w:r>
      <w:r>
        <w:t xml:space="preserve"> </w:t>
      </w:r>
      <w:r>
        <w:t xml:space="preserve">operates its turbines far from their best efficiency.</w:t>
      </w:r>
    </w:p>
    <w:p>
      <w:pPr>
        <w:pStyle w:val="BodyText"/>
      </w:pPr>
      <w:r>
        <w:t xml:space="preserve">A 30 MW wind farm with fixed demand (case 2) halves the emissions to</w:t>
      </w:r>
      <w:r>
        <w:t xml:space="preserve"> </w:t>
      </w:r>
      <w:r>
        <w:t xml:space="preserve">64.7 kt (−49.4 %). Wind covers 54 % of the electricity demand, and one GT</w:t>
      </w:r>
      <w:r>
        <w:t xml:space="preserve"> </w:t>
      </w:r>
      <w:r>
        <w:t xml:space="preserve">suffices in 7,058 h. Because demand cannot follow the wind, 44.5 GWh, or</w:t>
      </w:r>
      <w:r>
        <w:t xml:space="preserve"> </w:t>
      </w:r>
      <w:r>
        <w:t xml:space="preserve">33 % of the available wind energy, is curtailed, and the mean load of the</w:t>
      </w:r>
      <w:r>
        <w:t xml:space="preserve"> </w:t>
      </w:r>
      <w:r>
        <w:t xml:space="preserve">running GTs falls to 32 % of rating. A second GT is still needed in 1,702 h,</w:t>
      </w:r>
      <w:r>
        <w:t xml:space="preserve"> </w:t>
      </w:r>
      <w:r>
        <w:t xml:space="preserve">and it is started 149 times.</w:t>
      </w:r>
    </w:p>
    <w:p>
      <w:pPr>
        <w:pStyle w:val="BodyText"/>
      </w:pPr>
      <w:r>
        <w:t xml:space="preserve">Flexible scheduling (case 3) reduces CO2 by a further 7.2 kt/yr, 11.1 %</w:t>
      </w:r>
      <w:r>
        <w:t xml:space="preserve"> </w:t>
      </w:r>
      <w:r>
        <w:t xml:space="preserve">relative to case 2, to 57.5 kt, without any loss of production. Fuel use</w:t>
      </w:r>
      <w:r>
        <w:t xml:space="preserve"> </w:t>
      </w:r>
      <w:r>
        <w:t xml:space="preserve">falls by the same 11 %. GT running hours fall from 10,462 to 8,788 unit-h,</w:t>
      </w:r>
      <w:r>
        <w:t xml:space="preserve"> </w:t>
      </w:r>
      <w:r>
        <w:t xml:space="preserve">the low-load unit-hours by 34 % and the GT starts from 149 to 3. Wind covers</w:t>
      </w:r>
      <w:r>
        <w:t xml:space="preserve"> </w:t>
      </w:r>
      <w:r>
        <w:t xml:space="preserve">57.6 % of the demand, curtailment falls by 13 % to 38.7 GWh, and the mean</w:t>
      </w:r>
      <w:r>
        <w:t xml:space="preserve"> </w:t>
      </w:r>
      <w:r>
        <w:t xml:space="preserve">load of the running GTs rises to 36 %. The combined fuel value and CO2 cost</w:t>
      </w:r>
      <w:r>
        <w:t xml:space="preserve"> </w:t>
      </w:r>
      <w:r>
        <w:t xml:space="preserve">falls by 27 MNOK/yr, of which 12.9 MNOK is the value of the fuel saved.</w:t>
      </w:r>
    </w:p>
    <w:p>
      <w:pPr>
        <w:pStyle w:val="BodyText"/>
      </w:pPr>
      <w:r>
        <w:t xml:space="preserve">A 4 MW / 4 MWh battery (case 4) adds only 0.3 kt (−0.6 % relative to</w:t>
      </w:r>
      <w:r>
        <w:t xml:space="preserve"> </w:t>
      </w:r>
      <w:r>
        <w:t xml:space="preserve">case 3). It removes the remaining starts and the last hours with a second</w:t>
      </w:r>
      <w:r>
        <w:t xml:space="preserve"> </w:t>
      </w:r>
      <w:r>
        <w:t xml:space="preserve">GT, but its annual throughput is only 0.8 GWh. With one GT always online it</w:t>
      </w:r>
      <w:r>
        <w:t xml:space="preserve"> </w:t>
      </w:r>
      <w:r>
        <w:t xml:space="preserve">cannot remove the main remaining loss, one turbine idling near minimum load</w:t>
      </w:r>
      <w:r>
        <w:t xml:space="preserve"> </w:t>
      </w:r>
      <w:r>
        <w:t xml:space="preserve">whenever the wind covers the demand, and the low-load unit-hours even rise</w:t>
      </w:r>
      <w:r>
        <w:t xml:space="preserve"> </w:t>
      </w:r>
      <w:r>
        <w:t xml:space="preserve">slightly (5,932 to 6,242).</w:t>
      </w:r>
    </w:p>
    <w:p>
      <w:pPr>
        <w:pStyle w:val="CaptionedFigure"/>
      </w:pPr>
      <w:r>
        <w:drawing>
          <wp:inline>
            <wp:extent cx="5334000" cy="4135962"/>
            <wp:effectExtent b="0" l="0" r="0" t="0"/>
            <wp:docPr descr="Fig. 3. Annual CO2, fuel gas, GT hours below 50 % load and lost production for cases 1–4." title="" id="40" name="Picture"/>
            <a:graphic>
              <a:graphicData uri="http://schemas.openxmlformats.org/drawingml/2006/picture">
                <pic:pic>
                  <pic:nvPicPr>
                    <pic:cNvPr descr="results/paper/fig04_cas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359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Fig. 3.</w:t>
      </w:r>
      <w:r>
        <w:t xml:space="preserve"> </w:t>
      </w:r>
      <w:r>
        <w:t xml:space="preserve">Annual CO2, fuel gas, GT hours below 50 % load and lost production for cases 1–4.</w:t>
      </w:r>
    </w:p>
    <w:bookmarkEnd w:id="42"/>
    <w:bookmarkStart w:id="52" w:name="how-flexible-scheduling-saves-fuel"/>
    <w:p>
      <w:pPr>
        <w:pStyle w:val="Heading3"/>
      </w:pPr>
      <w:r>
        <w:t xml:space="preserve">3.3 How flexible scheduling saves fuel</w:t>
      </w:r>
    </w:p>
    <w:p>
      <w:pPr>
        <w:pStyle w:val="FirstParagraph"/>
      </w:pPr>
      <w:r>
        <w:t xml:space="preserve">The saving comes almost entirely from avoiding a second GT. With fixed</w:t>
      </w:r>
      <w:r>
        <w:t xml:space="preserve"> </w:t>
      </w:r>
      <w:r>
        <w:t xml:space="preserve">demand, a second turbine must start whenever the wind drops and one GT</w:t>
      </w:r>
      <w:r>
        <w:t xml:space="preserve"> </w:t>
      </w:r>
      <w:r>
        <w:t xml:space="preserve">cannot carry the load while holding 5 MW in reserve, that is, whenever the</w:t>
      </w:r>
      <w:r>
        <w:t xml:space="preserve"> </w:t>
      </w:r>
      <w:r>
        <w:t xml:space="preserve">wind supplies less than about 2 MW at the average demand of 18.8 MW. Each</w:t>
      </w:r>
      <w:r>
        <w:t xml:space="preserve"> </w:t>
      </w:r>
      <w:r>
        <w:t xml:space="preserve">such hour costs the no-load fuel of a whole extra turbine, 18.4 % of its</w:t>
      </w:r>
      <w:r>
        <w:t xml:space="preserve"> </w:t>
      </w:r>
      <w:r>
        <w:t xml:space="preserve">full-load fuel. In case 3 the optimiser postpones water injection in</w:t>
      </w:r>
      <w:r>
        <w:t xml:space="preserve"> </w:t>
      </w:r>
      <w:r>
        <w:t xml:space="preserve">exactly these hours, so a second GT runs in only 28 h of the year instead</w:t>
      </w:r>
      <w:r>
        <w:t xml:space="preserve"> </w:t>
      </w:r>
      <w:r>
        <w:t xml:space="preserve">of 1,702 (Fig. 4, Fig. 5). The 1,674 avoided hours account for most of the</w:t>
      </w:r>
      <w:r>
        <w:t xml:space="preserve"> </w:t>
      </w:r>
      <w:r>
        <w:t xml:space="preserve">3.0 MSm³ of fuel saved.</w:t>
      </w:r>
    </w:p>
    <w:p>
      <w:pPr>
        <w:pStyle w:val="CaptionedFigure"/>
      </w:pPr>
      <w:r>
        <w:drawing>
          <wp:inline>
            <wp:extent cx="5334000" cy="4365500"/>
            <wp:effectExtent b="0" l="0" r="0" t="0"/>
            <wp:docPr descr="Fig. 4. Week 3 (15–21 January 2023), the week with the median fuel saving. Top and middle: power supplied by GTs and wind with fixed (case 2) and flexible (case 3) demand. Bottom: production and injection rates." title="" id="44" name="Picture"/>
            <a:graphic>
              <a:graphicData uri="http://schemas.openxmlformats.org/drawingml/2006/picture">
                <pic:pic>
                  <pic:nvPicPr>
                    <pic:cNvPr descr="results/paper/fig05_example_week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65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Fig. 4.</w:t>
      </w:r>
      <w:r>
        <w:t xml:space="preserve"> </w:t>
      </w:r>
      <w:r>
        <w:t xml:space="preserve">Week 3 (15–21 January 2023), the week with the median fuel saving. Top and middle: power supplied by GTs and wind with fixed (case 2) and flexible (case 3) demand. Bottom: production and injection rates.</w:t>
      </w:r>
    </w:p>
    <w:p>
      <w:pPr>
        <w:pStyle w:val="CaptionedFigure"/>
      </w:pPr>
      <w:r>
        <w:drawing>
          <wp:inline>
            <wp:extent cx="5334000" cy="2037906"/>
            <wp:effectExtent b="0" l="0" r="0" t="0"/>
            <wp:docPr descr="Fig. 5. Duration curves of GT load per running unit (left; shaded: below 50 %) and of the number of GTs running (right)." title="" id="47" name="Picture"/>
            <a:graphic>
              <a:graphicData uri="http://schemas.openxmlformats.org/drawingml/2006/picture">
                <pic:pic>
                  <pic:nvPicPr>
                    <pic:cNvPr descr="results/paper/fig06_gt_load_duration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379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Fig. 5.</w:t>
      </w:r>
      <w:r>
        <w:t xml:space="preserve"> </w:t>
      </w:r>
      <w:r>
        <w:t xml:space="preserve">Duration curves of GT load per running unit (left; shaded: below 50 %) and of the number of GTs running (right).</w:t>
      </w:r>
    </w:p>
    <w:p>
      <w:pPr>
        <w:pStyle w:val="BodyText"/>
      </w:pPr>
      <w:r>
        <w:t xml:space="preserve">The example week in Fig. 4, the week with the median fuel saving, shows the</w:t>
      </w:r>
      <w:r>
        <w:t xml:space="preserve"> </w:t>
      </w:r>
      <w:r>
        <w:t xml:space="preserve">pattern. Whenever the wind drops, injection is cut, sometimes to zero, and</w:t>
      </w:r>
      <w:r>
        <w:t xml:space="preserve"> </w:t>
      </w:r>
      <w:r>
        <w:t xml:space="preserve">the demand follows the wind; when the wind returns, injection runs at full</w:t>
      </w:r>
      <w:r>
        <w:t xml:space="preserve"> </w:t>
      </w:r>
      <w:r>
        <w:t xml:space="preserve">rate to catch up. Over the year, injection follows the available wind</w:t>
      </w:r>
      <w:r>
        <w:t xml:space="preserve"> </w:t>
      </w:r>
      <w:r>
        <w:t xml:space="preserve">(Fig. 6). Its mean rises from 57 % of capacity in the calmest hours to</w:t>
      </w:r>
      <w:r>
        <w:t xml:space="preserve"> </w:t>
      </w:r>
      <w:r>
        <w:t xml:space="preserve">98–100 % when more than 16 MW of wind is available, with a correlation</w:t>
      </w:r>
      <w:r>
        <w:t xml:space="preserve"> </w:t>
      </w:r>
      <w:r>
        <w:t xml:space="preserve">coefficient of 0.61 between injection rate and available wind. Injection is</w:t>
      </w:r>
      <w:r>
        <w:t xml:space="preserve"> </w:t>
      </w:r>
      <w:r>
        <w:t xml:space="preserve">below its 85 % target in 2,563 h, stopped completely in 187 h and above the</w:t>
      </w:r>
      <w:r>
        <w:t xml:space="preserve"> </w:t>
      </w:r>
      <w:r>
        <w:t xml:space="preserve">target in 6,129 h, and over the year it averages 84.9 % of capacity, so the</w:t>
      </w:r>
      <w:r>
        <w:t xml:space="preserve"> </w:t>
      </w:r>
      <w:r>
        <w:t xml:space="preserve">voidage target is met.</w:t>
      </w:r>
    </w:p>
    <w:p>
      <w:pPr>
        <w:pStyle w:val="BodyText"/>
      </w:pPr>
      <w:r>
        <w:t xml:space="preserve">The deficit remains small compared with the limit. It averages 9.0 h of</w:t>
      </w:r>
      <w:r>
        <w:t xml:space="preserve"> </w:t>
      </w:r>
      <w:r>
        <w:t xml:space="preserve">full-rate injection, never exceeds 27.5 h and is above 24 h in only 149 h of</w:t>
      </w:r>
      <w:r>
        <w:t xml:space="preserve"> </w:t>
      </w:r>
      <w:r>
        <w:t xml:space="preserve">the year, well within the 72 h allowed. At the end of the year 8.2 h of</w:t>
      </w:r>
      <w:r>
        <w:t xml:space="preserve"> </w:t>
      </w:r>
      <w:r>
        <w:t xml:space="preserve">injection remain to be caught up, which corresponds to less than 1 % of the</w:t>
      </w:r>
      <w:r>
        <w:t xml:space="preserve"> </w:t>
      </w:r>
      <w:r>
        <w:t xml:space="preserve">annual saving. The short duration of the deficits reflects the mechanism:</w:t>
      </w:r>
      <w:r>
        <w:t xml:space="preserve"> </w:t>
      </w:r>
      <w:r>
        <w:t xml:space="preserve">the hours in which a second GT would be needed occur in spells of a few</w:t>
      </w:r>
      <w:r>
        <w:t xml:space="preserve"> </w:t>
      </w:r>
      <w:r>
        <w:t xml:space="preserve">hours to about a day, between periods of sufficient wind.</w:t>
      </w:r>
    </w:p>
    <w:p>
      <w:pPr>
        <w:pStyle w:val="BodyText"/>
      </w:pPr>
      <w:r>
        <w:t xml:space="preserve">Production is never reduced in any case. One hour at 50 % rate would lose</w:t>
      </w:r>
      <w:r>
        <w:t xml:space="preserve"> </w:t>
      </w:r>
      <w:r>
        <w:t xml:space="preserve">oil and gas worth about 1.5 MNOK, while the fuel and CO2 saved in that hour</w:t>
      </w:r>
      <w:r>
        <w:t xml:space="preserve"> </w:t>
      </w:r>
      <w:r>
        <w:t xml:space="preserve">are worth a few thousand NOK, so the optimiser always prefers to defer</w:t>
      </w:r>
      <w:r>
        <w:t xml:space="preserve"> </w:t>
      </w:r>
      <w:r>
        <w:t xml:space="preserve">injection. The saving from flexibility is present in every month, between</w:t>
      </w:r>
      <w:r>
        <w:t xml:space="preserve"> </w:t>
      </w:r>
      <w:r>
        <w:t xml:space="preserve">0.43 and 0.77 kt (Fig. S3). It is largest in June, December and July, months</w:t>
      </w:r>
      <w:r>
        <w:t xml:space="preserve"> </w:t>
      </w:r>
      <w:r>
        <w:t xml:space="preserve">in which the wind often falls just below the demand.</w:t>
      </w:r>
    </w:p>
    <w:p>
      <w:pPr>
        <w:pStyle w:val="CaptionedFigure"/>
      </w:pPr>
      <w:r>
        <w:drawing>
          <wp:inline>
            <wp:extent cx="5334000" cy="2037906"/>
            <wp:effectExtent b="0" l="0" r="0" t="0"/>
            <wp:docPr descr="Fig. 6. Left: water injection rate against available wind in case 3 (mean and 10–90 % range of hours). Right: distribution of the injection deficit (dashed: 72 h limit)." title="" id="50" name="Picture"/>
            <a:graphic>
              <a:graphicData uri="http://schemas.openxmlformats.org/drawingml/2006/picture">
                <pic:pic>
                  <pic:nvPicPr>
                    <pic:cNvPr descr="results/paper/fig07_injection_mechanism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379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Fig. 6.</w:t>
      </w:r>
      <w:r>
        <w:t xml:space="preserve"> </w:t>
      </w:r>
      <w:r>
        <w:t xml:space="preserve">Left: water injection rate against available wind in case 3 (mean and 10–90 % range of hours). Right: distribution of the injection deficit (dashed: 72 h limit).</w:t>
      </w:r>
    </w:p>
    <w:bookmarkEnd w:id="52"/>
    <w:bookmarkStart w:id="56" w:name="sensitivity-analysis"/>
    <w:p>
      <w:pPr>
        <w:pStyle w:val="Heading3"/>
      </w:pPr>
      <w:r>
        <w:t xml:space="preserve">3.4 Sensitivity analysis</w:t>
      </w:r>
    </w:p>
    <w:p>
      <w:pPr>
        <w:pStyle w:val="FirstParagraph"/>
      </w:pPr>
      <w:r>
        <w:rPr>
          <w:bCs/>
          <w:b/>
        </w:rPr>
        <w:t xml:space="preserve">Table 3.</w:t>
      </w:r>
      <w:r>
        <w:t xml:space="preserve"> </w:t>
      </w:r>
      <w:r>
        <w:t xml:space="preserve">Annual CO2 [kt/yr] in the sensitivity runs.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Varied 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 farm size [turbines]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2 / 3 /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77.6 / 64.7 / 60.2 / 57.6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71.9 / 57.5 / 53.4 / 50.9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CO2 price [NOK/kg]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 / 1 / 2 / 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57.5 / 57.5 / 57.5 / 57.6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Gas price [NOK/Sm³]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4.19 / 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57.5 / 57.5 / 57.5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Battery [MW / MWh]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2/2 / 4/4 / 8/8 / 8/16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57.5 / 57.3 / 57.2 / 56.9 / 56.4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Injection deficit limit [h]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24 / 72 / 168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64.7 / 57.5 / 57.5 / 57.5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Min. GTs online (8 MW battery)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56.9 / 38.7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GT fleet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main / 2 main + 1 small / 3 main + 1 small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64.7 / 53.9 / 53.9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57.5 / 47.8 / 47.7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Keep two GTs online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90.7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87.7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Table 3 and Fig. 7 show which inputs matter.</w:t>
      </w:r>
    </w:p>
    <w:p>
      <w:pPr>
        <w:pStyle w:val="BodyText"/>
      </w:pPr>
      <w:r>
        <w:rPr>
          <w:bCs/>
          <w:b/>
        </w:rPr>
        <w:t xml:space="preserve">Prices do not change the schedule.</w:t>
      </w:r>
      <w:r>
        <w:t xml:space="preserve"> </w:t>
      </w:r>
      <w:r>
        <w:t xml:space="preserve">Across CO2 prices of 0.5–3 NOK/kg and</w:t>
      </w:r>
      <w:r>
        <w:t xml:space="preserve"> </w:t>
      </w:r>
      <w:r>
        <w:t xml:space="preserve">gas prices of 2–8 NOK/Sm³, emissions change by less than 0.1 %. Prices change</w:t>
      </w:r>
      <w:r>
        <w:t xml:space="preserve"> </w:t>
      </w:r>
      <w:r>
        <w:t xml:space="preserve">the cost of every option in proportion, so the cheapest schedule stays the</w:t>
      </w:r>
      <w:r>
        <w:t xml:space="preserve"> </w:t>
      </w:r>
      <w:r>
        <w:t xml:space="preserve">cheapest. The injection schedule is driven by fuel savings that are</w:t>
      </w:r>
      <w:r>
        <w:t xml:space="preserve"> </w:t>
      </w:r>
      <w:r>
        <w:t xml:space="preserve">worthwhile at any price, and production is never shed, because its value is</w:t>
      </w:r>
      <w:r>
        <w:t xml:space="preserve"> </w:t>
      </w:r>
      <w:r>
        <w:t xml:space="preserve">two orders of magnitude higher than the fuel saved.</w:t>
      </w:r>
    </w:p>
    <w:p>
      <w:pPr>
        <w:pStyle w:val="BodyText"/>
      </w:pPr>
      <w:r>
        <w:rPr>
          <w:bCs/>
          <w:b/>
        </w:rPr>
        <w:t xml:space="preserve">A small deferral capacity is enough.</w:t>
      </w:r>
      <w:r>
        <w:t xml:space="preserve"> </w:t>
      </w:r>
      <w:r>
        <w:t xml:space="preserve">With no deferral allowed, case 3 is</w:t>
      </w:r>
      <w:r>
        <w:t xml:space="preserve"> </w:t>
      </w:r>
      <w:r>
        <w:t xml:space="preserve">identical to case 2 (64.7 kt). A deficit limit of 24 h already gives the</w:t>
      </w:r>
      <w:r>
        <w:t xml:space="preserve"> </w:t>
      </w:r>
      <w:r>
        <w:t xml:space="preserve">full saving, with 5 GT starts instead of 3, and allowing 168 h changes</w:t>
      </w:r>
      <w:r>
        <w:t xml:space="preserve"> </w:t>
      </w:r>
      <w:r>
        <w:t xml:space="preserve">nothing more. Even a conservative reservoir constraint would therefore</w:t>
      </w:r>
      <w:r>
        <w:t xml:space="preserve"> </w:t>
      </w:r>
      <w:r>
        <w:t xml:space="preserve">capture the benefit.</w:t>
      </w:r>
    </w:p>
    <w:p>
      <w:pPr>
        <w:pStyle w:val="BodyText"/>
      </w:pPr>
      <w:r>
        <w:rPr>
          <w:bCs/>
          <w:b/>
        </w:rPr>
        <w:t xml:space="preserve">Wind farm size has diminishing returns.</w:t>
      </w:r>
      <w:r>
        <w:t xml:space="preserve"> </w:t>
      </w:r>
      <w:r>
        <w:t xml:space="preserve">Doubling the farm from 30 to</w:t>
      </w:r>
      <w:r>
        <w:t xml:space="preserve"> </w:t>
      </w:r>
      <w:r>
        <w:t xml:space="preserve">60 MW lowers case 3 emissions only from 57.5 to 50.9 kt, while curtailment</w:t>
      </w:r>
      <w:r>
        <w:t xml:space="preserve"> </w:t>
      </w:r>
      <w:r>
        <w:t xml:space="preserve">grows from 39 to 160 GWh, because one GT must stay online and the platform</w:t>
      </w:r>
      <w:r>
        <w:t xml:space="preserve"> </w:t>
      </w:r>
      <w:r>
        <w:t xml:space="preserve">cannot absorb more wind in windy hours. The value of flexibility (case 2</w:t>
      </w:r>
      <w:r>
        <w:t xml:space="preserve"> </w:t>
      </w:r>
      <w:r>
        <w:t xml:space="preserve">minus case 3) is largest for the base-case farm (7.2 kt) and smaller for a</w:t>
      </w:r>
      <w:r>
        <w:t xml:space="preserve"> </w:t>
      </w:r>
      <w:r>
        <w:t xml:space="preserve">15 MW farm (5.6 kt), where the wind seldom covers the demand, and for a</w:t>
      </w:r>
      <w:r>
        <w:t xml:space="preserve"> </w:t>
      </w:r>
      <w:r>
        <w:t xml:space="preserve">45–60 MW farm (6.7–6.8 kt).</w:t>
      </w:r>
    </w:p>
    <w:p>
      <w:pPr>
        <w:pStyle w:val="BodyText"/>
      </w:pPr>
      <w:r>
        <w:rPr>
          <w:bCs/>
          <w:b/>
        </w:rPr>
        <w:t xml:space="preserve">Batteries add little on their own.</w:t>
      </w:r>
      <w:r>
        <w:t xml:space="preserve"> </w:t>
      </w:r>
      <w:r>
        <w:t xml:space="preserve">The largest battery tested</w:t>
      </w:r>
      <w:r>
        <w:t xml:space="preserve"> </w:t>
      </w:r>
      <w:r>
        <w:t xml:space="preserve">(8 MW / 16 MWh) reduces case 3 emissions by 1.1 kt, or 2 %, as long as one</w:t>
      </w:r>
      <w:r>
        <w:t xml:space="preserve"> </w:t>
      </w:r>
      <w:r>
        <w:t xml:space="preserve">GT must remain online.</w:t>
      </w:r>
    </w:p>
    <w:p>
      <w:pPr>
        <w:pStyle w:val="BodyText"/>
      </w:pPr>
      <w:r>
        <w:rPr>
          <w:bCs/>
          <w:b/>
        </w:rPr>
        <w:t xml:space="preserve">The minimum number of GTs online dominates.</w:t>
      </w:r>
      <w:r>
        <w:t xml:space="preserve"> </w:t>
      </w:r>
      <w:r>
        <w:t xml:space="preserve">If an 8 MW / 8 MWh battery</w:t>
      </w:r>
      <w:r>
        <w:t xml:space="preserve"> </w:t>
      </w:r>
      <w:r>
        <w:t xml:space="preserve">can provide the reserve and grid stability so that all GTs may stop,</w:t>
      </w:r>
      <w:r>
        <w:t xml:space="preserve"> </w:t>
      </w:r>
      <w:r>
        <w:t xml:space="preserve">emissions fall to 38.7 kt, 32 % below the same case with one GT online. The</w:t>
      </w:r>
      <w:r>
        <w:t xml:space="preserve"> </w:t>
      </w:r>
      <w:r>
        <w:t xml:space="preserve">GTs then run only 3,798 unit-h, wind covers a much larger share of the</w:t>
      </w:r>
      <w:r>
        <w:t xml:space="preserve"> </w:t>
      </w:r>
      <w:r>
        <w:t xml:space="preserve">demand with only 11 GWh curtailed, and 15 GWh of heat is supplied by the</w:t>
      </w:r>
      <w:r>
        <w:t xml:space="preserve"> </w:t>
      </w:r>
      <w:r>
        <w:t xml:space="preserve">electric heater when no GT runs. The price is 184 GT starts per year.</w:t>
      </w:r>
    </w:p>
    <w:p>
      <w:pPr>
        <w:pStyle w:val="BodyText"/>
      </w:pPr>
      <w:r>
        <w:rPr>
          <w:bCs/>
          <w:b/>
        </w:rPr>
        <w:t xml:space="preserve">Operating practice matters as much as hardware.</w:t>
      </w:r>
      <w:r>
        <w:t xml:space="preserve"> </w:t>
      </w:r>
      <w:r>
        <w:t xml:space="preserve">If two GTs are kept</w:t>
      </w:r>
      <w:r>
        <w:t xml:space="preserve"> </w:t>
      </w:r>
      <w:r>
        <w:t xml:space="preserve">online whatever the wind, emissions rise to 90.7 kt in case 2 and 87.7 kt in</w:t>
      </w:r>
      <w:r>
        <w:t xml:space="preserve"> </w:t>
      </w:r>
      <w:r>
        <w:t xml:space="preserve">case 3. Flexibility then saves only 3.1 kt, because its main mechanism,</w:t>
      </w:r>
      <w:r>
        <w:t xml:space="preserve"> </w:t>
      </w:r>
      <w:r>
        <w:t xml:space="preserve">avoiding the second GT, is no longer available; the remaining saving comes</w:t>
      </w:r>
      <w:r>
        <w:t xml:space="preserve"> </w:t>
      </w:r>
      <w:r>
        <w:t xml:space="preserve">from lower curtailment.</w:t>
      </w:r>
    </w:p>
    <w:p>
      <w:pPr>
        <w:pStyle w:val="BodyText"/>
      </w:pPr>
      <w:r>
        <w:rPr>
          <w:bCs/>
          <w:b/>
        </w:rPr>
        <w:t xml:space="preserve">A small GT is as valuable as flexibility, and the two add up.</w:t>
      </w:r>
      <w:r>
        <w:t xml:space="preserve"> </w:t>
      </w:r>
      <w:r>
        <w:t xml:space="preserve">Replacing</w:t>
      </w:r>
      <w:r>
        <w:t xml:space="preserve"> </w:t>
      </w:r>
      <w:r>
        <w:t xml:space="preserve">one main unit by a Solar Mars 100 (11.35 MW) lowers emissions from 64.7 to</w:t>
      </w:r>
      <w:r>
        <w:t xml:space="preserve"> </w:t>
      </w:r>
      <w:r>
        <w:t xml:space="preserve">53.9 kt with fixed demand (−17 %) and from 57.5 to 47.8 kt with flexible</w:t>
      </w:r>
      <w:r>
        <w:t xml:space="preserve"> </w:t>
      </w:r>
      <w:r>
        <w:t xml:space="preserve">demand. In windy hours the small unit runs alone: its no-load fuel is about</w:t>
      </w:r>
      <w:r>
        <w:t xml:space="preserve"> </w:t>
      </w:r>
      <w:r>
        <w:t xml:space="preserve">half that of a main unit, and it can carry up to 6.35 MW while holding the</w:t>
      </w:r>
      <w:r>
        <w:t xml:space="preserve"> </w:t>
      </w:r>
      <w:r>
        <w:t xml:space="preserve">5 MW reserve. With the small unit installed, flexibility still saves 6.1 kt</w:t>
      </w:r>
      <w:r>
        <w:t xml:space="preserve"> </w:t>
      </w:r>
      <w:r>
        <w:t xml:space="preserve">(11.3 %), the same share as with the main units only, and it reduces the</w:t>
      </w:r>
      <w:r>
        <w:t xml:space="preserve"> </w:t>
      </w:r>
      <w:r>
        <w:t xml:space="preserve">starts of the small unit from 465 to 262 per year. Together, the small unit</w:t>
      </w:r>
      <w:r>
        <w:t xml:space="preserve"> </w:t>
      </w:r>
      <w:r>
        <w:t xml:space="preserve">and flexibility cut emissions by 26 % compared with case 2. Keeping all three</w:t>
      </w:r>
      <w:r>
        <w:t xml:space="preserve"> </w:t>
      </w:r>
      <w:r>
        <w:t xml:space="preserve">main units in addition to the small one changes nothing (47.7 kt), because</w:t>
      </w:r>
      <w:r>
        <w:t xml:space="preserve"> </w:t>
      </w:r>
      <w:r>
        <w:t xml:space="preserve">the third main unit is never needed.</w:t>
      </w:r>
    </w:p>
    <w:p>
      <w:pPr>
        <w:pStyle w:val="CaptionedFigure"/>
      </w:pPr>
      <w:r>
        <w:drawing>
          <wp:inline>
            <wp:extent cx="5334000" cy="4492807"/>
            <wp:effectExtent b="0" l="0" r="0" t="0"/>
            <wp:docPr descr="Fig. 7. Sensitivity of annual CO2 emissions to wind farm size, CO2 and gas price, battery size, injection deficit limit, minimum number of GTs online, GT fleet and operating practice." title="" id="54" name="Picture"/>
            <a:graphic>
              <a:graphicData uri="http://schemas.openxmlformats.org/drawingml/2006/picture">
                <pic:pic>
                  <pic:nvPicPr>
                    <pic:cNvPr descr="results/paper/fig09_sensitivity_overview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928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Fig. 7.</w:t>
      </w:r>
      <w:r>
        <w:t xml:space="preserve"> </w:t>
      </w:r>
      <w:r>
        <w:t xml:space="preserve">Sensitivity of annual CO2 emissions to wind farm size, CO2 and gas price, battery size, injection deficit limit, minimum number of GTs online, GT fleet and operating practice.</w:t>
      </w:r>
    </w:p>
    <w:bookmarkEnd w:id="56"/>
    <w:bookmarkStart w:id="60" w:name="validation"/>
    <w:p>
      <w:pPr>
        <w:pStyle w:val="Heading3"/>
      </w:pPr>
      <w:r>
        <w:t xml:space="preserve">3.5 Validation</w:t>
      </w:r>
    </w:p>
    <w:p>
      <w:pPr>
        <w:pStyle w:val="FirstParagraph"/>
      </w:pPr>
      <w:r>
        <w:rPr>
          <w:bCs/>
          <w:b/>
        </w:rPr>
        <w:t xml:space="preserve">Table 4.</w:t>
      </w:r>
      <w:r>
        <w:t xml:space="preserve"> </w:t>
      </w:r>
      <w:r>
        <w:t xml:space="preserve">Model results against published benchmarks.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Benchmark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Published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Platform power, three real oil platforms [24,27]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20.3 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17–30 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Platform power, six modelled platforms [10]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20.3 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22.6–31.1 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below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Platform power, Johan Castberg [28]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20.3 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within 20 %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Platform power implied by Hywind Tampen [8]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20.3 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25.1 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within 20 %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 capacity factor, Hywind Tampen design [8]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agrees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 capacity factor, Hywind Tampen Q1 2025 [29]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58.4 % (winter)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within 20 %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CO2 avoided per MWh wind, two GTs kept online [8]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 t/MWh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 t/MWh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agrees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Water injection specific energy [9]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 kWh/m³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 kWh/m³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agrees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CO2 intensity, Norwegian shelf 2023 [1]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 kg/boe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7.3 kg/boe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lower</w:t>
            </w:r>
          </w:p>
        </w:tc>
      </w:tr>
    </w:tbl>
    <w:p>
      <w:pPr>
        <w:pStyle w:val="BodyText"/>
      </w:pPr>
      <w:r>
        <w:t xml:space="preserve">Platform power, wind resource and pump energy agree with the published</w:t>
      </w:r>
      <w:r>
        <w:t xml:space="preserve"> </w:t>
      </w:r>
      <w:r>
        <w:t xml:space="preserve">values (Table 4, Fig. 8). The platform power lies within the processing-plant</w:t>
      </w:r>
      <w:r>
        <w:t xml:space="preserve"> </w:t>
      </w:r>
      <w:r>
        <w:t xml:space="preserve">power of three real oil platforms and within 20 % of the other references.</w:t>
      </w:r>
      <w:r>
        <w:t xml:space="preserve"> </w:t>
      </w:r>
      <w:r>
        <w:t xml:space="preserve">It is below the range of the six modelled platforms of Nguyen et al.</w:t>
      </w:r>
      <w:r>
        <w:t xml:space="preserve"> </w:t>
      </w:r>
      <w:r>
        <w:t xml:space="preserve">[10], in which gas compression alone takes 42–56 % of a 22.6–31.1 MW</w:t>
      </w:r>
      <w:r>
        <w:t xml:space="preserve"> </w:t>
      </w:r>
      <w:r>
        <w:t xml:space="preserve">demand, compared with 28 % of 20.3 MW here. The ERA5 capacity factor is within 2 % of the 49.8 % expected for</w:t>
      </w:r>
      <w:r>
        <w:t xml:space="preserve"> </w:t>
      </w:r>
      <w:r>
        <w:t xml:space="preserve">Hywind Tampen, although that farm uses smaller floating turbines.</w:t>
      </w:r>
    </w:p>
    <w:p>
      <w:pPr>
        <w:pStyle w:val="BodyText"/>
      </w:pPr>
      <w:r>
        <w:t xml:space="preserve">The strongest check is the CO2 avoided per MWh of wind, because it tests the</w:t>
      </w:r>
      <w:r>
        <w:t xml:space="preserve"> </w:t>
      </w:r>
      <w:r>
        <w:t xml:space="preserve">wind, the part-load fuel model, the CO2 factor and the scheduling together.</w:t>
      </w:r>
      <w:r>
        <w:t xml:space="preserve"> </w:t>
      </w:r>
      <w:r>
        <w:t xml:space="preserve">When the model keeps two GTs online and only lowers their load, as assumed</w:t>
      </w:r>
      <w:r>
        <w:t xml:space="preserve"> </w:t>
      </w:r>
      <w:r>
        <w:t xml:space="preserve">in the Hywind Tampen estimate, it avoids 0.51 t/MWh against the published</w:t>
      </w:r>
      <w:r>
        <w:t xml:space="preserve"> </w:t>
      </w:r>
      <w:r>
        <w:t xml:space="preserve">0.52 t/MWh. When a GT may stop in windy hours, as in case 2, it avoids</w:t>
      </w:r>
      <w:r>
        <w:t xml:space="preserve"> </w:t>
      </w:r>
      <w:r>
        <w:t xml:space="preserve">0.71 t/MWh, because the no-load fuel of the stopped unit is saved as well.</w:t>
      </w:r>
      <w:r>
        <w:t xml:space="preserve"> </w:t>
      </w:r>
      <w:r>
        <w:t xml:space="preserve">The difference shows how much of the benefit of wind depends on operating</w:t>
      </w:r>
      <w:r>
        <w:t xml:space="preserve"> </w:t>
      </w:r>
      <w:r>
        <w:t xml:space="preserve">practice rather than on the wind farm itself.</w:t>
      </w:r>
    </w:p>
    <w:p>
      <w:pPr>
        <w:pStyle w:val="BodyText"/>
      </w:pPr>
      <w:r>
        <w:t xml:space="preserve">The field data support the fuel and emission model (Fig. 8, right). The</w:t>
      </w:r>
      <w:r>
        <w:t xml:space="preserve"> </w:t>
      </w:r>
      <w:r>
        <w:t xml:space="preserve">Gullfaks field centre emits 2.32–2.40 kg CO2 per Sm³ of fuel gas in</w:t>
      </w:r>
      <w:r>
        <w:t xml:space="preserve"> </w:t>
      </w:r>
      <w:r>
        <w:t xml:space="preserve">2021–2024, consistent with the 2.34 kg/Sm³ used here. After Hywind Tampen</w:t>
      </w:r>
      <w:r>
        <w:t xml:space="preserve"> </w:t>
      </w:r>
      <w:r>
        <w:t xml:space="preserve">started supplying power, fuel gas use fell by 30 % at Gullfaks (2021–2023)</w:t>
      </w:r>
      <w:r>
        <w:t xml:space="preserve"> </w:t>
      </w:r>
      <w:r>
        <w:t xml:space="preserve">and by 11 % at Snorre (2021–2024), and Snorre’s diesel use fell from 15.6 kt</w:t>
      </w:r>
      <w:r>
        <w:t xml:space="preserve"> </w:t>
      </w:r>
      <w:r>
        <w:t xml:space="preserve">to about 3 kt. At Statfjord, which receives no wind power, fuel use was</w:t>
      </w:r>
      <w:r>
        <w:t xml:space="preserve"> </w:t>
      </w:r>
      <w:r>
        <w:t xml:space="preserve">unchanged. Production also declined over the period, so not all of the</w:t>
      </w:r>
      <w:r>
        <w:t xml:space="preserve"> </w:t>
      </w:r>
      <w:r>
        <w:t xml:space="preserve">reduction can be attributed to the wind farm. The model’s CO2 intensity is</w:t>
      </w:r>
      <w:r>
        <w:t xml:space="preserve"> </w:t>
      </w:r>
      <w:r>
        <w:t xml:space="preserve">lower than the shelf average and the field values (9–14 kg/boe at Gullfaks</w:t>
      </w:r>
      <w:r>
        <w:t xml:space="preserve"> </w:t>
      </w:r>
      <w:r>
        <w:t xml:space="preserve">and Snorre, 55–78 kg/boe at late-life Statfjord), as expected from the</w:t>
      </w:r>
      <w:r>
        <w:t xml:space="preserve"> </w:t>
      </w:r>
      <w:r>
        <w:t xml:space="preserve">system boundary: the model covers only power generation on an efficient</w:t>
      </w:r>
      <w:r>
        <w:t xml:space="preserve"> </w:t>
      </w:r>
      <w:r>
        <w:t xml:space="preserve">platform at plateau rate, whereas the field values include flaring, diesel,</w:t>
      </w:r>
      <w:r>
        <w:t xml:space="preserve"> </w:t>
      </w:r>
      <w:r>
        <w:t xml:space="preserve">gas re-injection compression and the lower production of mature fields.</w:t>
      </w:r>
      <w:r>
        <w:t xml:space="preserve"> </w:t>
      </w:r>
      <w:r>
        <w:t xml:space="preserve">The like-for-like checks, the fuel gas factor and the CO2 avoided per MWh,</w:t>
      </w:r>
      <w:r>
        <w:t xml:space="preserve"> </w:t>
      </w:r>
      <w:r>
        <w:t xml:space="preserve">agree, which indicates that the difference stems from the boundary and not</w:t>
      </w:r>
      <w:r>
        <w:t xml:space="preserve"> </w:t>
      </w:r>
      <w:r>
        <w:t xml:space="preserve">from the power system model.</w:t>
      </w:r>
    </w:p>
    <w:p>
      <w:pPr>
        <w:pStyle w:val="CaptionedFigure"/>
      </w:pPr>
      <w:r>
        <w:drawing>
          <wp:inline>
            <wp:extent cx="5334000" cy="3083079"/>
            <wp:effectExtent b="0" l="0" r="0" t="0"/>
            <wp:docPr descr="Fig. 8. Left: model results divided by published benchmarks (1 = equal; shaded: ±20 %; grey bars: published ranges). Right: CO2 intensity of the Gullfaks, Snorre and Statfjord field centres (grey: GT-powered; teal: receiving Hywind Tampen power) with the model case 1 value (dashed)." title="" id="58" name="Picture"/>
            <a:graphic>
              <a:graphicData uri="http://schemas.openxmlformats.org/drawingml/2006/picture">
                <pic:pic>
                  <pic:nvPicPr>
                    <pic:cNvPr descr="results/paper/fig10_validation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830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Fig. 8.</w:t>
      </w:r>
      <w:r>
        <w:t xml:space="preserve"> </w:t>
      </w:r>
      <w:r>
        <w:t xml:space="preserve">Left: model results divided by published benchmarks (1 = equal; shaded: ±20 %; grey bars: published ranges). Right: CO2 intensity of the Gullfaks, Snorre and Statfjord field centres (grey: GT-powered; teal: receiving Hywind Tampen power) with the model case 1 value (dashed).</w:t>
      </w:r>
    </w:p>
    <w:bookmarkEnd w:id="60"/>
    <w:bookmarkStart w:id="61" w:name="economic-indicators-1"/>
    <w:p>
      <w:pPr>
        <w:pStyle w:val="Heading3"/>
      </w:pPr>
      <w:r>
        <w:t xml:space="preserve">3.6 Economic indicators</w:t>
      </w:r>
    </w:p>
    <w:p>
      <w:pPr>
        <w:pStyle w:val="FirstParagraph"/>
      </w:pPr>
      <w:r>
        <w:rPr>
          <w:bCs/>
          <w:b/>
        </w:rPr>
        <w:t xml:space="preserve">Table 5.</w:t>
      </w:r>
      <w:r>
        <w:t xml:space="preserve"> </w:t>
      </w:r>
      <w:r>
        <w:t xml:space="preserve">Economic indicators (real NOK, 20 years; abatement cost range</w:t>
      </w:r>
      <w:r>
        <w:t xml:space="preserve"> </w:t>
      </w:r>
      <w:r>
        <w:t xml:space="preserve">from the O&amp;M range of floating wind).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Measure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CO2 avoided [kt/yr]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Fuel value saved [MNOK/yr]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Abatement cost [NOK/t], 7 % / 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Break-even investment [MNOK], fuel / fuel + CO2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 farm, fixed demand (case 2 vs 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112.8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2,180–2,519 / 1,347–1,686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 farm with flexibility (case 3 vs 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1,774–2,078 / 1,026–1,330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Flexibility (case 3 vs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−1,799 before implementation 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137 / 288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Battery 4 MW / 4 MWh (case 4 vs 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−1,562 before battery 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/ 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Small GT replacing one main GT (flexible)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−1,786 before GT 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184 / 391</w:t>
            </w:r>
          </w:p>
        </w:tc>
      </w:tr>
    </w:tbl>
    <w:p>
      <w:pPr>
        <w:pStyle w:val="BodyText"/>
      </w:pPr>
      <w:r>
        <w:t xml:space="preserve">With an investment of 2.5 billion NOK for 30 MW, the wind farm with fixed</w:t>
      </w:r>
      <w:r>
        <w:t xml:space="preserve"> </w:t>
      </w:r>
      <w:r>
        <w:t xml:space="preserve">demand avoids CO2 at 2,180–2,519 NOK/t at a 7 % discount rate and</w:t>
      </w:r>
      <w:r>
        <w:t xml:space="preserve"> </w:t>
      </w:r>
      <w:r>
        <w:t xml:space="preserve">1,347–1,686 NOK/t at 4 % (Table 5). This is of the same order as the</w:t>
      </w:r>
      <w:r>
        <w:t xml:space="preserve"> </w:t>
      </w:r>
      <w:r>
        <w:t xml:space="preserve">abatement cost of the power-from-shore projects most recently approved on</w:t>
      </w:r>
      <w:r>
        <w:t xml:space="preserve"> </w:t>
      </w:r>
      <w:r>
        <w:t xml:space="preserve">the Norwegian shelf, just under 2,000 NOK/t [35], and close to the</w:t>
      </w:r>
      <w:r>
        <w:t xml:space="preserve"> </w:t>
      </w:r>
      <w:r>
        <w:t xml:space="preserve">2,000 NOK/t CO2 price targeted for 2030 [26]. Scheduling the</w:t>
      </w:r>
      <w:r>
        <w:t xml:space="preserve"> </w:t>
      </w:r>
      <w:r>
        <w:t xml:space="preserve">flexible loads lowers the abatement cost of the same wind farm by about</w:t>
      </w:r>
      <w:r>
        <w:t xml:space="preserve"> </w:t>
      </w:r>
      <w:r>
        <w:t xml:space="preserve">400 NOK/t, to 1,774–2,078 NOK/t at 7 %, because it avoids 11 % more CO2 and</w:t>
      </w:r>
      <w:r>
        <w:t xml:space="preserve"> </w:t>
      </w:r>
      <w:r>
        <w:t xml:space="preserve">saves 11 % more fuel for the same investment.</w:t>
      </w:r>
    </w:p>
    <w:p>
      <w:pPr>
        <w:pStyle w:val="BodyText"/>
      </w:pPr>
      <w:r>
        <w:t xml:space="preserve">Flexibility on its own saves money before any implementation cost: the fuel</w:t>
      </w:r>
      <w:r>
        <w:t xml:space="preserve"> </w:t>
      </w:r>
      <w:r>
        <w:t xml:space="preserve">saved is worth about 1,800 NOK per tonne of CO2 avoided. An operator could</w:t>
      </w:r>
      <w:r>
        <w:t xml:space="preserve"> </w:t>
      </w:r>
      <w:r>
        <w:t xml:space="preserve">spend up to 137 MNOK on control systems and process changes and still break</w:t>
      </w:r>
      <w:r>
        <w:t xml:space="preserve"> </w:t>
      </w:r>
      <w:r>
        <w:t xml:space="preserve">even on the fuel saved alone, or 288 MNOK when the avoided CO2 cost is</w:t>
      </w:r>
      <w:r>
        <w:t xml:space="preserve"> </w:t>
      </w:r>
      <w:r>
        <w:t xml:space="preserve">included. A 4 MW / 4 MWh battery breaks even only below 5–13 MNOK, which is</w:t>
      </w:r>
      <w:r>
        <w:t xml:space="preserve"> </w:t>
      </w:r>
      <w:r>
        <w:t xml:space="preserve">low for an offshore installation of that size. A small GT that replaces one</w:t>
      </w:r>
      <w:r>
        <w:t xml:space="preserve"> </w:t>
      </w:r>
      <w:r>
        <w:t xml:space="preserve">main GT breaks even below 184–391 MNOK, before its additional maintenance and</w:t>
      </w:r>
      <w:r>
        <w:t xml:space="preserve"> </w:t>
      </w:r>
      <w:r>
        <w:t xml:space="preserve">its 262 starts per year are accounted for.</w:t>
      </w:r>
    </w:p>
    <w:bookmarkEnd w:id="61"/>
    <w:bookmarkEnd w:id="62"/>
    <w:bookmarkStart w:id="68" w:name="discussion"/>
    <w:p>
      <w:pPr>
        <w:pStyle w:val="Heading2"/>
      </w:pPr>
      <w:r>
        <w:t xml:space="preserve">4 Discussion</w:t>
      </w:r>
    </w:p>
    <w:bookmarkStart w:id="63" w:name="why-load-flexibility-works"/>
    <w:p>
      <w:pPr>
        <w:pStyle w:val="Heading3"/>
      </w:pPr>
      <w:r>
        <w:t xml:space="preserve">4.1 Why load flexibility works</w:t>
      </w:r>
    </w:p>
    <w:p>
      <w:pPr>
        <w:pStyle w:val="FirstParagraph"/>
      </w:pPr>
      <w:r>
        <w:t xml:space="preserve">The value of flexible demand on a wind-powered platform lies in unit</w:t>
      </w:r>
      <w:r>
        <w:t xml:space="preserve"> </w:t>
      </w:r>
      <w:r>
        <w:t xml:space="preserve">commitment, not in energy shifting. A GT that runs at low load to provide</w:t>
      </w:r>
      <w:r>
        <w:t xml:space="preserve"> </w:t>
      </w:r>
      <w:r>
        <w:t xml:space="preserve">reserve burns a large share of its full-load fuel, so the expensive hours</w:t>
      </w:r>
      <w:r>
        <w:t xml:space="preserve"> </w:t>
      </w:r>
      <w:r>
        <w:t xml:space="preserve">are those in which the wind is just too weak for one turbine to carry the</w:t>
      </w:r>
      <w:r>
        <w:t xml:space="preserve"> </w:t>
      </w:r>
      <w:r>
        <w:t xml:space="preserve">load with reserve. Deferring water injection in these hours keeps the</w:t>
      </w:r>
      <w:r>
        <w:t xml:space="preserve"> </w:t>
      </w:r>
      <w:r>
        <w:t xml:space="preserve">second turbine off. This explains three results of Section 3. Most of the</w:t>
      </w:r>
      <w:r>
        <w:t xml:space="preserve"> </w:t>
      </w:r>
      <w:r>
        <w:t xml:space="preserve">saving comes from 1,674 avoided hours with two GTs online. A deficit</w:t>
      </w:r>
      <w:r>
        <w:t xml:space="preserve"> </w:t>
      </w:r>
      <w:r>
        <w:t xml:space="preserve">capacity of about one day captures it all, because these hours occur in</w:t>
      </w:r>
      <w:r>
        <w:t xml:space="preserve"> </w:t>
      </w:r>
      <w:r>
        <w:t xml:space="preserve">short spells between windy periods. And the saving largely disappears when</w:t>
      </w:r>
      <w:r>
        <w:t xml:space="preserve"> </w:t>
      </w:r>
      <w:r>
        <w:t xml:space="preserve">operating rules keep two GTs online anyway.</w:t>
      </w:r>
    </w:p>
    <w:p>
      <w:pPr>
        <w:pStyle w:val="BodyText"/>
      </w:pPr>
      <w:r>
        <w:t xml:space="preserve">Energy shifting alone, by contrast, achieves little. Curtailment falls by</w:t>
      </w:r>
      <w:r>
        <w:t xml:space="preserve"> </w:t>
      </w:r>
      <w:r>
        <w:t xml:space="preserve">only 13 %, because one GT must stay online and a 30 MW wind farm often</w:t>
      </w:r>
      <w:r>
        <w:t xml:space="preserve"> </w:t>
      </w:r>
      <w:r>
        <w:t xml:space="preserve">exceeds what the platform can use even with injection at full rate. This</w:t>
      </w:r>
      <w:r>
        <w:t xml:space="preserve"> </w:t>
      </w:r>
      <w:r>
        <w:t xml:space="preserve">also explains why the value of flexibility does not grow with the wind farm:</w:t>
      </w:r>
      <w:r>
        <w:t xml:space="preserve"> </w:t>
      </w:r>
      <w:r>
        <w:t xml:space="preserve">a larger farm covers the demand more often, which reduces the number of</w:t>
      </w:r>
      <w:r>
        <w:t xml:space="preserve"> </w:t>
      </w:r>
      <w:r>
        <w:t xml:space="preserve">hours in which a second GT is needed, while the additional wind in windy</w:t>
      </w:r>
      <w:r>
        <w:t xml:space="preserve"> </w:t>
      </w:r>
      <w:r>
        <w:t xml:space="preserve">hours cannot be used. The flexibility is most valuable when the wind farm is</w:t>
      </w:r>
      <w:r>
        <w:t xml:space="preserve"> </w:t>
      </w:r>
      <w:r>
        <w:t xml:space="preserve">of the same order as the platform demand, as in the base case and at Hywind</w:t>
      </w:r>
      <w:r>
        <w:t xml:space="preserve"> </w:t>
      </w:r>
      <w:r>
        <w:t xml:space="preserve">Tampen.</w:t>
      </w:r>
    </w:p>
    <w:p>
      <w:pPr>
        <w:pStyle w:val="BodyText"/>
      </w:pPr>
      <w:r>
        <w:t xml:space="preserve">The same reasoning explains why a battery adds little in case 4. With at</w:t>
      </w:r>
      <w:r>
        <w:t xml:space="preserve"> </w:t>
      </w:r>
      <w:r>
        <w:t xml:space="preserve">least one GT online, the battery cannot remove the main remaining loss, one</w:t>
      </w:r>
      <w:r>
        <w:t xml:space="preserve"> </w:t>
      </w:r>
      <w:r>
        <w:t xml:space="preserve">turbine idling near minimum load. A large saving appears only when the</w:t>
      </w:r>
      <w:r>
        <w:t xml:space="preserve"> </w:t>
      </w:r>
      <w:r>
        <w:t xml:space="preserve">battery, or grid-forming wind turbines, can take over the role of the last</w:t>
      </w:r>
      <w:r>
        <w:t xml:space="preserve"> </w:t>
      </w:r>
      <w:r>
        <w:t xml:space="preserve">running GT (38.7 kt, −32 %). This agrees with the finding that a battery</w:t>
      </w:r>
      <w:r>
        <w:t xml:space="preserve"> </w:t>
      </w:r>
      <w:r>
        <w:t xml:space="preserve">providing reserve lets platform GTs be switched off [11]. The</w:t>
      </w:r>
      <w:r>
        <w:t xml:space="preserve"> </w:t>
      </w:r>
      <w:r>
        <w:t xml:space="preserve">present results add that process flexibility gives much of the same benefit</w:t>
      </w:r>
      <w:r>
        <w:t xml:space="preserve"> </w:t>
      </w:r>
      <w:r>
        <w:t xml:space="preserve">without new equipment, and that both measures act on the same mechanism:</w:t>
      </w:r>
      <w:r>
        <w:t xml:space="preserve"> </w:t>
      </w:r>
      <w:r>
        <w:t xml:space="preserve">they reduce the number of GTs that must be online.</w:t>
      </w:r>
    </w:p>
    <w:p>
      <w:pPr>
        <w:pStyle w:val="BodyText"/>
      </w:pPr>
      <w:r>
        <w:t xml:space="preserve">A small GT acts on the other part of the same loss: it does not reduce the</w:t>
      </w:r>
      <w:r>
        <w:t xml:space="preserve"> </w:t>
      </w:r>
      <w:r>
        <w:t xml:space="preserve">number of running units, but the no-load fuel of each one. Because the two</w:t>
      </w:r>
      <w:r>
        <w:t xml:space="preserve"> </w:t>
      </w:r>
      <w:r>
        <w:t xml:space="preserve">measures address different parts of the loss, their savings add up almost</w:t>
      </w:r>
      <w:r>
        <w:t xml:space="preserve"> </w:t>
      </w:r>
      <w:r>
        <w:t xml:space="preserve">fully (Section 3.4). This suggests a staged approach for retrofits: first</w:t>
      </w:r>
      <w:r>
        <w:t xml:space="preserve"> </w:t>
      </w:r>
      <w:r>
        <w:t xml:space="preserve">use the flexibility of the existing process, which requires no investment,</w:t>
      </w:r>
      <w:r>
        <w:t xml:space="preserve"> </w:t>
      </w:r>
      <w:r>
        <w:t xml:space="preserve">and then consider replacing one main GT by a smaller unit at its next major</w:t>
      </w:r>
      <w:r>
        <w:t xml:space="preserve"> </w:t>
      </w:r>
      <w:r>
        <w:t xml:space="preserve">overhaul, where the number of starts of the small unit must be acceptable.</w:t>
      </w:r>
    </w:p>
    <w:bookmarkEnd w:id="63"/>
    <w:bookmarkStart w:id="64" w:name="comparison-with-earlier-studies"/>
    <w:p>
      <w:pPr>
        <w:pStyle w:val="Heading3"/>
      </w:pPr>
      <w:r>
        <w:t xml:space="preserve">4.2 Comparison with earlier studies</w:t>
      </w:r>
    </w:p>
    <w:p>
      <w:pPr>
        <w:pStyle w:val="FirstParagraph"/>
      </w:pPr>
      <w:r>
        <w:t xml:space="preserve">Studies of wind-powered platforms usually report the benefit of wind with</w:t>
      </w:r>
      <w:r>
        <w:t xml:space="preserve"> </w:t>
      </w:r>
      <w:r>
        <w:t xml:space="preserve">fixed demand, which corresponds to case 2. The present results show that</w:t>
      </w:r>
      <w:r>
        <w:t xml:space="preserve"> </w:t>
      </w:r>
      <w:r>
        <w:t xml:space="preserve">this case underestimates what the same wind farm can achieve: with fixed</w:t>
      </w:r>
      <w:r>
        <w:t xml:space="preserve"> </w:t>
      </w:r>
      <w:r>
        <w:t xml:space="preserve">demand, the emissions of the wind-powered platform are 12 % higher than when</w:t>
      </w:r>
      <w:r>
        <w:t xml:space="preserve"> </w:t>
      </w:r>
      <w:r>
        <w:t xml:space="preserve">the same platform schedules its flexible loads. The CO2 avoided per MWh of wind, a</w:t>
      </w:r>
      <w:r>
        <w:t xml:space="preserve"> </w:t>
      </w:r>
      <w:r>
        <w:t xml:space="preserve">common metric for wind integration, rises from 0.71 t/MWh in case 2 to</w:t>
      </w:r>
      <w:r>
        <w:t xml:space="preserve"> </w:t>
      </w:r>
      <w:r>
        <w:t xml:space="preserve">0.74 t/MWh in case 3 and is 0.51 t/MWh if two GTs are kept online. Published</w:t>
      </w:r>
      <w:r>
        <w:t xml:space="preserve"> </w:t>
      </w:r>
      <w:r>
        <w:t xml:space="preserve">values for different platforms are therefore comparable only if the</w:t>
      </w:r>
      <w:r>
        <w:t xml:space="preserve"> </w:t>
      </w:r>
      <w:r>
        <w:t xml:space="preserve">operating practice of the GTs is stated.</w:t>
      </w:r>
    </w:p>
    <w:p>
      <w:pPr>
        <w:pStyle w:val="BodyText"/>
      </w:pPr>
      <w:r>
        <w:t xml:space="preserve">Riboldi and Nord [7] found that the economic case for integrating</w:t>
      </w:r>
      <w:r>
        <w:t xml:space="preserve"> </w:t>
      </w:r>
      <w:r>
        <w:t xml:space="preserve">wind depends on gas and CO2 prices. Demand flexibility behaves differently:</w:t>
      </w:r>
      <w:r>
        <w:t xml:space="preserve"> </w:t>
      </w:r>
      <w:r>
        <w:t xml:space="preserve">it requires no investment in power generation, its schedule does not depend</w:t>
      </w:r>
      <w:r>
        <w:t xml:space="preserve"> </w:t>
      </w:r>
      <w:r>
        <w:t xml:space="preserve">on prices, and the fuel it saves is worth about 1,800 NOK per tonne of CO2</w:t>
      </w:r>
      <w:r>
        <w:t xml:space="preserve"> </w:t>
      </w:r>
      <w:r>
        <w:t xml:space="preserve">avoided at the base-case gas price alone. It therefore pays for itself</w:t>
      </w:r>
      <w:r>
        <w:t xml:space="preserve"> </w:t>
      </w:r>
      <w:r>
        <w:t xml:space="preserve">without a carbon price, which makes it attractive also in regions where</w:t>
      </w:r>
      <w:r>
        <w:t xml:space="preserve"> </w:t>
      </w:r>
      <w:r>
        <w:t xml:space="preserve">emissions are not priced. The wind farm, in contrast, needs a CO2 price of</w:t>
      </w:r>
      <w:r>
        <w:t xml:space="preserve"> </w:t>
      </w:r>
      <w:r>
        <w:t xml:space="preserve">about 1,800–2,500 NOK/t to break even at a 7 % discount rate, the same order</w:t>
      </w:r>
      <w:r>
        <w:t xml:space="preserve"> </w:t>
      </w:r>
      <w:r>
        <w:t xml:space="preserve">as power from shore [3,35], and flexibility lowers this</w:t>
      </w:r>
      <w:r>
        <w:t xml:space="preserve"> </w:t>
      </w:r>
      <w:r>
        <w:t xml:space="preserve">threshold by about 400 NOK/t. Power from shore and wind both require large</w:t>
      </w:r>
      <w:r>
        <w:t xml:space="preserve"> </w:t>
      </w:r>
      <w:r>
        <w:t xml:space="preserve">investments, whereas the flexibility studied here requires mainly a change</w:t>
      </w:r>
      <w:r>
        <w:t xml:space="preserve"> </w:t>
      </w:r>
      <w:r>
        <w:t xml:space="preserve">in operation.</w:t>
      </w:r>
    </w:p>
    <w:p>
      <w:pPr>
        <w:pStyle w:val="BodyText"/>
      </w:pPr>
      <w:r>
        <w:t xml:space="preserve">Demand-side management in onshore industry is usually motivated by</w:t>
      </w:r>
      <w:r>
        <w:t xml:space="preserve"> </w:t>
      </w:r>
      <w:r>
        <w:t xml:space="preserve">electricity prices [14,15]. On an off-grid</w:t>
      </w:r>
      <w:r>
        <w:t xml:space="preserve"> </w:t>
      </w:r>
      <w:r>
        <w:t xml:space="preserve">platform, the value of moving a load comes instead from the discrete</w:t>
      </w:r>
      <w:r>
        <w:t xml:space="preserve"> </w:t>
      </w:r>
      <w:r>
        <w:t xml:space="preserve">decisions of the platform’s own power plant: whether a GT must be started</w:t>
      </w:r>
      <w:r>
        <w:t xml:space="preserve"> </w:t>
      </w:r>
      <w:r>
        <w:t xml:space="preserve">or can be stopped. This makes the value of flexibility strongly</w:t>
      </w:r>
      <w:r>
        <w:t xml:space="preserve"> </w:t>
      </w:r>
      <w:r>
        <w:t xml:space="preserve">state-dependent, and it is why an hourly unit commitment model, rather than</w:t>
      </w:r>
      <w:r>
        <w:t xml:space="preserve"> </w:t>
      </w:r>
      <w:r>
        <w:t xml:space="preserve">a model of energy shifting alone, is needed to estimate it.</w:t>
      </w:r>
    </w:p>
    <w:bookmarkEnd w:id="64"/>
    <w:bookmarkStart w:id="65" w:name="practical-implementation"/>
    <w:p>
      <w:pPr>
        <w:pStyle w:val="Heading3"/>
      </w:pPr>
      <w:r>
        <w:t xml:space="preserve">4.3 Practical implementation</w:t>
      </w:r>
    </w:p>
    <w:p>
      <w:pPr>
        <w:pStyle w:val="FirstParagraph"/>
      </w:pPr>
      <w:r>
        <w:t xml:space="preserve">Three implications follow for operators. First, the flexibility already</w:t>
      </w:r>
      <w:r>
        <w:t xml:space="preserve"> </w:t>
      </w:r>
      <w:r>
        <w:t xml:space="preserve">exists on most oil platforms with water injection and can be used without</w:t>
      </w:r>
      <w:r>
        <w:t xml:space="preserve"> </w:t>
      </w:r>
      <w:r>
        <w:t xml:space="preserve">new equipment. It does, however, require the power management system to</w:t>
      </w:r>
      <w:r>
        <w:t xml:space="preserve"> </w:t>
      </w:r>
      <w:r>
        <w:t xml:space="preserve">coordinate injection with the GTs and the wind forecast, which today are</w:t>
      </w:r>
      <w:r>
        <w:t xml:space="preserve"> </w:t>
      </w:r>
      <w:r>
        <w:t xml:space="preserve">usually controlled separately. Second, the reservoir requirement is modest:</w:t>
      </w:r>
      <w:r>
        <w:t xml:space="preserve"> </w:t>
      </w:r>
      <w:r>
        <w:t xml:space="preserve">about 24 h of injection deferral, averaging 9.0 h, is small compared with the</w:t>
      </w:r>
      <w:r>
        <w:t xml:space="preserve"> </w:t>
      </w:r>
      <w:r>
        <w:t xml:space="preserve">time scale of reservoir pressure support, which is managed on the basis of</w:t>
      </w:r>
      <w:r>
        <w:t xml:space="preserve"> </w:t>
      </w:r>
      <w:r>
        <w:t xml:space="preserve">cumulative voidage replacement over months. It should nevertheless be</w:t>
      </w:r>
      <w:r>
        <w:t xml:space="preserve"> </w:t>
      </w:r>
      <w:r>
        <w:t xml:space="preserve">confirmed with reservoir engineers for each field, because some reservoirs,</w:t>
      </w:r>
      <w:r>
        <w:t xml:space="preserve"> </w:t>
      </w:r>
      <w:r>
        <w:t xml:space="preserve">for example those close to the bubble point, may be sensitive to short</w:t>
      </w:r>
      <w:r>
        <w:t xml:space="preserve"> </w:t>
      </w:r>
      <w:r>
        <w:t xml:space="preserve">pressure drops. Third, the schedule changes the duty of the injection pumps.</w:t>
      </w:r>
      <w:r>
        <w:t xml:space="preserve"> </w:t>
      </w:r>
      <w:r>
        <w:t xml:space="preserve">In case 3 the number of running injection pumps changes about 730 times per</w:t>
      </w:r>
      <w:r>
        <w:t xml:space="preserve"> </w:t>
      </w:r>
      <w:r>
        <w:t xml:space="preserve">year, or about two pump starts per day. The model does not penalise pump</w:t>
      </w:r>
      <w:r>
        <w:t xml:space="preserve"> </w:t>
      </w:r>
      <w:r>
        <w:t xml:space="preserve">starts; a start cost or a minimum run time for the pumps could be added at</w:t>
      </w:r>
      <w:r>
        <w:t xml:space="preserve"> </w:t>
      </w:r>
      <w:r>
        <w:t xml:space="preserve">little cost to the saving, since the deficit limit is rarely active.</w:t>
      </w:r>
    </w:p>
    <w:p>
      <w:pPr>
        <w:pStyle w:val="BodyText"/>
      </w:pPr>
      <w:r>
        <w:t xml:space="preserve">The result does not depend on the carbon price, because the fuel saved has</w:t>
      </w:r>
      <w:r>
        <w:t xml:space="preserve"> </w:t>
      </w:r>
      <w:r>
        <w:t xml:space="preserve">value on its own. Operating practice, and in particular how many GTs must be</w:t>
      </w:r>
      <w:r>
        <w:t xml:space="preserve"> </w:t>
      </w:r>
      <w:r>
        <w:t xml:space="preserve">online and what counts as reserve, has a larger effect on emissions than any</w:t>
      </w:r>
      <w:r>
        <w:t xml:space="preserve"> </w:t>
      </w:r>
      <w:r>
        <w:t xml:space="preserve">price or the battery size. Rules that keep two GTs online for redundancy</w:t>
      </w:r>
      <w:r>
        <w:t xml:space="preserve"> </w:t>
      </w:r>
      <w:r>
        <w:t xml:space="preserve">increase emissions by 40–50 % compared with the optimised schedules, and</w:t>
      </w:r>
      <w:r>
        <w:t xml:space="preserve"> </w:t>
      </w:r>
      <w:r>
        <w:t xml:space="preserve">they remove most of the value of flexibility. Such rules are set for good</w:t>
      </w:r>
      <w:r>
        <w:t xml:space="preserve"> </w:t>
      </w:r>
      <w:r>
        <w:t xml:space="preserve">reasons of safety and regularity, but the results suggest that they deserve</w:t>
      </w:r>
      <w:r>
        <w:t xml:space="preserve"> </w:t>
      </w:r>
      <w:r>
        <w:t xml:space="preserve">the same attention as the choice of wind farm when emissions are to be</w:t>
      </w:r>
      <w:r>
        <w:t xml:space="preserve"> </w:t>
      </w:r>
      <w:r>
        <w:t xml:space="preserve">reduced, and that technologies that can provide reserve and stability</w:t>
      </w:r>
      <w:r>
        <w:t xml:space="preserve"> </w:t>
      </w:r>
      <w:r>
        <w:t xml:space="preserve">without a running GT, such as grid-forming batteries, are the next step after</w:t>
      </w:r>
      <w:r>
        <w:t xml:space="preserve"> </w:t>
      </w:r>
      <w:r>
        <w:t xml:space="preserve">demand flexibility.</w:t>
      </w:r>
    </w:p>
    <w:p>
      <w:pPr>
        <w:pStyle w:val="BodyText"/>
      </w:pPr>
      <w:r>
        <w:t xml:space="preserve">The approach can be transferred to other installations. A platform benefits</w:t>
      </w:r>
      <w:r>
        <w:t xml:space="preserve"> </w:t>
      </w:r>
      <w:r>
        <w:t xml:space="preserve">most from load flexibility when it has a large deferrable consumer, when its</w:t>
      </w:r>
      <w:r>
        <w:t xml:space="preserve"> </w:t>
      </w:r>
      <w:r>
        <w:t xml:space="preserve">average demand lies close to the capacity of one GT minus the reserve, and</w:t>
      </w:r>
      <w:r>
        <w:t xml:space="preserve"> </w:t>
      </w:r>
      <w:r>
        <w:t xml:space="preserve">when its wind supply is of the same order as its demand. Gas compression on</w:t>
      </w:r>
      <w:r>
        <w:t xml:space="preserve"> </w:t>
      </w:r>
      <w:r>
        <w:t xml:space="preserve">gas export platforms, electric heating, and the regeneration of glycol or</w:t>
      </w:r>
      <w:r>
        <w:t xml:space="preserve"> </w:t>
      </w:r>
      <w:r>
        <w:t xml:space="preserve">other process chemicals are candidates for deferrable loads on other types</w:t>
      </w:r>
      <w:r>
        <w:t xml:space="preserve"> </w:t>
      </w:r>
      <w:r>
        <w:t xml:space="preserve">of installation, provided that buffer storage, such as line pack or tank</w:t>
      </w:r>
      <w:r>
        <w:t xml:space="preserve"> </w:t>
      </w:r>
      <w:r>
        <w:t xml:space="preserve">volume, is available.</w:t>
      </w:r>
    </w:p>
    <w:bookmarkEnd w:id="65"/>
    <w:bookmarkStart w:id="66" w:name="robustness-of-the-conclusions"/>
    <w:p>
      <w:pPr>
        <w:pStyle w:val="Heading3"/>
      </w:pPr>
      <w:r>
        <w:t xml:space="preserve">4.4 Robustness of the conclusions</w:t>
      </w:r>
    </w:p>
    <w:p>
      <w:pPr>
        <w:pStyle w:val="FirstParagraph"/>
      </w:pPr>
      <w:r>
        <w:t xml:space="preserve">The size of the saving depends on assumptions that were not all varied, and</w:t>
      </w:r>
      <w:r>
        <w:t xml:space="preserve"> </w:t>
      </w:r>
      <w:r>
        <w:t xml:space="preserve">it is useful to consider how they act through the mechanism identified</w:t>
      </w:r>
      <w:r>
        <w:t xml:space="preserve"> </w:t>
      </w:r>
      <w:r>
        <w:t xml:space="preserve">above. The decisive quantity is the number of hours in which, with fixed</w:t>
      </w:r>
      <w:r>
        <w:t xml:space="preserve"> </w:t>
      </w:r>
      <w:r>
        <w:t xml:space="preserve">demand, the platform needs one GT more than its load requires. This number</w:t>
      </w:r>
      <w:r>
        <w:t xml:space="preserve"> </w:t>
      </w:r>
      <w:r>
        <w:t xml:space="preserve">grows with the reserve requirement, with the average demand relative to</w:t>
      </w:r>
      <w:r>
        <w:t xml:space="preserve"> </w:t>
      </w:r>
      <w:r>
        <w:t xml:space="preserve">the capacity of one GT, and with the time the wind spends just below the</w:t>
      </w:r>
      <w:r>
        <w:t xml:space="preserve"> </w:t>
      </w:r>
      <w:r>
        <w:t xml:space="preserve">demand. A larger reserve than the 5 MW used here, or a platform whose</w:t>
      </w:r>
      <w:r>
        <w:t xml:space="preserve"> </w:t>
      </w:r>
      <w:r>
        <w:t xml:space="preserve">demand lies closer to the rating of one GT, would therefore increase the</w:t>
      </w:r>
      <w:r>
        <w:t xml:space="preserve"> </w:t>
      </w:r>
      <w:r>
        <w:t xml:space="preserve">value of flexibility, while a platform with much spare GT capacity, or a</w:t>
      </w:r>
      <w:r>
        <w:t xml:space="preserve"> </w:t>
      </w:r>
      <w:r>
        <w:t xml:space="preserve">wind farm much larger than the demand, would reduce it, as the wind farm</w:t>
      </w:r>
      <w:r>
        <w:t xml:space="preserve"> </w:t>
      </w:r>
      <w:r>
        <w:t xml:space="preserve">sensitivity confirms.</w:t>
      </w:r>
    </w:p>
    <w:p>
      <w:pPr>
        <w:pStyle w:val="BodyText"/>
      </w:pPr>
      <w:r>
        <w:t xml:space="preserve">The flexible load itself matters less than its size suggests. Injection is</w:t>
      </w:r>
      <w:r>
        <w:t xml:space="preserve"> </w:t>
      </w:r>
      <w:r>
        <w:t xml:space="preserve">deferred by stopping whole pumps, so the assumed minimum flow of the pumps</w:t>
      </w:r>
      <w:r>
        <w:t xml:space="preserve"> </w:t>
      </w:r>
      <w:r>
        <w:t xml:space="preserve">affects the cost of running one pump at low rate but hardly the saving,</w:t>
      </w:r>
      <w:r>
        <w:t xml:space="preserve"> </w:t>
      </w:r>
      <w:r>
        <w:t xml:space="preserve">which comes from the hours in which injection is cut. A lower injection</w:t>
      </w:r>
      <w:r>
        <w:t xml:space="preserve"> </w:t>
      </w:r>
      <w:r>
        <w:t xml:space="preserve">target would leave more room above the target for catching up, and a higher</w:t>
      </w:r>
      <w:r>
        <w:t xml:space="preserve"> </w:t>
      </w:r>
      <w:r>
        <w:t xml:space="preserve">target less; at the extreme of a 100 % target, deferred injection could</w:t>
      </w:r>
      <w:r>
        <w:t xml:space="preserve"> </w:t>
      </w:r>
      <w:r>
        <w:t xml:space="preserve">never be caught up and flexibility would be lost. The heat balance was never</w:t>
      </w:r>
      <w:r>
        <w:t xml:space="preserve"> </w:t>
      </w:r>
      <w:r>
        <w:t xml:space="preserve">binding in the base cases: the electric heater was not used, because the</w:t>
      </w:r>
      <w:r>
        <w:t xml:space="preserve"> </w:t>
      </w:r>
      <w:r>
        <w:t xml:space="preserve">waste heat of the running GT always covered the 3 MW demand. Platforms with</w:t>
      </w:r>
      <w:r>
        <w:t xml:space="preserve"> </w:t>
      </w:r>
      <w:r>
        <w:t xml:space="preserve">a higher heat demand, or with heat supplied by the GTs that are to be</w:t>
      </w:r>
      <w:r>
        <w:t xml:space="preserve"> </w:t>
      </w:r>
      <w:r>
        <w:t xml:space="preserve">stopped, would see a smaller saving unless the heat can also be scheduled.</w:t>
      </w:r>
    </w:p>
    <w:p>
      <w:pPr>
        <w:pStyle w:val="BodyText"/>
      </w:pPr>
      <w:r>
        <w:t xml:space="preserve">The conclusion that production should never be shed is robust. The value of</w:t>
      </w:r>
      <w:r>
        <w:t xml:space="preserve"> </w:t>
      </w:r>
      <w:r>
        <w:t xml:space="preserve">lost oil and gas exceeds the value of the fuel saved by about two orders of</w:t>
      </w:r>
      <w:r>
        <w:t xml:space="preserve"> </w:t>
      </w:r>
      <w:r>
        <w:t xml:space="preserve">magnitude, so even large changes in prices or efficiencies would not change</w:t>
      </w:r>
      <w:r>
        <w:t xml:space="preserve"> </w:t>
      </w:r>
      <w:r>
        <w:t xml:space="preserve">it.</w:t>
      </w:r>
    </w:p>
    <w:bookmarkEnd w:id="66"/>
    <w:bookmarkStart w:id="67" w:name="limitations-and-future-work"/>
    <w:p>
      <w:pPr>
        <w:pStyle w:val="Heading3"/>
      </w:pPr>
      <w:r>
        <w:t xml:space="preserve">4.5 Limitations and future work</w:t>
      </w:r>
    </w:p>
    <w:p>
      <w:pPr>
        <w:pStyle w:val="FirstParagraph"/>
      </w:pPr>
      <w:r>
        <w:t xml:space="preserve">The platform is generic. Its fluid composition, minimum-flow limits,</w:t>
      </w:r>
      <w:r>
        <w:t xml:space="preserve"> </w:t>
      </w:r>
      <w:r>
        <w:t xml:space="preserve">injection target and deficit limit are assumptions, although the</w:t>
      </w:r>
      <w:r>
        <w:t xml:space="preserve"> </w:t>
      </w:r>
      <w:r>
        <w:t xml:space="preserve">sensitivity analysis shows that the result is robust to the deficit limit,</w:t>
      </w:r>
      <w:r>
        <w:t xml:space="preserve"> </w:t>
      </w:r>
      <w:r>
        <w:t xml:space="preserve">the prices and the battery size. The process is represented by steady</w:t>
      </w:r>
      <w:r>
        <w:t xml:space="preserve"> </w:t>
      </w:r>
      <w:r>
        <w:t xml:space="preserve">states: transient compressor behaviour, the start-up times of pumps and GTs</w:t>
      </w:r>
      <w:r>
        <w:t xml:space="preserve"> </w:t>
      </w:r>
      <w:r>
        <w:t xml:space="preserve">beyond the start cost, and the reservoir response to deferred injection are</w:t>
      </w:r>
      <w:r>
        <w:t xml:space="preserve"> </w:t>
      </w:r>
      <w:r>
        <w:t xml:space="preserve">not modelled. The scheduler has perfect foresight of wind within each week,</w:t>
      </w:r>
      <w:r>
        <w:t xml:space="preserve"> </w:t>
      </w:r>
      <w:r>
        <w:t xml:space="preserve">so the savings are an upper bound for real operation with forecast errors;</w:t>
      </w:r>
      <w:r>
        <w:t xml:space="preserve"> </w:t>
      </w:r>
      <w:r>
        <w:t xml:space="preserve">because the deficit limit is rarely active, a forecast-based schedule with a</w:t>
      </w:r>
      <w:r>
        <w:t xml:space="preserve"> </w:t>
      </w:r>
      <w:r>
        <w:t xml:space="preserve">safety margin on the deficit is expected to retain most of the saving. The</w:t>
      </w:r>
      <w:r>
        <w:t xml:space="preserve"> </w:t>
      </w:r>
      <w:r>
        <w:t xml:space="preserve">analysis covers one weather year and a single platform without power import</w:t>
      </w:r>
      <w:r>
        <w:t xml:space="preserve"> </w:t>
      </w:r>
      <w:r>
        <w:t xml:space="preserve">or export. The economic indicators rest on the cost of one first-of-a-kind</w:t>
      </w:r>
      <w:r>
        <w:t xml:space="preserve"> </w:t>
      </w:r>
      <w:r>
        <w:t xml:space="preserve">floating wind farm and do not include the cost of implementing flexibility,</w:t>
      </w:r>
      <w:r>
        <w:t xml:space="preserve"> </w:t>
      </w:r>
      <w:r>
        <w:t xml:space="preserve">the battery or the small GT on an existing platform, for which break-even</w:t>
      </w:r>
      <w:r>
        <w:t xml:space="preserve"> </w:t>
      </w:r>
      <w:r>
        <w:t xml:space="preserve">values are given instead. Finally, the small GT</w:t>
      </w:r>
      <w:r>
        <w:t xml:space="preserve"> </w:t>
      </w:r>
      <w:r>
        <w:t xml:space="preserve">in the fleet sensitivity is given the same relative part-load curve as the</w:t>
      </w:r>
      <w:r>
        <w:t xml:space="preserve"> </w:t>
      </w:r>
      <w:r>
        <w:t xml:space="preserve">main units, because its manufacturer publishes only the full-load rating.</w:t>
      </w:r>
    </w:p>
    <w:p>
      <w:pPr>
        <w:pStyle w:val="BodyText"/>
      </w:pPr>
      <w:r>
        <w:t xml:space="preserve">Future work should test the approach with wind forecast errors and several</w:t>
      </w:r>
      <w:r>
        <w:t xml:space="preserve"> </w:t>
      </w:r>
      <w:r>
        <w:t xml:space="preserve">weather years, add pump start costs and a reservoir model for the injection</w:t>
      </w:r>
      <w:r>
        <w:t xml:space="preserve"> </w:t>
      </w:r>
      <w:r>
        <w:t xml:space="preserve">deficit, and apply it to real platform data. Combining load flexibility with</w:t>
      </w:r>
      <w:r>
        <w:t xml:space="preserve"> </w:t>
      </w:r>
      <w:r>
        <w:t xml:space="preserve">grid-forming storage, and evaluating the investment cost of the whole system,</w:t>
      </w:r>
      <w:r>
        <w:t xml:space="preserve"> </w:t>
      </w:r>
      <w:r>
        <w:t xml:space="preserve">would show how far an off-grid platform can be decarbonised before power from</w:t>
      </w:r>
      <w:r>
        <w:t xml:space="preserve"> </w:t>
      </w:r>
      <w:r>
        <w:t xml:space="preserve">shore becomes necessary.</w:t>
      </w:r>
    </w:p>
    <w:bookmarkEnd w:id="67"/>
    <w:bookmarkEnd w:id="68"/>
    <w:bookmarkStart w:id="69" w:name="conclusions"/>
    <w:p>
      <w:pPr>
        <w:pStyle w:val="Heading2"/>
      </w:pPr>
      <w:r>
        <w:t xml:space="preserve">5 Conclusions</w:t>
      </w:r>
    </w:p>
    <w:p>
      <w:pPr>
        <w:pStyle w:val="FirstParagraph"/>
      </w:pPr>
      <w:r>
        <w:t xml:space="preserve">This paper mapped the electric demand of a generic North Sea oil platform</w:t>
      </w:r>
      <w:r>
        <w:t xml:space="preserve"> </w:t>
      </w:r>
      <w:r>
        <w:t xml:space="preserve">from a process model, classified the consumers by flexibility, and scheduled</w:t>
      </w:r>
      <w:r>
        <w:t xml:space="preserve"> </w:t>
      </w:r>
      <w:r>
        <w:t xml:space="preserve">them together with the gas turbines and a wind farm for one year at hourly</w:t>
      </w:r>
      <w:r>
        <w:t xml:space="preserve"> </w:t>
      </w:r>
      <w:r>
        <w:t xml:space="preserve">resolution. The main conclusions are:</w:t>
      </w:r>
    </w:p>
    <w:p>
      <w:pPr>
        <w:numPr>
          <w:ilvl w:val="0"/>
          <w:numId w:val="1007"/>
        </w:numPr>
        <w:pStyle w:val="Compact"/>
      </w:pPr>
      <w:r>
        <w:t xml:space="preserve">A 30 MW wind farm halves the CO2 emissions of the 20 MW platform (−49 %)</w:t>
      </w:r>
      <w:r>
        <w:t xml:space="preserve"> </w:t>
      </w:r>
      <w:r>
        <w:t xml:space="preserve">with fixed demand.</w:t>
      </w:r>
    </w:p>
    <w:p>
      <w:pPr>
        <w:numPr>
          <w:ilvl w:val="0"/>
          <w:numId w:val="1007"/>
        </w:numPr>
        <w:pStyle w:val="Compact"/>
      </w:pPr>
      <w:r>
        <w:t xml:space="preserve">Scheduling flexible topside consumers reduces emissions by a further 11 %</w:t>
      </w:r>
      <w:r>
        <w:t xml:space="preserve"> </w:t>
      </w:r>
      <w:r>
        <w:t xml:space="preserve">(7.2 kt/yr) without lost production. GT low-load hours fall by 34 % and</w:t>
      </w:r>
      <w:r>
        <w:t xml:space="preserve"> </w:t>
      </w:r>
      <w:r>
        <w:t xml:space="preserve">GT starts nearly disappear.</w:t>
      </w:r>
    </w:p>
    <w:p>
      <w:pPr>
        <w:numPr>
          <w:ilvl w:val="0"/>
          <w:numId w:val="1007"/>
        </w:numPr>
        <w:pStyle w:val="Compact"/>
      </w:pPr>
      <w:r>
        <w:t xml:space="preserve">Water injection provides all of the useful flexibility; shedding</w:t>
      </w:r>
      <w:r>
        <w:t xml:space="preserve"> </w:t>
      </w:r>
      <w:r>
        <w:t xml:space="preserve">production is never worthwhile. A deferral capacity of about 24 h of</w:t>
      </w:r>
      <w:r>
        <w:t xml:space="preserve"> </w:t>
      </w:r>
      <w:r>
        <w:t xml:space="preserve">injection is enough.</w:t>
      </w:r>
    </w:p>
    <w:p>
      <w:pPr>
        <w:numPr>
          <w:ilvl w:val="0"/>
          <w:numId w:val="1007"/>
        </w:numPr>
        <w:pStyle w:val="Compact"/>
      </w:pPr>
      <w:r>
        <w:t xml:space="preserve">The saving comes from avoiding a second running gas turbine, not from</w:t>
      </w:r>
      <w:r>
        <w:t xml:space="preserve"> </w:t>
      </w:r>
      <w:r>
        <w:t xml:space="preserve">shifting energy. It therefore depends on operating practice: keeping two</w:t>
      </w:r>
      <w:r>
        <w:t xml:space="preserve"> </w:t>
      </w:r>
      <w:r>
        <w:t xml:space="preserve">GTs online removes most of it, while allowing all GTs to stop, with a</w:t>
      </w:r>
      <w:r>
        <w:t xml:space="preserve"> </w:t>
      </w:r>
      <w:r>
        <w:t xml:space="preserve">battery providing reserve, would reduce emissions by a further third.</w:t>
      </w:r>
    </w:p>
    <w:p>
      <w:pPr>
        <w:numPr>
          <w:ilvl w:val="0"/>
          <w:numId w:val="1007"/>
        </w:numPr>
        <w:pStyle w:val="Compact"/>
      </w:pPr>
      <w:r>
        <w:t xml:space="preserve">Replacing one main GT by a small unit (11.35 MW) saves a further 17 %,</w:t>
      </w:r>
      <w:r>
        <w:t xml:space="preserve"> </w:t>
      </w:r>
      <w:r>
        <w:t xml:space="preserve">and the saving of flexibility remains 11 % with the small unit installed;</w:t>
      </w:r>
      <w:r>
        <w:t xml:space="preserve"> </w:t>
      </w:r>
      <w:r>
        <w:t xml:space="preserve">the two measures are complementary.</w:t>
      </w:r>
    </w:p>
    <w:p>
      <w:pPr>
        <w:numPr>
          <w:ilvl w:val="0"/>
          <w:numId w:val="1007"/>
        </w:numPr>
        <w:pStyle w:val="Compact"/>
      </w:pPr>
      <w:r>
        <w:t xml:space="preserve">Carbon price, gas price and battery size alone have little effect, and</w:t>
      </w:r>
      <w:r>
        <w:t xml:space="preserve"> </w:t>
      </w:r>
      <w:r>
        <w:t xml:space="preserve">the fuel saved pays for the measure without a carbon price: flexibility</w:t>
      </w:r>
      <w:r>
        <w:t xml:space="preserve"> </w:t>
      </w:r>
      <w:r>
        <w:t xml:space="preserve">breaks even for an implementation cost up to 137 MNOK, and it lowers the</w:t>
      </w:r>
      <w:r>
        <w:t xml:space="preserve"> </w:t>
      </w:r>
      <w:r>
        <w:t xml:space="preserve">abatement cost of the wind farm from 2,180–2,519 to 1,774–2,078 NOK/t.</w:t>
      </w:r>
    </w:p>
    <w:p>
      <w:pPr>
        <w:numPr>
          <w:ilvl w:val="0"/>
          <w:numId w:val="1007"/>
        </w:numPr>
        <w:pStyle w:val="Compact"/>
      </w:pPr>
      <w:r>
        <w:t xml:space="preserve">The model reproduces the CO2 avoided per MWh of wind reported for Hywind</w:t>
      </w:r>
      <w:r>
        <w:t xml:space="preserve"> </w:t>
      </w:r>
      <w:r>
        <w:t xml:space="preserve">Tampen within 2 %, and the fuel gas emission factor observed at Gullfaks.</w:t>
      </w:r>
    </w:p>
    <w:p>
      <w:pPr>
        <w:pStyle w:val="FirstParagraph"/>
      </w:pPr>
      <w:r>
        <w:t xml:space="preserve">Load flexibility is thus a low-cost first step for reducing emissions from</w:t>
      </w:r>
      <w:r>
        <w:t xml:space="preserve"> </w:t>
      </w:r>
      <w:r>
        <w:t xml:space="preserve">wind-powered platforms, which can be implemented on existing installations</w:t>
      </w:r>
      <w:r>
        <w:t xml:space="preserve"> </w:t>
      </w:r>
      <w:r>
        <w:t xml:space="preserve">and which complements storage and grid-forming technologies.</w:t>
      </w:r>
    </w:p>
    <w:bookmarkEnd w:id="69"/>
    <w:bookmarkStart w:id="70" w:name="declarations"/>
    <w:p>
      <w:pPr>
        <w:pStyle w:val="Heading2"/>
      </w:pPr>
      <w:r>
        <w:t xml:space="preserve">Declarations</w:t>
      </w:r>
    </w:p>
    <w:p>
      <w:pPr>
        <w:pStyle w:val="FirstParagraph"/>
      </w:pPr>
      <w:r>
        <w:rPr>
          <w:bCs/>
          <w:b/>
        </w:rPr>
        <w:t xml:space="preserve">CRediT authorship contribution statement.</w:t>
      </w:r>
      <w:r>
        <w:t xml:space="preserve"> </w:t>
      </w:r>
      <w:r>
        <w:t xml:space="preserve">[Author 1]: Conceptualization,</w:t>
      </w:r>
      <w:r>
        <w:t xml:space="preserve"> </w:t>
      </w:r>
      <w:r>
        <w:t xml:space="preserve">Methodology, Software, Formal analysis, Writing – original draft. [Author 2]:</w:t>
      </w:r>
      <w:r>
        <w:t xml:space="preserve"> </w:t>
      </w:r>
      <w:r>
        <w:t xml:space="preserve">Supervision, Writing – review &amp; editing.</w:t>
      </w:r>
    </w:p>
    <w:p>
      <w:pPr>
        <w:pStyle w:val="BodyText"/>
      </w:pPr>
      <w:r>
        <w:rPr>
          <w:bCs/>
          <w:b/>
        </w:rPr>
        <w:t xml:space="preserve">Declaration of competing interest.</w:t>
      </w:r>
      <w:r>
        <w:t xml:space="preserve"> </w:t>
      </w:r>
      <w:r>
        <w:t xml:space="preserve">The authors declare that they have no</w:t>
      </w:r>
      <w:r>
        <w:t xml:space="preserve"> </w:t>
      </w:r>
      <w:r>
        <w:t xml:space="preserve">known competing financial interests or personal relationships that could</w:t>
      </w:r>
      <w:r>
        <w:t xml:space="preserve"> </w:t>
      </w:r>
      <w:r>
        <w:t xml:space="preserve">have appeared to influence the work reported in this paper.</w:t>
      </w:r>
    </w:p>
    <w:p>
      <w:pPr>
        <w:pStyle w:val="BodyText"/>
      </w:pPr>
      <w:r>
        <w:rPr>
          <w:bCs/>
          <w:b/>
        </w:rPr>
        <w:t xml:space="preserve">Declaration of generative AI and AI-assisted technologies in the</w:t>
      </w:r>
      <w:r>
        <w:rPr>
          <w:bCs/>
          <w:b/>
        </w:rPr>
        <w:t xml:space="preserve"> </w:t>
      </w:r>
      <w:r>
        <w:rPr>
          <w:bCs/>
          <w:b/>
        </w:rPr>
        <w:t xml:space="preserve">manuscript preparation process.</w:t>
      </w:r>
      <w:r>
        <w:t xml:space="preserve"> </w:t>
      </w:r>
      <w:r>
        <w:t xml:space="preserve">During the preparation of this work the</w:t>
      </w:r>
      <w:r>
        <w:t xml:space="preserve"> </w:t>
      </w:r>
      <w:r>
        <w:t xml:space="preserve">author(s) used [tool name] in order to [purpose]. After using this tool, the</w:t>
      </w:r>
      <w:r>
        <w:t xml:space="preserve"> </w:t>
      </w:r>
      <w:r>
        <w:t xml:space="preserve">author(s) reviewed and edited the content as needed and take(s) full</w:t>
      </w:r>
      <w:r>
        <w:t xml:space="preserve"> </w:t>
      </w:r>
      <w:r>
        <w:t xml:space="preserve">responsibility for the content of the published article.</w:t>
      </w:r>
    </w:p>
    <w:p>
      <w:pPr>
        <w:pStyle w:val="BodyText"/>
      </w:pPr>
      <w:r>
        <w:rPr>
          <w:bCs/>
          <w:b/>
        </w:rPr>
        <w:t xml:space="preserve">Data availability.</w:t>
      </w:r>
      <w:r>
        <w:t xml:space="preserve"> </w:t>
      </w:r>
      <w:r>
        <w:t xml:space="preserve">The model code, configuration with all parameters and</w:t>
      </w:r>
      <w:r>
        <w:t xml:space="preserve"> </w:t>
      </w:r>
      <w:r>
        <w:t xml:space="preserve">sources, and the processed results are available at [repository URL]. ERA5</w:t>
      </w:r>
      <w:r>
        <w:t xml:space="preserve"> </w:t>
      </w:r>
      <w:r>
        <w:t xml:space="preserve">data are available from the Copernicus Climate Change Service.</w:t>
      </w:r>
    </w:p>
    <w:p>
      <w:pPr>
        <w:pStyle w:val="BodyText"/>
      </w:pPr>
      <w:r>
        <w:rPr>
          <w:bCs/>
          <w:b/>
        </w:rPr>
        <w:t xml:space="preserve">Acknowledgements.</w:t>
      </w:r>
      <w:r>
        <w:t xml:space="preserve"> </w:t>
      </w:r>
      <w:r>
        <w:t xml:space="preserve">This work contains modified Copernicus Climate Change</w:t>
      </w:r>
      <w:r>
        <w:t xml:space="preserve"> </w:t>
      </w:r>
      <w:r>
        <w:t xml:space="preserve">Service information (2023). [Funding.]</w:t>
      </w:r>
    </w:p>
    <w:bookmarkEnd w:id="70"/>
    <w:bookmarkStart w:id="71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[1] Offshore Norge. Climate and environmental report 2024. Stavanger: Offshore Norge; 2024.</w:t>
      </w:r>
    </w:p>
    <w:p>
      <w:pPr>
        <w:pStyle w:val="BodyText"/>
      </w:pPr>
      <w:r>
        <w:t xml:space="preserve">[2] Norwegian Ministry of Energy, Norwegian Offshore Directorate. Emissions to air. Norskpetroleum.no. https://www.norskpetroleum.no/en/environment-and-technology/emissions-to-air/ [accessed DATE].</w:t>
      </w:r>
    </w:p>
    <w:p>
      <w:pPr>
        <w:pStyle w:val="BodyText"/>
      </w:pPr>
      <w:r>
        <w:t xml:space="preserve">[3] Norwegian Petroleum Directorate, Norwegian Water Resources and Energy Directorate, Petroleum Safety Authority Norway, Norwegian Environment Agency. Kraft fra land til norsk sokkel [Power from shore to the Norwegian shelf]. Stavanger; 2020.</w:t>
      </w:r>
    </w:p>
    <w:p>
      <w:pPr>
        <w:pStyle w:val="BodyText"/>
      </w:pPr>
      <w:r>
        <w:t xml:space="preserve">[4] Norwegian Offshore Directorate. Power from shore – summary. https://www.sodir.no/en/whats-new/publications/reports/power-from-shore/summary/ [accessed DATE].</w:t>
      </w:r>
    </w:p>
    <w:p>
      <w:pPr>
        <w:pStyle w:val="BodyText"/>
      </w:pPr>
      <w:r>
        <w:t xml:space="preserve">[5] He W, Jacobsen G, Anderson T, Olsen F, Hanson TD, Korpås M, et al. The potential of integrating wind power with offshore oil and gas platforms. Wind Eng 2010;34(2):125–37.</w:t>
      </w:r>
    </w:p>
    <w:p>
      <w:pPr>
        <w:pStyle w:val="BodyText"/>
      </w:pPr>
      <w:r>
        <w:t xml:space="preserve">[6] Marvik JI, Øyslebø EV, Korpås M. Electrification of offshore petroleum installations with offshore wind integration. Renew Energy 2013;50:558–64. https://doi.org/10.1016/j.renene.2012.07.010.</w:t>
      </w:r>
    </w:p>
    <w:p>
      <w:pPr>
        <w:pStyle w:val="BodyText"/>
      </w:pPr>
      <w:r>
        <w:t xml:space="preserve">[7] Riboldi L, Nord LO. Offshore power plants integrating a wind farm: design optimisation and techno-economic assessment based on surrogate modelling. Processes 2018;6(12):249. https://doi.org/10.3390/pr6120249.</w:t>
      </w:r>
    </w:p>
    <w:p>
      <w:pPr>
        <w:pStyle w:val="BodyText"/>
      </w:pPr>
      <w:r>
        <w:t xml:space="preserve">[8] Equinor. The world’s largest floating offshore wind farm officially opened [press release]. 23 August 2023. https://www.equinor.com/news/20230823-hywind-tampen-officially-opened.</w:t>
      </w:r>
    </w:p>
    <w:p>
      <w:pPr>
        <w:pStyle w:val="BodyText"/>
      </w:pPr>
      <w:r>
        <w:t xml:space="preserve">[9] Svendsen HG, Vrana TK, Holdyk A, Schümann H. The Low Emission Oil and Gas Open reference platform – an off-grid energy system for renewable integration studies. IET Energy Syst Integr 2023;5(1):66–79. https://doi.org/10.1049/esi2.12085.</w:t>
      </w:r>
    </w:p>
    <w:p>
      <w:pPr>
        <w:pStyle w:val="BodyText"/>
      </w:pPr>
      <w:r>
        <w:t xml:space="preserve">[10] Nguyen T-V, Pierobon L, Elmegaard B, Haglind F, Breuhaus P, Voldsund M. Exergetic assessment of energy systems on North Sea oil and gas platforms. Energy 2013;62:23–36. https://doi.org/10.1016/j.energy.2013.03.011.</w:t>
      </w:r>
    </w:p>
    <w:p>
      <w:pPr>
        <w:pStyle w:val="BodyText"/>
      </w:pPr>
      <w:r>
        <w:t xml:space="preserve">[11] Svendsen HG. Optimised operation of low-emission offshore oil and gas platform integrated energy systems. arXiv:2202.05072 [preprint]; 2022.</w:t>
      </w:r>
    </w:p>
    <w:p>
      <w:pPr>
        <w:pStyle w:val="BodyText"/>
      </w:pPr>
      <w:r>
        <w:t xml:space="preserve">[12] Zhang H, Tomasgard A, Knudsen BR, Svendsen HG, Bakker SJ, Grossmann IE. Modelling and analysis of offshore energy hubs. Energy 2022;261:125219.</w:t>
      </w:r>
    </w:p>
    <w:p>
      <w:pPr>
        <w:pStyle w:val="BodyText"/>
      </w:pPr>
      <w:r>
        <w:t xml:space="preserve">[13] Khan KS, Sousa ML, Santos GB, Monaro RM, Salles MBC. Flexibility analysis of O&amp;G platform power system with wind energy integration. J Phys Conf Ser 2022;2362:012021. https://doi.org/10.1088/1742-6596/2362/1/012021.</w:t>
      </w:r>
    </w:p>
    <w:p>
      <w:pPr>
        <w:pStyle w:val="BodyText"/>
      </w:pPr>
      <w:r>
        <w:t xml:space="preserve">[14] Zhang Q, Grossmann IE. Enterprise-wide optimization for industrial demand side management: fundamentals, advances, and perspectives. Chem Eng Res Des 2016;116:114–31.</w:t>
      </w:r>
    </w:p>
    <w:p>
      <w:pPr>
        <w:pStyle w:val="BodyText"/>
      </w:pPr>
      <w:r>
        <w:t xml:space="preserve">[15] Golmohamadi H. Demand-side management in industrial sector: a review of heavy industries. Renew Sustain Energy Rev 2022;156:111963.</w:t>
      </w:r>
    </w:p>
    <w:p>
      <w:pPr>
        <w:pStyle w:val="BodyText"/>
      </w:pPr>
      <w:r>
        <w:t xml:space="preserve">[16] Solar Turbines. Mars 100 – oil and gas power generation package: ISO rating 11,350 kWe, heat rate 10,935 kJ/kWe-h. https://www.solarturbines.com/en_US/products/oil-and-gas-power-generation-packages/mars-100.html [accessed 27 October 2026].</w:t>
      </w:r>
    </w:p>
    <w:p>
      <w:pPr>
        <w:pStyle w:val="BodyText"/>
      </w:pPr>
      <w:r>
        <w:t xml:space="preserve">[17] Solbraa E. NeqSim – Non-Equilibrium Simulator, an open-source library for thermodynamic and process calculations. https://github.com/equinor/neqsim.</w:t>
      </w:r>
    </w:p>
    <w:p>
      <w:pPr>
        <w:pStyle w:val="BodyText"/>
      </w:pPr>
      <w:r>
        <w:t xml:space="preserve">[18] Bynum ML, Hackebeil GA, Hart WE, Laird CD, Nicholson BL, Siirola JD, et al. Pyomo – optimization modeling in Python. 3rd ed. Cham: Springer; 2021.</w:t>
      </w:r>
    </w:p>
    <w:p>
      <w:pPr>
        <w:pStyle w:val="BodyText"/>
      </w:pPr>
      <w:r>
        <w:t xml:space="preserve">[19] Huangfu Q, Hall JAJ. Parallelizing the dual revised simplex method. Math Program Comput 2018;10:119–42. https://doi.org/10.1007/s12532-017-0130-5.</w:t>
      </w:r>
    </w:p>
    <w:p>
      <w:pPr>
        <w:pStyle w:val="BodyText"/>
      </w:pPr>
      <w:r>
        <w:t xml:space="preserve">[20] Hersbach H, Bell B, Berrisford P, Hirahara S, Horányi A, Muñoz-Sabater J, et al. The ERA5 global reanalysis. Q J R Meteorol Soc 2020;146:1999–2049. https://doi.org/10.1002/qj.3803.</w:t>
      </w:r>
    </w:p>
    <w:p>
      <w:pPr>
        <w:pStyle w:val="BodyText"/>
      </w:pPr>
      <w:r>
        <w:t xml:space="preserve">[21] Hsu SA, Meindl EA, Gilhousen DB. Determining the power-law wind-profile exponent under near-neutral stability conditions at sea. J Appl Meteorol 1994;33:757–65.</w:t>
      </w:r>
    </w:p>
    <w:p>
      <w:pPr>
        <w:pStyle w:val="BodyText"/>
      </w:pPr>
      <w:r>
        <w:t xml:space="preserve">[22] Gaertner E, Rinker J, Sethuraman L, Zahle F, Anderson B, Barter G, et al. Definition of the IEA 15-megawatt offshore reference wind turbine. Technical Report NREL/TP-5000-75698. Golden, CO: National Renewable Energy Laboratory; 2020.</w:t>
      </w:r>
    </w:p>
    <w:p>
      <w:pPr>
        <w:pStyle w:val="BodyText"/>
      </w:pPr>
      <w:r>
        <w:t xml:space="preserve">[23] ISO 6976:2016. Natural gas – Calculation of calorific values, density, relative density and Wobbe indices from composition. Geneva: International Organization for Standardization; 2016.</w:t>
      </w:r>
    </w:p>
    <w:p>
      <w:pPr>
        <w:pStyle w:val="BodyText"/>
      </w:pPr>
      <w:r>
        <w:t xml:space="preserve">[24] Voldsund M, Nguyen T-V, Elmegaard B, Ertesvåg IS, Røsjorde A, Jøssang K, et al. Exergy destruction and losses on four North Sea offshore platforms: a comparative study of the oil and gas processing plants. Energy 2014;74:45–58. https://doi.org/10.1016/j.energy.2014.02.080.</w:t>
      </w:r>
    </w:p>
    <w:p>
      <w:pPr>
        <w:pStyle w:val="BodyText"/>
      </w:pPr>
      <w:r>
        <w:t xml:space="preserve">[25] Sharqawy MH, Lienhard JH, Zubair SM. Thermophysical properties of seawater: a review of existing correlations and data. Desalin Water Treat 2010;16:354–80. https://doi.org/10.5004/dwt.2010.1079.</w:t>
      </w:r>
    </w:p>
    <w:p>
      <w:pPr>
        <w:pStyle w:val="BodyText"/>
      </w:pPr>
      <w:r>
        <w:t xml:space="preserve">[26] Norwegian Ministry of Climate and Environment. Meld. St. 13 (2020–2021) Klimaplan for 2021–2030 [Climate plan for 2021–2030]. Oslo; 2021.</w:t>
      </w:r>
    </w:p>
    <w:p>
      <w:pPr>
        <w:pStyle w:val="BodyText"/>
      </w:pPr>
      <w:r>
        <w:t xml:space="preserve">[27] Voldsund M, Ertesvåg IS, He W, Kjelstrup S. Exergy analysis of the oil and gas processing on a North Sea oil platform a real production day. Energy 2013;55:716–27. https://doi.org/10.1016/j.energy.2013.02.038.</w:t>
      </w:r>
    </w:p>
    <w:p>
      <w:pPr>
        <w:pStyle w:val="BodyText"/>
      </w:pPr>
      <w:r>
        <w:t xml:space="preserve">[28] Statoil. Johan Castberg – plan for utbygging og drift, del II: konsekvensutredning [Plan for development and operation, part II: impact assessment]. Stavanger: Statoil; 2017.</w:t>
      </w:r>
    </w:p>
    <w:p>
      <w:pPr>
        <w:pStyle w:val="BodyText"/>
      </w:pPr>
      <w:r>
        <w:t xml:space="preserve">[29] Norwegian Offshore Wind. Hywind Tampen capacity factor, first quarter 2025 [news item]. 2025.</w:t>
      </w:r>
    </w:p>
    <w:p>
      <w:pPr>
        <w:pStyle w:val="BodyText"/>
      </w:pPr>
      <w:r>
        <w:t xml:space="preserve">[30] Westwood Global Energy Group. Analysis of electrification and emissions on the Norwegian continental shelf. 2022.</w:t>
      </w:r>
    </w:p>
    <w:p>
      <w:pPr>
        <w:pStyle w:val="BodyText"/>
      </w:pPr>
      <w:r>
        <w:t xml:space="preserve">[31] Norwegian Environment Agency. Norskeutslipp – emissions from Gullfaks, Snorre and Statfjord, 2021–2024. https://www.norskeutslipp.no [accessed DATE].</w:t>
      </w:r>
    </w:p>
    <w:p>
      <w:pPr>
        <w:pStyle w:val="BodyText"/>
      </w:pPr>
      <w:r>
        <w:t xml:space="preserve">[32] Norwegian Offshore Directorate. FactPages – field production, yearly. https://factpages.sodir.no [accessed DATE].</w:t>
      </w:r>
    </w:p>
    <w:p>
      <w:pPr>
        <w:pStyle w:val="BodyText"/>
      </w:pPr>
      <w:r>
        <w:t xml:space="preserve">[33] Dighe VV, Huang L-J, Hernandez Montfort J, Serraris J-J. Improving O&amp;M simulations by integrating vessel motions for floating wind farms. J Mar Sci Eng 2024;12(11):1948. https://doi.org/10.3390/jmse12111948.</w:t>
      </w:r>
    </w:p>
    <w:p>
      <w:pPr>
        <w:pStyle w:val="BodyText"/>
      </w:pPr>
      <w:r>
        <w:t xml:space="preserve">[34] Norwegian Petroleum Directorate. Estimating abatement cost curves for power from shore [conference abstract]. International Association for Energy Economics (IAEE) conference proceedings. https://iaee.org/en/publications/proceedingsabstractpdf.aspx?id=12947 [accessed DATE].</w:t>
      </w:r>
    </w:p>
    <w:p>
      <w:pPr>
        <w:pStyle w:val="BodyText"/>
      </w:pPr>
      <w:r>
        <w:t xml:space="preserve">[35] Norwegian Offshore Directorate. New report about power from shore [news and report]. 2025. https://www.sodir.no/en/whats-new/news/general-news/2025/new-report-about-power-from-shore [accessed DATE].</w:t>
      </w:r>
    </w:p>
    <w:bookmarkEnd w:id="71"/>
    <w:bookmarkEnd w:id="7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3" Type="http://schemas.openxmlformats.org/officeDocument/2006/relationships/image" Target="media/rId23.png"/><Relationship Id="rId35" Type="http://schemas.openxmlformats.org/officeDocument/2006/relationships/image" Target="media/rId35.png"/><Relationship Id="rId39" Type="http://schemas.openxmlformats.org/officeDocument/2006/relationships/image" Target="media/rId39.png"/><Relationship Id="rId43" Type="http://schemas.openxmlformats.org/officeDocument/2006/relationships/image" Target="media/rId43.png"/><Relationship Id="rId46" Type="http://schemas.openxmlformats.org/officeDocument/2006/relationships/image" Target="media/rId46.png"/><Relationship Id="rId49" Type="http://schemas.openxmlformats.org/officeDocument/2006/relationships/image" Target="media/rId49.png"/><Relationship Id="rId53" Type="http://schemas.openxmlformats.org/officeDocument/2006/relationships/image" Target="media/rId53.png"/><Relationship Id="rId57" Type="http://schemas.openxmlformats.org/officeDocument/2006/relationships/image" Target="media/rId5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2026-10-26T22:12:24Z</dcterms:created>
  <dcterms:modified xsi:type="dcterms:W3CDTF">2026-10-26T22:12:24Z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