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Flexible</w:t>
      </w:r>
      <w:r>
        <w:t xml:space="preserve"> </w:t>
      </w:r>
      <w:r>
        <w:t xml:space="preserve">topside</w:t>
      </w:r>
      <w:r>
        <w:t xml:space="preserve"> </w:t>
      </w:r>
      <w:r>
        <w:t xml:space="preserve">load</w:t>
      </w:r>
      <w:r>
        <w:t xml:space="preserve"> </w:t>
      </w:r>
      <w:r>
        <w:t xml:space="preserve">scheduling</w:t>
      </w:r>
      <w:r>
        <w:t xml:space="preserve"> </w:t>
      </w:r>
      <w:r>
        <w:t xml:space="preserve">on</w:t>
      </w:r>
      <w:r>
        <w:t xml:space="preserve"> </w:t>
      </w:r>
      <w:r>
        <w:t xml:space="preserve">a</w:t>
      </w:r>
      <w:r>
        <w:t xml:space="preserve"> </w:t>
      </w:r>
      <w:r>
        <w:t xml:space="preserve">wind-powered</w:t>
      </w:r>
      <w:r>
        <w:t xml:space="preserve"> </w:t>
      </w:r>
      <w:r>
        <w:t xml:space="preserve">offshore</w:t>
      </w:r>
      <w:r>
        <w:t xml:space="preserve"> </w:t>
      </w:r>
      <w:r>
        <w:t xml:space="preserve">oil</w:t>
      </w:r>
      <w:r>
        <w:t xml:space="preserve"> </w:t>
      </w:r>
      <w:r>
        <w:t xml:space="preserve">platform:</w:t>
      </w:r>
      <w:r>
        <w:t xml:space="preserve"> </w:t>
      </w:r>
      <w:r>
        <w:t xml:space="preserve">effects</w:t>
      </w:r>
      <w:r>
        <w:t xml:space="preserve"> </w:t>
      </w:r>
      <w:r>
        <w:t xml:space="preserve">on</w:t>
      </w:r>
      <w:r>
        <w:t xml:space="preserve"> </w:t>
      </w:r>
      <w:r>
        <w:t xml:space="preserve">gas</w:t>
      </w:r>
      <w:r>
        <w:t xml:space="preserve"> </w:t>
      </w:r>
      <w:r>
        <w:t xml:space="preserve">turbine</w:t>
      </w:r>
      <w:r>
        <w:t xml:space="preserve"> </w:t>
      </w:r>
      <w:r>
        <w:t xml:space="preserve">fuel</w:t>
      </w:r>
      <w:r>
        <w:t xml:space="preserve"> </w:t>
      </w:r>
      <w:r>
        <w:t xml:space="preserve">use</w:t>
      </w:r>
      <w:r>
        <w:t xml:space="preserve"> </w:t>
      </w:r>
      <w:r>
        <w:t xml:space="preserve">and</w:t>
      </w:r>
      <w:r>
        <w:t xml:space="preserve"> </w:t>
      </w:r>
      <w:r>
        <w:t xml:space="preserve">CO2</w:t>
      </w:r>
      <w:r>
        <w:t xml:space="preserve"> </w:t>
      </w:r>
      <w:r>
        <w:t xml:space="preserve">emissions</w:t>
      </w:r>
    </w:p>
    <w:p>
      <w:pPr>
        <w:pStyle w:val="Author"/>
      </w:pPr>
      <w:r>
        <w:t xml:space="preserve">[Author 1]</w:t>
      </w:r>
      <w:r>
        <w:rPr>
          <w:vertAlign w:val="superscript"/>
        </w:rPr>
        <w:t xml:space="preserve">a</w:t>
      </w:r>
      <w:r>
        <w:t xml:space="preserve">, [Author 2]</w:t>
      </w:r>
      <w:r>
        <w:rPr>
          <w:vertAlign w:val="superscript"/>
        </w:rPr>
        <w:t xml:space="preserve">b</w:t>
      </w:r>
    </w:p>
    <w:p>
      <w:pPr>
        <w:pStyle w:val="Affiliation"/>
      </w:pPr>
      <w:r>
        <w:rPr>
          <w:vertAlign w:val="superscript"/>
        </w:rPr>
        <w:t xml:space="preserve">a</w:t>
      </w:r>
      <w:r>
        <w:t xml:space="preserve"> </w:t>
      </w:r>
      <w:r>
        <w:rPr>
          <w:iCs/>
          <w:i/>
        </w:rPr>
        <w:t xml:space="preserve">[Affiliation a]</w:t>
      </w:r>
    </w:p>
    <w:p>
      <w:pPr>
        <w:pStyle w:val="Affiliation"/>
      </w:pPr>
      <w:r>
        <w:rPr>
          <w:vertAlign w:val="superscript"/>
        </w:rPr>
        <w:t xml:space="preserve">b</w:t>
      </w:r>
      <w:r>
        <w:t xml:space="preserve"> </w:t>
      </w:r>
      <w:r>
        <w:rPr>
          <w:iCs/>
          <w:i/>
        </w:rPr>
        <w:t xml:space="preserve">[Affiliation b]</w:t>
      </w:r>
    </w:p>
    <w:p>
      <w:pPr>
        <w:pStyle w:val="BodyText"/>
      </w:pPr>
      <w:r>
        <w:t xml:space="preserve">Corresponding author: [name, e-mail]</w:t>
      </w:r>
    </w:p>
    <w:p>
      <w:pPr>
        <w:pStyle w:val="BodyText"/>
      </w:pPr>
      <w:r>
        <w:rPr>
          <w:bCs/>
          <w:b/>
        </w:rPr>
        <w:t xml:space="preserve">Abstract.</w:t>
      </w:r>
      <w:r>
        <w:t xml:space="preserve"> </w:t>
      </w:r>
      <w:r>
        <w:t xml:space="preserve">Gas turbines on offshore oil and gas platforms are a major source of CO2</w:t>
      </w:r>
      <w:r>
        <w:t xml:space="preserve"> </w:t>
      </w:r>
      <w:r>
        <w:t xml:space="preserve">emissions, and the fuel saved by wind power integrated into these off-grid</w:t>
      </w:r>
      <w:r>
        <w:t xml:space="preserve"> </w:t>
      </w:r>
      <w:r>
        <w:t xml:space="preserve">systems is smaller than expected, since the turbines must remain online at</w:t>
      </w:r>
      <w:r>
        <w:t xml:space="preserve"> </w:t>
      </w:r>
      <w:r>
        <w:t xml:space="preserve">inefficient part load to provide reserve. Studies of wind-powered platforms</w:t>
      </w:r>
      <w:r>
        <w:t xml:space="preserve"> </w:t>
      </w:r>
      <w:r>
        <w:t xml:space="preserve">usually consider the topside load as fixed. In this study, the electric demand</w:t>
      </w:r>
      <w:r>
        <w:t xml:space="preserve"> </w:t>
      </w:r>
      <w:r>
        <w:t xml:space="preserve">of a generic North Sea oil platform was mapped with a steady-state process</w:t>
      </w:r>
      <w:r>
        <w:t xml:space="preserve"> </w:t>
      </w:r>
      <w:r>
        <w:t xml:space="preserve">model, and each consumer was classified as must-run, flexible or sheddable. A</w:t>
      </w:r>
      <w:r>
        <w:t xml:space="preserve"> </w:t>
      </w:r>
      <w:r>
        <w:t xml:space="preserve">mixed-integer linear program was then used to schedule production rate, water</w:t>
      </w:r>
      <w:r>
        <w:t xml:space="preserve"> </w:t>
      </w:r>
      <w:r>
        <w:t xml:space="preserve">injection rate, gas turbine commitment, wind use and an optional battery for</w:t>
      </w:r>
      <w:r>
        <w:t xml:space="preserve"> </w:t>
      </w:r>
      <w:r>
        <w:t xml:space="preserve">one year at hourly resolution with ERA5 wind data, with postponed water</w:t>
      </w:r>
      <w:r>
        <w:t xml:space="preserve"> </w:t>
      </w:r>
      <w:r>
        <w:t xml:space="preserve">injection represented as a virtual storage. For a 20.3 MW platform supplied by</w:t>
      </w:r>
      <w:r>
        <w:t xml:space="preserve"> </w:t>
      </w:r>
      <w:r>
        <w:t xml:space="preserve">a 30 MW wind farm, wind with fixed demand reduces the annual CO2 emissions by</w:t>
      </w:r>
      <w:r>
        <w:t xml:space="preserve"> </w:t>
      </w:r>
      <w:r>
        <w:t xml:space="preserve">49 %. Flexible scheduling cuts them by a further 11 % (7.2 kt/yr) without lost</w:t>
      </w:r>
      <w:r>
        <w:t xml:space="preserve"> </w:t>
      </w:r>
      <w:r>
        <w:t xml:space="preserve">production, mainly because the operation of a second gas turbine is avoided:</w:t>
      </w:r>
      <w:r>
        <w:t xml:space="preserve"> </w:t>
      </w:r>
      <w:r>
        <w:t xml:space="preserve">the hours with two turbines online fall from 1,702 to 28. Over ten weather</w:t>
      </w:r>
      <w:r>
        <w:t xml:space="preserve"> </w:t>
      </w:r>
      <w:r>
        <w:t xml:space="preserve">years the benefit ranges from 10.5 to 11.7 %. About 24 h of deferrable</w:t>
      </w:r>
      <w:r>
        <w:t xml:space="preserve"> </w:t>
      </w:r>
      <w:r>
        <w:t xml:space="preserve">injection captures it, and a small added gas turbine is complementary, whereas</w:t>
      </w:r>
      <w:r>
        <w:t xml:space="preserve"> </w:t>
      </w:r>
      <w:r>
        <w:t xml:space="preserve">operating rules that keep two gas turbines online remove most of the gain. The</w:t>
      </w:r>
      <w:r>
        <w:t xml:space="preserve"> </w:t>
      </w:r>
      <w:r>
        <w:t xml:space="preserve">model reproduces the CO2 avoided per MWh of wind reported for Hywind Tampen</w:t>
      </w:r>
      <w:r>
        <w:t xml:space="preserve"> </w:t>
      </w:r>
      <w:r>
        <w:t xml:space="preserve">within 2 %.</w:t>
      </w:r>
    </w:p>
    <w:p>
      <w:pPr>
        <w:pStyle w:val="BodyText"/>
      </w:pPr>
      <w:r>
        <w:rPr>
          <w:bCs/>
          <w:b/>
        </w:rPr>
        <w:t xml:space="preserve">Keywords:</w:t>
      </w:r>
      <w:r>
        <w:t xml:space="preserve"> </w:t>
      </w:r>
      <w:r>
        <w:t xml:space="preserve">offshore oil and gas platform; offshore wind; demand-side</w:t>
      </w:r>
      <w:r>
        <w:t xml:space="preserve"> </w:t>
      </w:r>
      <w:r>
        <w:t xml:space="preserve">flexibility; gas turbine part load; unit commitment; water injection</w:t>
      </w:r>
    </w:p>
    <w:bookmarkStart w:id="20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The oil and gas extraction sector accounts for about a quarter of the</w:t>
      </w:r>
      <w:r>
        <w:t xml:space="preserve"> </w:t>
      </w:r>
      <w:r>
        <w:t xml:space="preserve">greenhouse gas emissions of Norway (Offshore Norge 2024). Most of these</w:t>
      </w:r>
      <w:r>
        <w:t xml:space="preserve"> </w:t>
      </w:r>
      <w:r>
        <w:t xml:space="preserve">emissions originate from the gas turbines (GTs) that generate power and drive</w:t>
      </w:r>
      <w:r>
        <w:t xml:space="preserve"> </w:t>
      </w:r>
      <w:r>
        <w:t xml:space="preserve">compressors on the offshore installations (Norwegian Ministry of Energy and Norwegian Offshore Directorate n.d.). Power</w:t>
      </w:r>
      <w:r>
        <w:t xml:space="preserve"> </w:t>
      </w:r>
      <w:r>
        <w:t xml:space="preserve">from shore eliminates them where a cable connection is feasible: the</w:t>
      </w:r>
      <w:r>
        <w:t xml:space="preserve"> </w:t>
      </w:r>
      <w:r>
        <w:t xml:space="preserve">electrification projects planned in 2020 had abatement costs below NOK 1,500</w:t>
      </w:r>
      <w:r>
        <w:t xml:space="preserve"> </w:t>
      </w:r>
      <w:r>
        <w:t xml:space="preserve">per tonne of CO2 (Norwegian Petroleum Directorate et al. 2020), and the CO2 cost paid by the operators has</w:t>
      </w:r>
      <w:r>
        <w:t xml:space="preserve"> </w:t>
      </w:r>
      <w:r>
        <w:t xml:space="preserve">since increased from about NOK 860 to NOK 1,860 per tonne (Norwegian Offshore Directorate n.d.b).</w:t>
      </w:r>
      <w:r>
        <w:t xml:space="preserve"> </w:t>
      </w:r>
      <w:r>
        <w:t xml:space="preserve">However, many installations are located too far from shore or are too small to</w:t>
      </w:r>
      <w:r>
        <w:t xml:space="preserve"> </w:t>
      </w:r>
      <w:r>
        <w:t xml:space="preserve">justify a cable, or they depend on onshore grid capacity that is required by</w:t>
      </w:r>
      <w:r>
        <w:t xml:space="preserve"> </w:t>
      </w:r>
      <w:r>
        <w:t xml:space="preserve">other users, and the operators have judged the alternatives to power from</w:t>
      </w:r>
      <w:r>
        <w:t xml:space="preserve"> </w:t>
      </w:r>
      <w:r>
        <w:t xml:space="preserve">shore to be more costly or less effective (Norwegian Offshore Directorate n.d.b). For these</w:t>
      </w:r>
      <w:r>
        <w:t xml:space="preserve"> </w:t>
      </w:r>
      <w:r>
        <w:t xml:space="preserve">installations, the emissions are still determined by the efficiency of the</w:t>
      </w:r>
      <w:r>
        <w:t xml:space="preserve"> </w:t>
      </w:r>
      <w:r>
        <w:t xml:space="preserve">offshore power plant.</w:t>
      </w:r>
    </w:p>
    <w:p>
      <w:pPr>
        <w:pStyle w:val="BodyText"/>
      </w:pPr>
      <w:r>
        <w:t xml:space="preserve">The integration of wind power into the platform grid has been studied for more</w:t>
      </w:r>
      <w:r>
        <w:t xml:space="preserve"> </w:t>
      </w:r>
      <w:r>
        <w:t xml:space="preserve">than a decade. He et al. (2010) assessed the potential of integrating wind</w:t>
      </w:r>
      <w:r>
        <w:t xml:space="preserve"> </w:t>
      </w:r>
      <w:r>
        <w:t xml:space="preserve">power with offshore oil and gas platforms, and Marvik et al. (2013)</w:t>
      </w:r>
      <w:r>
        <w:t xml:space="preserve"> </w:t>
      </w:r>
      <w:r>
        <w:t xml:space="preserve">studied the transient stability of a cluster of North Sea installations</w:t>
      </w:r>
      <w:r>
        <w:t xml:space="preserve"> </w:t>
      </w:r>
      <w:r>
        <w:t xml:space="preserve">connected to a wind farm. Riboldi and Nord (2018) optimised an</w:t>
      </w:r>
      <w:r>
        <w:t xml:space="preserve"> </w:t>
      </w:r>
      <w:r>
        <w:t xml:space="preserve">offshore combined-cycle plant integrating a wind farm and found that its</w:t>
      </w:r>
      <w:r>
        <w:t xml:space="preserve"> </w:t>
      </w:r>
      <w:r>
        <w:t xml:space="preserve">economic performance depends on the gas and CO2 prices. The first large</w:t>
      </w:r>
      <w:r>
        <w:t xml:space="preserve"> </w:t>
      </w:r>
      <w:r>
        <w:t xml:space="preserve">application is Hywind Tampen, an 88 MW floating wind farm that supplies five</w:t>
      </w:r>
      <w:r>
        <w:t xml:space="preserve"> </w:t>
      </w:r>
      <w:r>
        <w:t xml:space="preserve">platforms and has been in operation since 2023; it is expected to cover about</w:t>
      </w:r>
      <w:r>
        <w:t xml:space="preserve"> </w:t>
      </w:r>
      <w:r>
        <w:t xml:space="preserve">35 % of their electricity demand and to avoid about 200 kt of CO2 per year</w:t>
      </w:r>
      <w:r>
        <w:t xml:space="preserve"> </w:t>
      </w:r>
      <w:r>
        <w:t xml:space="preserve">(Equinor 2023).</w:t>
      </w:r>
    </w:p>
    <w:p>
      <w:pPr>
        <w:pStyle w:val="BodyText"/>
      </w:pPr>
      <w:r>
        <w:t xml:space="preserve">The fuel saved per MWh of wind is, however, smaller on such a platform than in</w:t>
      </w:r>
      <w:r>
        <w:t xml:space="preserve"> </w:t>
      </w:r>
      <w:r>
        <w:t xml:space="preserve">a large grid. Since the wind turbines follow the grid frequency rather than</w:t>
      </w:r>
      <w:r>
        <w:t xml:space="preserve"> </w:t>
      </w:r>
      <w:r>
        <w:t xml:space="preserve">set it, at least one GT must remain online, and the running GTs must hold</w:t>
      </w:r>
      <w:r>
        <w:t xml:space="preserve"> </w:t>
      </w:r>
      <w:r>
        <w:t xml:space="preserve">sufficient spare capacity to cover the loss of the wind farm or of a</w:t>
      </w:r>
      <w:r>
        <w:t xml:space="preserve"> </w:t>
      </w:r>
      <w:r>
        <w:t xml:space="preserve">generator. When wind supplies part of the demand, the GTs therefore operate at</w:t>
      </w:r>
      <w:r>
        <w:t xml:space="preserve"> </w:t>
      </w:r>
      <w:r>
        <w:t xml:space="preserve">part load, where they are least efficient: the electric efficiency of the</w:t>
      </w:r>
      <w:r>
        <w:t xml:space="preserve"> </w:t>
      </w:r>
      <w:r>
        <w:t xml:space="preserve">LEOGO reference turbine decreases from about 35 % at full load to below 20 %</w:t>
      </w:r>
      <w:r>
        <w:t xml:space="preserve"> </w:t>
      </w:r>
      <w:r>
        <w:t xml:space="preserve">near its minimum stable load (Svendsen et al. 2023). Exergy analyses of North Sea</w:t>
      </w:r>
      <w:r>
        <w:t xml:space="preserve"> </w:t>
      </w:r>
      <w:r>
        <w:t xml:space="preserve">platforms attribute 62–65 % of the exergy destroyed on a platform to the gas</w:t>
      </w:r>
      <w:r>
        <w:t xml:space="preserve"> </w:t>
      </w:r>
      <w:r>
        <w:t xml:space="preserve">turbines (Nguyen et al. 2013).</w:t>
      </w:r>
    </w:p>
    <w:p>
      <w:pPr>
        <w:pStyle w:val="BodyText"/>
      </w:pPr>
      <w:r>
        <w:t xml:space="preserve">Part of this loss can be recovered by operational optimisation. The</w:t>
      </w:r>
      <w:r>
        <w:t xml:space="preserve"> </w:t>
      </w:r>
      <w:r>
        <w:t xml:space="preserve">open-source tool Oogeso optimises the GT commitment, the wind use and the</w:t>
      </w:r>
      <w:r>
        <w:t xml:space="preserve"> </w:t>
      </w:r>
      <w:r>
        <w:t xml:space="preserve">storage; with a battery providing reserve, one turbine can be switched off and</w:t>
      </w:r>
      <w:r>
        <w:t xml:space="preserve"> </w:t>
      </w:r>
      <w:r>
        <w:t xml:space="preserve">the remaining ones operated at higher load (Svendsen 2022). The LEOGO</w:t>
      </w:r>
      <w:r>
        <w:t xml:space="preserve"> </w:t>
      </w:r>
      <w:r>
        <w:t xml:space="preserve">reference platform provides a common data set for such studies</w:t>
      </w:r>
      <w:r>
        <w:t xml:space="preserve"> </w:t>
      </w:r>
      <w:r>
        <w:t xml:space="preserve">(Svendsen et al. 2023). Zhang et al. (2022) planned investments in offshore</w:t>
      </w:r>
      <w:r>
        <w:t xml:space="preserve"> </w:t>
      </w:r>
      <w:r>
        <w:t xml:space="preserve">energy hubs under emission targets, and Khan et al. (2022) showed that</w:t>
      </w:r>
      <w:r>
        <w:t xml:space="preserve"> </w:t>
      </w:r>
      <w:r>
        <w:t xml:space="preserve">relaxing the GT operating constraints allows a platform grid to absorb more</w:t>
      </w:r>
      <w:r>
        <w:t xml:space="preserve"> </w:t>
      </w:r>
      <w:r>
        <w:t xml:space="preserve">wind power. In all of these studies the platform load is an input. Svendsen</w:t>
      </w:r>
      <w:r>
        <w:t xml:space="preserve"> </w:t>
      </w:r>
      <w:r>
        <w:t xml:space="preserve">(2022) pointed out demand-side flexibility as a means of reducing the</w:t>
      </w:r>
      <w:r>
        <w:t xml:space="preserve"> </w:t>
      </w:r>
      <w:r>
        <w:t xml:space="preserve">need for storage, but left it for future work.</w:t>
      </w:r>
    </w:p>
    <w:p>
      <w:pPr>
        <w:pStyle w:val="BodyText"/>
      </w:pPr>
      <w:r>
        <w:t xml:space="preserve">In onshore industry, the shifting of loads in time is an established subject.</w:t>
      </w:r>
      <w:r>
        <w:t xml:space="preserve"> </w:t>
      </w:r>
      <w:r>
        <w:t xml:space="preserve">Zhang and Grossmann (2016) reviewed how energy-intensive</w:t>
      </w:r>
      <w:r>
        <w:t xml:space="preserve"> </w:t>
      </w:r>
      <w:r>
        <w:t xml:space="preserve">production can be scheduled according to electricity prices, and Golmohamadi</w:t>
      </w:r>
      <w:r>
        <w:t xml:space="preserve"> </w:t>
      </w:r>
      <w:r>
        <w:t xml:space="preserve">(2022) reviewed demand-side management in heavy industries such as</w:t>
      </w:r>
      <w:r>
        <w:t xml:space="preserve"> </w:t>
      </w:r>
      <w:r>
        <w:t xml:space="preserve">cement and aluminium production. These studies consider the response to price</w:t>
      </w:r>
      <w:r>
        <w:t xml:space="preserve"> </w:t>
      </w:r>
      <w:r>
        <w:t xml:space="preserve">signals in a large grid. An off-grid platform has no such price signal: the</w:t>
      </w:r>
      <w:r>
        <w:t xml:space="preserve"> </w:t>
      </w:r>
      <w:r>
        <w:t xml:space="preserve">value of moving a load arises only through the platform’s own power plant, and</w:t>
      </w:r>
      <w:r>
        <w:t xml:space="preserve"> </w:t>
      </w:r>
      <w:r>
        <w:t xml:space="preserve">it is strongly non-linear, as it depends on whether the change allows a GT to</w:t>
      </w:r>
      <w:r>
        <w:t xml:space="preserve"> </w:t>
      </w:r>
      <w:r>
        <w:t xml:space="preserve">be stopped or avoids the start of one.</w:t>
      </w:r>
    </w:p>
    <w:p>
      <w:pPr>
        <w:pStyle w:val="BodyText"/>
      </w:pPr>
      <w:r>
        <w:t xml:space="preserve">The platform loads are not fixed either. Water injection is one of the largest</w:t>
      </w:r>
      <w:r>
        <w:t xml:space="preserve"> </w:t>
      </w:r>
      <w:r>
        <w:t xml:space="preserve">consumers, and on the platforms studied by Nguyen et al. (2013) only</w:t>
      </w:r>
      <w:r>
        <w:t xml:space="preserve"> </w:t>
      </w:r>
      <w:r>
        <w:t xml:space="preserve">gas compression required more power. Injection can be postponed for hours as</w:t>
      </w:r>
      <w:r>
        <w:t xml:space="preserve"> </w:t>
      </w:r>
      <w:r>
        <w:t xml:space="preserve">long as the cumulative volume meets the requirements of the reservoir, since</w:t>
      </w:r>
      <w:r>
        <w:t xml:space="preserve"> </w:t>
      </w:r>
      <w:r>
        <w:t xml:space="preserve">the reservoir pressure responds slowly. Production can also be reduced,</w:t>
      </w:r>
      <w:r>
        <w:t xml:space="preserve"> </w:t>
      </w:r>
      <w:r>
        <w:t xml:space="preserve">although at a large loss of revenue, whereas utilities and safety systems must</w:t>
      </w:r>
      <w:r>
        <w:t xml:space="preserve"> </w:t>
      </w:r>
      <w:r>
        <w:t xml:space="preserve">run at all times. The share of this flexibility that can actually be used</w:t>
      </w:r>
      <w:r>
        <w:t xml:space="preserve"> </w:t>
      </w:r>
      <w:r>
        <w:t xml:space="preserve">depends on details that a fixed load profile does not capture, such as</w:t>
      </w:r>
      <w:r>
        <w:t xml:space="preserve"> </w:t>
      </w:r>
      <w:r>
        <w:t xml:space="preserve">parallel trains, minimum-flow recycle on compressors and pumps, ramp limits</w:t>
      </w:r>
      <w:r>
        <w:t xml:space="preserve"> </w:t>
      </w:r>
      <w:r>
        <w:t xml:space="preserve">and the need to catch up postponed injection.</w:t>
      </w:r>
    </w:p>
    <w:p>
      <w:pPr>
        <w:pStyle w:val="BodyText"/>
      </w:pPr>
      <w:r>
        <w:t xml:space="preserve">To the authors’ knowledge, no study of wind-powered platforms has scheduled</w:t>
      </w:r>
      <w:r>
        <w:t xml:space="preserve"> </w:t>
      </w:r>
      <w:r>
        <w:t xml:space="preserve">the topside consumers together with the power plant. The goal of this study is</w:t>
      </w:r>
      <w:r>
        <w:t xml:space="preserve"> </w:t>
      </w:r>
      <w:r>
        <w:t xml:space="preserve">to help address this gap, by quantifying how much fuel and CO2 a wind-powered</w:t>
      </w:r>
      <w:r>
        <w:t xml:space="preserve"> </w:t>
      </w:r>
      <w:r>
        <w:t xml:space="preserve">oil platform can save by scheduling its flexible loads, which consumers</w:t>
      </w:r>
      <w:r>
        <w:t xml:space="preserve"> </w:t>
      </w:r>
      <w:r>
        <w:t xml:space="preserve">provide the saving and through which mechanism, and which assumptions</w:t>
      </w:r>
      <w:r>
        <w:t xml:space="preserve"> </w:t>
      </w:r>
      <w:r>
        <w:t xml:space="preserve">determine its magnitude. Four main steps were followed in this study:</w:t>
      </w:r>
    </w:p>
    <w:p>
      <w:pPr>
        <w:numPr>
          <w:ilvl w:val="0"/>
          <w:numId w:val="1001"/>
        </w:numPr>
        <w:pStyle w:val="Compact"/>
      </w:pPr>
      <w:r>
        <w:t xml:space="preserve">development of a demand map of a generic North Sea oil platform with a</w:t>
      </w:r>
      <w:r>
        <w:t xml:space="preserve"> </w:t>
      </w:r>
      <w:r>
        <w:t xml:space="preserve">steady-state process model, giving the power of each consumer as a function</w:t>
      </w:r>
      <w:r>
        <w:t xml:space="preserve"> </w:t>
      </w:r>
      <w:r>
        <w:t xml:space="preserve">of its operating lever, including train switching and minimum-flow recycle;</w:t>
      </w:r>
    </w:p>
    <w:p>
      <w:pPr>
        <w:numPr>
          <w:ilvl w:val="0"/>
          <w:numId w:val="1001"/>
        </w:numPr>
        <w:pStyle w:val="Compact"/>
      </w:pPr>
      <w:r>
        <w:t xml:space="preserve">classification of the consumers as must-run, flexible (deferrable) or</w:t>
      </w:r>
      <w:r>
        <w:t xml:space="preserve"> </w:t>
      </w:r>
      <w:r>
        <w:t xml:space="preserve">sheddable, with postponed water injection represented as a virtual storage</w:t>
      </w:r>
      <w:r>
        <w:t xml:space="preserve"> </w:t>
      </w:r>
      <w:r>
        <w:t xml:space="preserve">that must be emptied again;</w:t>
      </w:r>
    </w:p>
    <w:p>
      <w:pPr>
        <w:numPr>
          <w:ilvl w:val="0"/>
          <w:numId w:val="1001"/>
        </w:numPr>
        <w:pStyle w:val="Compact"/>
      </w:pPr>
      <w:r>
        <w:t xml:space="preserve">formulation of a mixed-integer linear program that schedules the flexible</w:t>
      </w:r>
      <w:r>
        <w:t xml:space="preserve"> </w:t>
      </w:r>
      <w:r>
        <w:t xml:space="preserve">consumers together with the GT commitment, the wind use and an optional</w:t>
      </w:r>
      <w:r>
        <w:t xml:space="preserve"> </w:t>
      </w:r>
      <w:r>
        <w:t xml:space="preserve">battery, hour by hour over full years;</w:t>
      </w:r>
    </w:p>
    <w:p>
      <w:pPr>
        <w:numPr>
          <w:ilvl w:val="0"/>
          <w:numId w:val="1001"/>
        </w:numPr>
        <w:pStyle w:val="Compact"/>
      </w:pPr>
      <w:r>
        <w:t xml:space="preserve">simulation of four cases and ten weather years, with sensitivity analysis,</w:t>
      </w:r>
      <w:r>
        <w:t xml:space="preserve"> </w:t>
      </w:r>
      <w:r>
        <w:t xml:space="preserve">validation against Hywind Tampen and field data, and economic indicators.</w:t>
      </w:r>
    </w:p>
    <w:p>
      <w:pPr>
        <w:pStyle w:val="FirstParagraph"/>
      </w:pPr>
      <w:r>
        <w:t xml:space="preserve">The methodology and the models are described in Section 2. Section 3 reports</w:t>
      </w:r>
      <w:r>
        <w:t xml:space="preserve"> </w:t>
      </w:r>
      <w:r>
        <w:t xml:space="preserve">the results obtained for the four cases, which are discussed in Section 4.</w:t>
      </w:r>
      <w:r>
        <w:t xml:space="preserve"> </w:t>
      </w:r>
      <w:r>
        <w:t xml:space="preserve">Concluding remarks are outlined in Section 5. The code, the input data and all</w:t>
      </w:r>
      <w:r>
        <w:t xml:space="preserve"> </w:t>
      </w:r>
      <w:r>
        <w:t xml:space="preserve">parameters with their sources are openly available (see Data and Code</w:t>
      </w:r>
      <w:r>
        <w:t xml:space="preserve"> </w:t>
      </w:r>
      <w:r>
        <w:t xml:space="preserve">Availability).</w:t>
      </w:r>
    </w:p>
    <w:bookmarkEnd w:id="20"/>
    <w:bookmarkStart w:id="32" w:name="methods"/>
    <w:p>
      <w:pPr>
        <w:pStyle w:val="Heading1"/>
      </w:pPr>
      <w:r>
        <w:t xml:space="preserve">2. Methods</w:t>
      </w:r>
    </w:p>
    <w:bookmarkStart w:id="24" w:name="system-and-cases"/>
    <w:p>
      <w:pPr>
        <w:pStyle w:val="Heading2"/>
      </w:pPr>
      <w:r>
        <w:t xml:space="preserve">2.1 System and cases</w:t>
      </w:r>
    </w:p>
    <w:p>
      <w:pPr>
        <w:pStyle w:val="FirstParagraph"/>
      </w:pPr>
      <w:r>
        <w:t xml:space="preserve">The electric power system of a generic oil platform in the northern North Sea</w:t>
      </w:r>
      <w:r>
        <w:t xml:space="preserve"> </w:t>
      </w:r>
      <w:r>
        <w:t xml:space="preserve">(Tampen area, 61.0° N, 2.0° E) was modelled for the year 2023 at hourly</w:t>
      </w:r>
      <w:r>
        <w:t xml:space="preserve"> </w:t>
      </w:r>
      <w:r>
        <w:t xml:space="preserve">resolution (Figure 1), and Cases 1–4 were repeated for the weather years</w:t>
      </w:r>
      <w:r>
        <w:t xml:space="preserve"> </w:t>
      </w:r>
      <w:r>
        <w:t xml:space="preserve">2014–2022. The platform produces oil with associated gas, exports both and</w:t>
      </w:r>
      <w:r>
        <w:t xml:space="preserve"> </w:t>
      </w:r>
      <w:r>
        <w:t xml:space="preserve">injects water for pressure support. Power is supplied by three GTs and, in the</w:t>
      </w:r>
      <w:r>
        <w:t xml:space="preserve"> </w:t>
      </w:r>
      <w:r>
        <w:t xml:space="preserve">wind cases, by a nearby offshore wind farm of two turbines connected to the AC</w:t>
      </w:r>
      <w:r>
        <w:t xml:space="preserve"> </w:t>
      </w:r>
      <w:r>
        <w:t xml:space="preserve">system of the platform. Four cases were compared: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GTs only</w:t>
      </w:r>
      <w:r>
        <w:t xml:space="preserve">, fixed demand (baseline).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Wind + GTs, fixed demand</w:t>
      </w:r>
      <w:r>
        <w:t xml:space="preserve">: production and water injection at their</w:t>
      </w:r>
      <w:r>
        <w:t xml:space="preserve"> </w:t>
      </w:r>
      <w:r>
        <w:t xml:space="preserve">design and target rates in every hour.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Wind + GTs, flexible scheduling</w:t>
      </w:r>
      <w:r>
        <w:t xml:space="preserve">: production and injection rates are</w:t>
      </w:r>
      <w:r>
        <w:t xml:space="preserve"> </w:t>
      </w:r>
      <w:r>
        <w:t xml:space="preserve">decision variables.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Case 3 + battery</w:t>
      </w:r>
      <w:r>
        <w:t xml:space="preserve"> </w:t>
      </w:r>
      <w:r>
        <w:t xml:space="preserve">of 4 MW / 4 MWh.</w:t>
      </w:r>
    </w:p>
    <w:p>
      <w:pPr>
        <w:pStyle w:val="FirstParagraph"/>
      </w:pPr>
      <w:r>
        <w:t xml:space="preserve">The platform keeps its three GTs in all cases, as a retrofit would; the</w:t>
      </w:r>
      <w:r>
        <w:t xml:space="preserve"> </w:t>
      </w:r>
      <w:r>
        <w:t xml:space="preserve">optimiser decides how many run in each hour. Case 2 corresponds to the</w:t>
      </w:r>
      <w:r>
        <w:t xml:space="preserve"> </w:t>
      </w:r>
      <w:r>
        <w:t xml:space="preserve">usual assumption in platform–wind studies, in which wind displaces GT power</w:t>
      </w:r>
      <w:r>
        <w:t xml:space="preserve"> </w:t>
      </w:r>
      <w:r>
        <w:t xml:space="preserve">but the load is unchanged. The difference between Cases 2 and 3 isolates</w:t>
      </w:r>
      <w:r>
        <w:t xml:space="preserve"> </w:t>
      </w:r>
      <w:r>
        <w:t xml:space="preserve">the value of demand flexibility, and Case 4 tests whether a small battery</w:t>
      </w:r>
      <w:r>
        <w:t xml:space="preserve"> </w:t>
      </w:r>
      <w:r>
        <w:t xml:space="preserve">adds to it.</w:t>
      </w:r>
    </w:p>
    <w:p>
      <w:pPr>
        <w:pStyle w:val="BodyText"/>
      </w:pPr>
      <w:r>
        <w:t xml:space="preserve">The base case uses the existing main turbines rather than a new, smaller</w:t>
      </w:r>
      <w:r>
        <w:t xml:space="preserve"> </w:t>
      </w:r>
      <w:r>
        <w:t xml:space="preserve">GT, for three reasons. First, wind is being added to existing platforms that</w:t>
      </w:r>
      <w:r>
        <w:t xml:space="preserve"> </w:t>
      </w:r>
      <w:r>
        <w:t xml:space="preserve">keep their installed turbines; the five platforms supplied by Hywind Tampen</w:t>
      </w:r>
      <w:r>
        <w:t xml:space="preserve"> </w:t>
      </w:r>
      <w:r>
        <w:t xml:space="preserve">are an example (Equinor 2023). Second, load flexibility is an operational</w:t>
      </w:r>
      <w:r>
        <w:t xml:space="preserve"> </w:t>
      </w:r>
      <w:r>
        <w:t xml:space="preserve">measure, whereas a new GT is an investment; keeping the fleet fixed isolates</w:t>
      </w:r>
      <w:r>
        <w:t xml:space="preserve"> </w:t>
      </w:r>
      <w:r>
        <w:t xml:space="preserve">the value of flexibility. The effect of a smaller unit is quantified</w:t>
      </w:r>
      <w:r>
        <w:t xml:space="preserve"> </w:t>
      </w:r>
      <w:r>
        <w:t xml:space="preserve">separately in the sensitivity analysis with an 11.35 MW Solar Turbines</w:t>
      </w:r>
      <w:r>
        <w:t xml:space="preserve"> </w:t>
      </w:r>
      <w:r>
        <w:t xml:space="preserve">Mars 100 (Solar Turbines n.d.), either replacing one main unit or added to the</w:t>
      </w:r>
      <w:r>
        <w:t xml:space="preserve"> </w:t>
      </w:r>
      <w:r>
        <w:t xml:space="preserve">three, with both fixed and flexible demand. Third, the main turbine is a published reference machine with</w:t>
      </w:r>
      <w:r>
        <w:t xml:space="preserve"> </w:t>
      </w:r>
      <w:r>
        <w:t xml:space="preserve">a documented part-load curve (Svendsen et al. 2023), whereas manufacturers publish</w:t>
      </w:r>
      <w:r>
        <w:t xml:space="preserve"> </w:t>
      </w:r>
      <w:r>
        <w:t xml:space="preserve">only full-load ratings for small units. A small unit alone could not carry</w:t>
      </w:r>
      <w:r>
        <w:t xml:space="preserve"> </w:t>
      </w:r>
      <w:r>
        <w:t xml:space="preserve">the 20 MW platform with 5 MW of reserve in calm periods, so it is meaningful</w:t>
      </w:r>
      <w:r>
        <w:t xml:space="preserve"> </w:t>
      </w:r>
      <w:r>
        <w:t xml:space="preserve">only as part of a mixed fleet.</w:t>
      </w:r>
    </w:p>
    <w:p>
      <w:pPr>
        <w:pStyle w:val="BodyText"/>
      </w:pPr>
      <w:r>
        <w:t xml:space="preserve">Process behaviour is represented by steady-state operating points with ramp</w:t>
      </w:r>
      <w:r>
        <w:t xml:space="preserve"> </w:t>
      </w:r>
      <w:r>
        <w:t xml:space="preserve">limits; transient process dynamics are outside the scope. The model is</w:t>
      </w:r>
      <w:r>
        <w:t xml:space="preserve"> </w:t>
      </w:r>
      <w:r>
        <w:t xml:space="preserve">written in Python with NeqSim for thermodynamics and process simulation</w:t>
      </w:r>
      <w:r>
        <w:t xml:space="preserve"> </w:t>
      </w:r>
      <w:r>
        <w:t xml:space="preserve">(Solbraa n.d.) and Pyomo with the HiGHS solver for optimisation</w:t>
      </w:r>
      <w:r>
        <w:t xml:space="preserve"> </w:t>
      </w:r>
      <w:r>
        <w:t xml:space="preserve">(Bynum et al. 2021; Huangfu and Hall 2018). Every parameter is stored in a single</w:t>
      </w:r>
      <w:r>
        <w:t xml:space="preserve"> </w:t>
      </w:r>
      <w:r>
        <w:t xml:space="preserve">configuration file with its unit and source; 31 of 109 parameters are marked</w:t>
      </w:r>
      <w:r>
        <w:t xml:space="preserve"> </w:t>
      </w:r>
      <w:r>
        <w:t xml:space="preserve">as assumptions because no published value could be found (Table S1). An</w:t>
      </w:r>
      <w:r>
        <w:t xml:space="preserve"> </w:t>
      </w:r>
      <w:r>
        <w:t xml:space="preserve">automated test suite checks each model component against hand calculations</w:t>
      </w:r>
      <w:r>
        <w:t xml:space="preserve"> </w:t>
      </w:r>
      <w:r>
        <w:t xml:space="preserve">and published values.</w:t>
      </w:r>
    </w:p>
    <w:p>
      <w:pPr>
        <w:pStyle w:val="Figure"/>
      </w:pPr>
      <w:r>
        <w:drawing>
          <wp:inline>
            <wp:extent cx="5759999" cy="2849426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results/paper/fig00_system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8494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Figure 1.</w:t>
      </w:r>
      <w:r>
        <w:t xml:space="preserve"> </w:t>
      </w:r>
      <w:r>
        <w:t xml:space="preserve">The platform power system. Supply (left) and topside consumers coloured by flexibility class (middle) are connected to one AC bus. The scheduler sets the production rate</w:t>
      </w:r>
      <w:r>
        <w:t xml:space="preserve"> </w:t>
      </w:r>
      <m:oMath>
        <m:sSub>
          <m:e>
            <m:r>
              <m:t>f</m:t>
            </m:r>
          </m:e>
          <m:sub>
            <m:r>
              <m:t>p</m:t>
            </m:r>
          </m:sub>
        </m:sSub>
      </m:oMath>
      <w:r>
        <w:t xml:space="preserve">, the injection rate</w:t>
      </w:r>
      <w:r>
        <w:t xml:space="preserve"> </w:t>
      </w:r>
      <m:oMath>
        <m:sSub>
          <m:e>
            <m:r>
              <m:t>f</m:t>
            </m:r>
          </m:e>
          <m:sub>
            <m:r>
              <m:t>w</m:t>
            </m:r>
            <m:r>
              <m:t>i</m:t>
            </m:r>
          </m:sub>
        </m:sSub>
      </m:oMath>
      <w:r>
        <w:t xml:space="preserve"> </w:t>
      </w:r>
      <w:r>
        <w:t xml:space="preserve">and the GT commitment every hour.</w:t>
      </w:r>
    </w:p>
    <w:bookmarkEnd w:id="24"/>
    <w:bookmarkStart w:id="25" w:name="wind-farm-power"/>
    <w:p>
      <w:pPr>
        <w:pStyle w:val="Heading2"/>
      </w:pPr>
      <w:r>
        <w:t xml:space="preserve">2.2 Wind farm power</w:t>
      </w:r>
    </w:p>
    <w:p>
      <w:pPr>
        <w:pStyle w:val="FirstParagraph"/>
      </w:pPr>
      <w:r>
        <w:t xml:space="preserve">Hourly eastward and northward wind components at 100 m above sea level for</w:t>
      </w:r>
      <w:r>
        <w:t xml:space="preserve"> </w:t>
      </w:r>
      <w:r>
        <w:t xml:space="preserve">2014–2023 were taken from the ERA5 reanalysis (Hersbach et al. 2020) at the grid point</w:t>
      </w:r>
      <w:r>
        <w:t xml:space="preserve"> </w:t>
      </w:r>
      <w:r>
        <w:t xml:space="preserve">nearest the site. Wind speed was extrapolated to the 150 m hub height with a</w:t>
      </w:r>
      <w:r>
        <w:t xml:space="preserve"> </w:t>
      </w:r>
      <w:r>
        <w:t xml:space="preserve">power law,</w:t>
      </w:r>
    </w:p>
    <w:tbl>
      <w:tblPr>
        <w:tblW w:type="auto" w:w="0"/>
        <w:tblLook w:firstColumn="0" w:firstRow="0" w:lastColumn="0" w:lastRow="0" w:noHBand="0" w:noVBand="1" w:val="0000"/>
        <w:tblBorders>
          <w:top w:val="nil" w:sz="4" w:space="0" w:color="000000"/>
          <w:left w:val="nil" w:sz="4" w:space="0" w:color="000000"/>
          <w:bottom w:val="nil" w:sz="4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</w:tblPr>
      <w:tblGrid>
        <w:gridCol w:w="680"/>
        <w:gridCol w:w="7540"/>
        <w:gridCol w:w="850"/>
      </w:tblGrid>
      <w:tr>
        <w:tc>
          <w:tcPr>
            <w:tcW w:type="dxa" w:w="68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/>
        </w:tc>
        <w:tc>
          <w:tcPr>
            <w:tcW w:type="dxa" w:w="754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>
            <w:pPr>
              <w:spacing w:before="60" w:after="60"/>
              <w:jc w:val="center"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h</m:t>
                    </m:r>
                    <m:r>
                      <m:t>u</m:t>
                    </m:r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100</m:t>
                    </m:r>
                  </m:sub>
                </m:sSub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h</m:t>
                                </m:r>
                                <m:r>
                                  <m:t>u</m:t>
                                </m:r>
                                <m:r>
                                  <m:t>b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100</m:t>
                                </m:r>
                              </m:sub>
                            </m:sSub>
                          </m:den>
                        </m:f>
                      </m:e>
                    </m:d>
                  </m:e>
                  <m:sup>
                    <m:r>
                      <m:t>α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α</m:t>
                </m:r>
                <m:r>
                  <m:rPr>
                    <m:sty m:val="p"/>
                  </m:rPr>
                  <m:t>=</m:t>
                </m:r>
                <m:r>
                  <m:t>0.11</m:t>
                </m:r>
                <m:r>
                  <m:rPr>
                    <m:sty m:val="p"/>
                  </m:rPr>
                  <m:t>,</m:t>
                </m:r>
              </m:oMath>
            </m:oMathPara>
          </w:p>
        </w:tc>
        <w:tc>
          <w:tcPr>
            <w:tcW w:type="dxa" w:w="85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>
            <w:pPr>
              <w:spacing w:before="60" w:after="60"/>
              <w:jc w:val="right"/>
            </w:pPr>
            <w:r>
              <w:rPr>
                <w:sz w:val="20"/>
              </w:rPr>
              <w:t>(1)</w:t>
            </w:r>
          </w:p>
        </w:tc>
      </w:tr>
    </w:tbl>
    <w:p>
      <w:pPr>
        <w:pStyle w:val="FirstParagraph"/>
      </w:pPr>
      <w:r>
        <w:t xml:space="preserve">the exponent recommended for near-neutral conditions at sea (Hsu et al. 1994).</w:t>
      </w:r>
      <w:r>
        <w:t xml:space="preserve"> </w:t>
      </w:r>
      <w:r>
        <w:t xml:space="preserve">Turbine power was interpolated on the power curve of the IEA 15 MW offshore</w:t>
      </w:r>
      <w:r>
        <w:t xml:space="preserve"> </w:t>
      </w:r>
      <w:r>
        <w:t xml:space="preserve">reference turbine (Gaertner et al. 2020), with cut-in at 3 m/s, rated power from</w:t>
      </w:r>
      <w:r>
        <w:t xml:space="preserve"> </w:t>
      </w:r>
      <w:r>
        <w:t xml:space="preserve">10.7 m/s and cut-out at 25 m/s. The base-case farm of two turbines (30 MW)</w:t>
      </w:r>
      <w:r>
        <w:t xml:space="preserve"> </w:t>
      </w:r>
      <w:r>
        <w:t xml:space="preserve">is of the same order as the 32 MW farm of the LEOGO platform</w:t>
      </w:r>
      <w:r>
        <w:t xml:space="preserve"> </w:t>
      </w:r>
      <w:r>
        <w:t xml:space="preserve">(Svendsen et al. 2023). Wake losses (5 %), electrical losses (2 %) and availability</w:t>
      </w:r>
      <w:r>
        <w:t xml:space="preserve"> </w:t>
      </w:r>
      <w:r>
        <w:t xml:space="preserve">(95 %) give a combined factor of 0.884, so the farm delivers at most</w:t>
      </w:r>
      <w:r>
        <w:t xml:space="preserve"> </w:t>
      </w:r>
      <w:r>
        <w:t xml:space="preserve">26.5 MW. Hourly resolution does not resolve wind variations within the hour;</w:t>
      </w:r>
      <w:r>
        <w:t xml:space="preserve"> </w:t>
      </w:r>
      <w:r>
        <w:t xml:space="preserve">these are covered by the spinning reserve (Section 2.6).</w:t>
      </w:r>
    </w:p>
    <w:bookmarkEnd w:id="25"/>
    <w:bookmarkStart w:id="26" w:name="gas-turbines-and-emissions"/>
    <w:p>
      <w:pPr>
        <w:pStyle w:val="Heading2"/>
      </w:pPr>
      <w:r>
        <w:t xml:space="preserve">2.3 Gas turbines and emissions</w:t>
      </w:r>
    </w:p>
    <w:p>
      <w:pPr>
        <w:pStyle w:val="FirstParagraph"/>
      </w:pPr>
      <w:r>
        <w:t xml:space="preserve">The GTs follow the LEOGO reference turbine (Svendsen et al. 2023): 21.8 MW rated</w:t>
      </w:r>
      <w:r>
        <w:t xml:space="preserve"> </w:t>
      </w:r>
      <w:r>
        <w:t xml:space="preserve">electric power and 3.5 MW minimum stable load (16 % of rating). Fuel input</w:t>
      </w:r>
      <w:r>
        <w:t xml:space="preserve"> </w:t>
      </w:r>
      <w:r>
        <w:t xml:space="preserve">is linear in electric output, a Willans line,</w:t>
      </w:r>
    </w:p>
    <w:tbl>
      <w:tblPr>
        <w:tblW w:type="auto" w:w="0"/>
        <w:tblLook w:firstColumn="0" w:firstRow="0" w:lastColumn="0" w:lastRow="0" w:noHBand="0" w:noVBand="1" w:val="0000"/>
        <w:tblBorders>
          <w:top w:val="nil" w:sz="4" w:space="0" w:color="000000"/>
          <w:left w:val="nil" w:sz="4" w:space="0" w:color="000000"/>
          <w:bottom w:val="nil" w:sz="4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</w:tblPr>
      <w:tblGrid>
        <w:gridCol w:w="680"/>
        <w:gridCol w:w="7540"/>
        <w:gridCol w:w="850"/>
      </w:tblGrid>
      <w:tr>
        <w:tc>
          <w:tcPr>
            <w:tcW w:type="dxa" w:w="68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/>
        </w:tc>
        <w:tc>
          <w:tcPr>
            <w:tcW w:type="dxa" w:w="754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>
            <w:pPr>
              <w:spacing w:before="60" w:after="60"/>
              <w:jc w:val="center"/>
            </w:pPr>
            <m:oMathPara>
              <m:oMathParaPr>
                <m:jc m:val="center"/>
              </m:oMathParaPr>
              <m:oMath>
                <m:sSub>
                  <m:e>
                    <m:r>
                      <m:t>Q</m:t>
                    </m:r>
                  </m:e>
                  <m:sub>
                    <m:r>
                      <m:t>g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r</m:t>
                        </m:r>
                        <m:r>
                          <m:t>a</m:t>
                        </m:r>
                        <m:r>
                          <m:t>t</m:t>
                        </m:r>
                        <m:r>
                          <m:t>e</m:t>
                        </m:r>
                        <m:r>
                          <m:t>d</m:t>
                        </m:r>
                      </m:sub>
                    </m:sSub>
                  </m:num>
                  <m:den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r</m:t>
                        </m:r>
                        <m:r>
                          <m:t>a</m:t>
                        </m:r>
                        <m:r>
                          <m:t>t</m:t>
                        </m:r>
                        <m:r>
                          <m:t>e</m:t>
                        </m:r>
                        <m:r>
                          <m:t>d</m:t>
                        </m:r>
                      </m:sub>
                    </m:sSub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t> 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g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a</m:t>
                        </m:r>
                      </m:e>
                    </m:d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t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r</m:t>
                            </m:r>
                            <m:r>
                              <m:t>a</m:t>
                            </m:r>
                            <m:r>
                              <m:t>t</m:t>
                            </m:r>
                            <m:r>
                              <m:t>e</m:t>
                            </m:r>
                            <m:r>
                              <m:t>d</m:t>
                            </m:r>
                          </m:sub>
                        </m:sSub>
                      </m:den>
                    </m:f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</w:tc>
        <w:tc>
          <w:tcPr>
            <w:tcW w:type="dxa" w:w="85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>
            <w:pPr>
              <w:spacing w:before="60" w:after="60"/>
              <w:jc w:val="right"/>
            </w:pPr>
            <w:r>
              <w:rPr>
                <w:sz w:val="20"/>
              </w:rPr>
              <w:t>(2)</w:t>
            </w:r>
          </w:p>
        </w:tc>
      </w:tr>
    </w:tbl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u</m:t>
            </m:r>
          </m:e>
          <m:sub>
            <m:r>
              <m:t>g</m:t>
            </m:r>
            <m:r>
              <m:rPr>
                <m:sty m:val="p"/>
              </m:rPr>
              <m:t>,</m:t>
            </m:r>
            <m:r>
              <m:t>t</m:t>
            </m:r>
          </m:sub>
        </m:sSub>
      </m:oMath>
      <w:r>
        <w:t xml:space="preserve"> </w:t>
      </w:r>
      <w:r>
        <w:t xml:space="preserve">is 1 when the unit runs. The rated efficiency</w:t>
      </w:r>
      <w:r>
        <w:t xml:space="preserve"> </w:t>
      </w:r>
      <m:oMath>
        <m:sSub>
          <m:e>
            <m:r>
              <m:t>η</m:t>
            </m:r>
          </m:e>
          <m:sub>
            <m:r>
              <m:t>r</m:t>
            </m:r>
            <m:r>
              <m:t>a</m:t>
            </m:r>
            <m:r>
              <m:t>t</m:t>
            </m:r>
            <m:r>
              <m:t>e</m:t>
            </m:r>
            <m:r>
              <m:t>d</m:t>
            </m:r>
          </m:sub>
        </m:sSub>
        <m:r>
          <m:rPr>
            <m:sty m:val="p"/>
          </m:rPr>
          <m:t>=</m:t>
        </m:r>
        <m:r>
          <m:t>0.347</m:t>
        </m:r>
      </m:oMath>
      <w:r>
        <w:t xml:space="preserve"> </w:t>
      </w:r>
      <w:r>
        <w:t xml:space="preserve">and no-load fuel fraction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0.184</m:t>
        </m:r>
      </m:oMath>
      <w:r>
        <w:t xml:space="preserve"> </w:t>
      </w:r>
      <w:r>
        <w:t xml:space="preserve">follow from the</w:t>
      </w:r>
      <w:r>
        <w:t xml:space="preserve"> </w:t>
      </w:r>
      <w:r>
        <w:t xml:space="preserve">LEOGO fuel coefficients. A running GT burns 18.4 % of its full-load</w:t>
      </w:r>
      <w:r>
        <w:t xml:space="preserve"> </w:t>
      </w:r>
      <w:r>
        <w:t xml:space="preserve">fuel before it delivers any power, which is why low-load operation is</w:t>
      </w:r>
      <w:r>
        <w:t xml:space="preserve"> </w:t>
      </w:r>
      <w:r>
        <w:t xml:space="preserve">costly: efficiency falls from 34.7 % at full load to 29.3 % at half load and</w:t>
      </w:r>
      <w:r>
        <w:t xml:space="preserve"> </w:t>
      </w:r>
      <w:r>
        <w:t xml:space="preserve">17.7 % at minimum load, and the CO2 emitted per MWh of electricity rises from</w:t>
      </w:r>
      <w:r>
        <w:t xml:space="preserve"> </w:t>
      </w:r>
      <w:r>
        <w:t xml:space="preserve">623 kg to 737 kg and 1,220 kg (Figure S2). A fraction</w:t>
      </w:r>
      <w:r>
        <w:t xml:space="preserve"> </w:t>
      </w:r>
      <m:oMath>
        <m:r>
          <m:t>ϕ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of the fuel</w:t>
      </w:r>
      <w:r>
        <w:t xml:space="preserve"> </w:t>
      </w:r>
      <w:r>
        <w:t xml:space="preserve">energy not converted to power is recovered as process heat.</w:t>
      </w:r>
    </w:p>
    <w:p>
      <w:pPr>
        <w:pStyle w:val="BodyText"/>
      </w:pPr>
      <w:r>
        <w:t xml:space="preserve">The lower heating value of the fuel gas (38.96 MJ/Sm³) was computed with</w:t>
      </w:r>
      <w:r>
        <w:t xml:space="preserve"> </w:t>
      </w:r>
      <w:r>
        <w:t xml:space="preserve">NeqSim to ISO 6976 (ISO 2016) from a generic North Sea fuel gas</w:t>
      </w:r>
      <w:r>
        <w:t xml:space="preserve"> </w:t>
      </w:r>
      <w:r>
        <w:t xml:space="preserve">composition. CO2 emissions use the Norwegian standard factor of</w:t>
      </w:r>
      <w:r>
        <w:t xml:space="preserve"> </w:t>
      </w:r>
      <w:r>
        <w:t xml:space="preserve">2.34 kg/Sm³ (Svendsen et al. 2023). A carbon balance of the assumed composition</w:t>
      </w:r>
      <w:r>
        <w:t xml:space="preserve"> </w:t>
      </w:r>
      <w:r>
        <w:t xml:space="preserve">gives 2.27 kg/Sm³, and the factor reported for the Gullfaks field centre lies</w:t>
      </w:r>
      <w:r>
        <w:t xml:space="preserve"> </w:t>
      </w:r>
      <w:r>
        <w:t xml:space="preserve">between 2.32 and 2.40 kg/Sm³ (Section 3.5).</w:t>
      </w:r>
    </w:p>
    <w:bookmarkEnd w:id="26"/>
    <w:bookmarkStart w:id="27" w:name="process-model-and-demand-map"/>
    <w:p>
      <w:pPr>
        <w:pStyle w:val="Heading2"/>
      </w:pPr>
      <w:r>
        <w:t xml:space="preserve">2.4 Process model and demand map</w:t>
      </w:r>
    </w:p>
    <w:p>
      <w:pPr>
        <w:pStyle w:val="FirstParagraph"/>
      </w:pPr>
      <w:r>
        <w:t xml:space="preserve">The topside process was modelled in NeqSim with the Peng–Robinson equation</w:t>
      </w:r>
      <w:r>
        <w:t xml:space="preserve"> </w:t>
      </w:r>
      <w:r>
        <w:t xml:space="preserve">of state for hydrocarbons and the CPA equation of state for water. CPA</w:t>
      </w:r>
      <w:r>
        <w:t xml:space="preserve"> </w:t>
      </w:r>
      <w:r>
        <w:t xml:space="preserve">reproduces the density of liquid water, and therefore pump power, more</w:t>
      </w:r>
      <w:r>
        <w:t xml:space="preserve"> </w:t>
      </w:r>
      <w:r>
        <w:t xml:space="preserve">accurately than a cubic equation without association terms. The flowsheet</w:t>
      </w:r>
      <w:r>
        <w:t xml:space="preserve"> </w:t>
      </w:r>
      <w:r>
        <w:t xml:space="preserve">comprises:</w:t>
      </w:r>
    </w:p>
    <w:p>
      <w:pPr>
        <w:numPr>
          <w:ilvl w:val="0"/>
          <w:numId w:val="1003"/>
        </w:numPr>
        <w:pStyle w:val="Compact"/>
      </w:pPr>
      <w:r>
        <w:t xml:space="preserve">four-stage separation at 70 / 29 / 7.2 / 1.8 bara (Nguyen et al. 2013), with the</w:t>
      </w:r>
      <w:r>
        <w:t xml:space="preserve"> </w:t>
      </w:r>
      <w:r>
        <w:t xml:space="preserve">last stage within the 1.7–2.8 bar found on four real North Sea platforms</w:t>
      </w:r>
      <w:r>
        <w:t xml:space="preserve"> </w:t>
      </w:r>
      <w:r>
        <w:t xml:space="preserve">(Voldsund et al. 2014);</w:t>
      </w:r>
    </w:p>
    <w:p>
      <w:pPr>
        <w:numPr>
          <w:ilvl w:val="0"/>
          <w:numId w:val="1003"/>
        </w:numPr>
        <w:pStyle w:val="Compact"/>
      </w:pPr>
      <w:r>
        <w:t xml:space="preserve">three recompression stages lifting the gas from each separator to the</w:t>
      </w:r>
      <w:r>
        <w:t xml:space="preserve"> </w:t>
      </w:r>
      <w:r>
        <w:t xml:space="preserve">pressure of the previous one, each followed by a cooler to 30 °C and a</w:t>
      </w:r>
      <w:r>
        <w:t xml:space="preserve"> </w:t>
      </w:r>
      <w:r>
        <w:t xml:space="preserve">scrubber;</w:t>
      </w:r>
    </w:p>
    <w:p>
      <w:pPr>
        <w:numPr>
          <w:ilvl w:val="0"/>
          <w:numId w:val="1003"/>
        </w:numPr>
        <w:pStyle w:val="Compact"/>
      </w:pPr>
      <w:r>
        <w:t xml:space="preserve">gas export compression from 70 to 180 bara, which agrees with the 179 bar</w:t>
      </w:r>
      <w:r>
        <w:t xml:space="preserve"> </w:t>
      </w:r>
      <w:r>
        <w:t xml:space="preserve">reported for a real platform (Voldsund et al. 2014);</w:t>
      </w:r>
    </w:p>
    <w:p>
      <w:pPr>
        <w:numPr>
          <w:ilvl w:val="0"/>
          <w:numId w:val="1003"/>
        </w:numPr>
        <w:pStyle w:val="Compact"/>
      </w:pPr>
      <w:r>
        <w:t xml:space="preserve">oil export pumping to 50 bara;</w:t>
      </w:r>
    </w:p>
    <w:p>
      <w:pPr>
        <w:numPr>
          <w:ilvl w:val="0"/>
          <w:numId w:val="1003"/>
        </w:numPr>
        <w:pStyle w:val="Compact"/>
      </w:pPr>
      <w:r>
        <w:t xml:space="preserve">water injection pumps from 7 to 250 bara;</w:t>
      </w:r>
    </w:p>
    <w:p>
      <w:pPr>
        <w:numPr>
          <w:ilvl w:val="0"/>
          <w:numId w:val="1003"/>
        </w:numPr>
        <w:pStyle w:val="Compact"/>
      </w:pPr>
      <w:r>
        <w:t xml:space="preserve">seawater lift pumps that supply cooling water (10 K temperature rise) and</w:t>
      </w:r>
      <w:r>
        <w:t xml:space="preserve"> </w:t>
      </w:r>
      <w:r>
        <w:t xml:space="preserve">make-up water for injection, with seawater properties from</w:t>
      </w:r>
      <w:r>
        <w:t xml:space="preserve"> </w:t>
      </w:r>
      <w:r>
        <w:t xml:space="preserve">(Sharqawy et al. 2010);</w:t>
      </w:r>
    </w:p>
    <w:p>
      <w:pPr>
        <w:numPr>
          <w:ilvl w:val="0"/>
          <w:numId w:val="1003"/>
        </w:numPr>
        <w:pStyle w:val="Compact"/>
      </w:pPr>
      <w:r>
        <w:t xml:space="preserve">a fixed utility load of 3.5 MW and a process heat demand of 3 MW.</w:t>
      </w:r>
    </w:p>
    <w:p>
      <w:pPr>
        <w:pStyle w:val="FirstParagraph"/>
      </w:pPr>
      <w:r>
        <w:t xml:space="preserve">Compressor isentropic efficiency (0.75), pump efficiencies, the injection</w:t>
      </w:r>
      <w:r>
        <w:t xml:space="preserve"> </w:t>
      </w:r>
      <w:r>
        <w:t xml:space="preserve">pressure and the utility load follow LEOGO (Svendsen et al. 2023). The design point</w:t>
      </w:r>
      <w:r>
        <w:t xml:space="preserve"> </w:t>
      </w:r>
      <w:r>
        <w:t xml:space="preserve">is 15,000 Sm³/d of oil with a gas–oil ratio of 179 Sm³/Sm³ (2.68 MSm³/d of</w:t>
      </w:r>
      <w:r>
        <w:t xml:space="preserve"> </w:t>
      </w:r>
      <w:r>
        <w:t xml:space="preserve">gas export), a water cut of 40 % (10,000 m³/d of produced water) and</w:t>
      </w:r>
      <w:r>
        <w:t xml:space="preserve"> </w:t>
      </w:r>
      <w:r>
        <w:t xml:space="preserve">25,000 m³/d of water injection capacity. The resulting electric demand is</w:t>
      </w:r>
      <w:r>
        <w:t xml:space="preserve"> </w:t>
      </w:r>
      <w:r>
        <w:t xml:space="preserve">20.3 MW at full injection (Table 1). At the injection target of 85 % of</w:t>
      </w:r>
      <w:r>
        <w:t xml:space="preserve"> </w:t>
      </w:r>
      <w:r>
        <w:t xml:space="preserve">capacity (Section 2.5) the demand is 18.8 MW.</w:t>
      </w:r>
    </w:p>
    <w:p>
      <w:pPr>
        <w:pStyle w:val="BodyText"/>
      </w:pPr>
      <w:r>
        <w:rPr>
          <w:bCs/>
          <w:b/>
        </w:rPr>
        <w:t xml:space="preserve">Table 1.</w:t>
      </w:r>
      <w:r>
        <w:t xml:space="preserve"> </w:t>
      </w:r>
      <w:r>
        <w:t xml:space="preserve">Electric power at the design point.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000000"/>
          <w:bottom w:val="single" w:sz="4" w:space="0" w:color="000000"/>
          <w:left w:val="nil" w:sz="4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Consumer</w:t>
            </w:r>
          </w:p>
        </w:tc>
        <w:tc>
          <w:tcPr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Class</w:t>
            </w:r>
          </w:p>
        </w:tc>
        <w:tc>
          <w:tcPr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Trains</w:t>
            </w:r>
          </w:p>
        </w:tc>
        <w:tc>
          <w:tcPr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Power [MW]</w:t>
            </w:r>
          </w:p>
        </w:tc>
        <w:tc>
          <w:tcPr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Share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Water injection pumps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flexible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3 × 33 %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9.19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45 %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 export compression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sheddable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 × 50 %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3.73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18 %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Utilities and base load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must-run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–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3.50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17 %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Recompression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sheddable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 × 100 %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1.95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10 %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Oil export pumps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sheddable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 × 50 %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1.48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7 %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Seawater lift pumps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mixed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3 × 33 %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0.44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2 %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bCs/>
                <w:b/>
                <w:sz w:val="20"/>
              </w:rPr>
              <w:t xml:space="preserve">Total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bCs/>
                <w:b/>
                <w:sz w:val="20"/>
              </w:rPr>
              <w:t xml:space="preserve">20.29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</w:p>
        </w:tc>
      </w:tr>
    </w:tbl>
    <w:p>
      <w:pPr>
        <w:pStyle w:val="BodyText"/>
        <w:spacing w:before="200"/>
      </w:pPr>
      <w:r>
        <w:t xml:space="preserve">At fixed pressures and efficiencies, steady-state power is proportional to</w:t>
      </w:r>
      <w:r>
        <w:t xml:space="preserve"> </w:t>
      </w:r>
      <w:r>
        <w:t xml:space="preserve">flow, so a simple flow-scaled power curve would make every consumer</w:t>
      </w:r>
      <w:r>
        <w:t xml:space="preserve"> </w:t>
      </w:r>
      <w:r>
        <w:t xml:space="preserve">perfectly flexible. Real equipment is not, so each consumer is</w:t>
      </w:r>
      <w:r>
        <w:t xml:space="preserve"> </w:t>
      </w:r>
      <w:r>
        <w:t xml:space="preserve">represented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identical parallel trains, of which the smallest number</w:t>
      </w:r>
      <w:r>
        <w:t xml:space="preserve"> </w:t>
      </w:r>
      <w:r>
        <w:t xml:space="preserve">that can carry the flow is running, and by a minimum flow per train,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  <m:r>
              <m:t>i</m:t>
            </m:r>
            <m:r>
              <m:t>n</m:t>
            </m:r>
          </m:sub>
        </m:sSub>
      </m:oMath>
      <w:r>
        <w:t xml:space="preserve">, below which the train recycles. For a flow fraction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power is</w:t>
      </w:r>
    </w:p>
    <w:tbl>
      <w:tblPr>
        <w:tblW w:type="auto" w:w="0"/>
        <w:tblLook w:firstColumn="0" w:firstRow="0" w:lastColumn="0" w:lastRow="0" w:noHBand="0" w:noVBand="1" w:val="0000"/>
        <w:tblBorders>
          <w:top w:val="nil" w:sz="4" w:space="0" w:color="000000"/>
          <w:left w:val="nil" w:sz="4" w:space="0" w:color="000000"/>
          <w:bottom w:val="nil" w:sz="4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</w:tblPr>
      <w:tblGrid>
        <w:gridCol w:w="680"/>
        <w:gridCol w:w="7540"/>
        <w:gridCol w:w="850"/>
      </w:tblGrid>
      <w:tr>
        <w:tc>
          <w:tcPr>
            <w:tcW w:type="dxa" w:w="68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/>
        </w:tc>
        <w:tc>
          <w:tcPr>
            <w:tcW w:type="dxa" w:w="754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>
            <w:pPr>
              <w:spacing w:before="60" w:after="60"/>
              <w:jc w:val="center"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f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P</m:t>
                    </m:r>
                  </m:e>
                  <m:sub>
                    <m:r>
                      <m:t>d</m:t>
                    </m:r>
                    <m:r>
                      <m:t>e</m:t>
                    </m:r>
                    <m:r>
                      <m:t>s</m:t>
                    </m:r>
                    <m:r>
                      <m:t>i</m:t>
                    </m:r>
                    <m:r>
                      <m:t>g</m:t>
                    </m:r>
                    <m:r>
                      <m:t>n</m:t>
                    </m:r>
                  </m:sub>
                </m:sSub>
                <m:r>
                  <m:t> 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n</m:t>
                        </m:r>
                      </m:e>
                      <m:sub>
                        <m:r>
                          <m:t>r</m:t>
                        </m:r>
                        <m:r>
                          <m:t>u</m:t>
                        </m:r>
                        <m:r>
                          <m:t>n</m:t>
                        </m:r>
                      </m:sub>
                    </m:sSub>
                  </m:num>
                  <m:den>
                    <m:r>
                      <m:t>n</m:t>
                    </m:r>
                  </m:den>
                </m:f>
                <m:r>
                  <m:t> </m:t>
                </m:r>
                <m:r>
                  <m:rPr>
                    <m:sty m:val="p"/>
                  </m:rPr>
                  <m:t>max</m:t>
                </m:r>
                <m:r>
                  <m:t>​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t> </m:t>
                        </m:r>
                        <m:r>
                          <m:t>n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r</m:t>
                            </m:r>
                            <m:r>
                              <m:t>u</m:t>
                            </m:r>
                            <m:r>
                              <m:t>n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m</m:t>
                        </m:r>
                        <m:r>
                          <m:t>i</m:t>
                        </m:r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n</m:t>
                    </m:r>
                  </m:e>
                  <m:sub>
                    <m:r>
                      <m:t>r</m:t>
                    </m:r>
                    <m:r>
                      <m:t>u</m:t>
                    </m:r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⌈"/>
                    <m:endChr m:val="⌉"/>
                    <m:sepChr m:val=""/>
                    <m:grow/>
                  </m:dPr>
                  <m:e>
                    <m:r>
                      <m:t>f</m:t>
                    </m:r>
                    <m:r>
                      <m:t> </m:t>
                    </m:r>
                    <m:r>
                      <m:t>n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</w:tc>
        <w:tc>
          <w:tcPr>
            <w:tcW w:type="dxa" w:w="85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>
            <w:pPr>
              <w:spacing w:before="60" w:after="60"/>
              <w:jc w:val="right"/>
            </w:pPr>
            <w:r>
              <w:rPr>
                <w:sz w:val="20"/>
              </w:rPr>
              <w:t>(3)</w:t>
            </w:r>
          </w:p>
        </w:tc>
      </w:tr>
    </w:tbl>
    <w:p>
      <w:pPr>
        <w:pStyle w:val="FirstParagraph"/>
      </w:pPr>
      <w:r>
        <w:t xml:space="preserve">and zero when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. Recycle represents anti-surge recycle for compressors</w:t>
      </w:r>
      <w:r>
        <w:t xml:space="preserve"> </w:t>
      </w:r>
      <w:r>
        <w:t xml:space="preserve">and minimum-flow recirculation for pumps. The minimum flow is 70 % for</w:t>
      </w:r>
      <w:r>
        <w:t xml:space="preserve"> </w:t>
      </w:r>
      <w:r>
        <w:t xml:space="preserve">compressors and 30 % for pumps. These values are assumptions; anti-surge</w:t>
      </w:r>
      <w:r>
        <w:t xml:space="preserve"> </w:t>
      </w:r>
      <w:r>
        <w:t xml:space="preserve">recycle rates between 4 % and 92 % of compressor flow have been reported on</w:t>
      </w:r>
      <w:r>
        <w:t xml:space="preserve"> </w:t>
      </w:r>
      <w:r>
        <w:t xml:space="preserve">real North Sea platforms (Voldsund et al. 2014), which shows that recycle is common</w:t>
      </w:r>
      <w:r>
        <w:t xml:space="preserve"> </w:t>
      </w:r>
      <w:r>
        <w:t xml:space="preserve">in practice.</w:t>
      </w:r>
    </w:p>
    <w:bookmarkEnd w:id="27"/>
    <w:bookmarkStart w:id="28" w:name="consumer-classes-and-levers"/>
    <w:p>
      <w:pPr>
        <w:pStyle w:val="Heading2"/>
      </w:pPr>
      <w:r>
        <w:t xml:space="preserve">2.5 Consumer classes and levers</w:t>
      </w:r>
    </w:p>
    <w:p>
      <w:pPr>
        <w:pStyle w:val="FirstParagraph"/>
      </w:pPr>
      <w:r>
        <w:t xml:space="preserve">Each consumer is assigned to one class and one operating lever (Figure 1):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Must-run</w:t>
      </w:r>
      <w:r>
        <w:t xml:space="preserve">: utilities and base load, never reduced.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Flexible (deferrable)</w:t>
      </w:r>
      <w:r>
        <w:t xml:space="preserve">: water injection pumps. The lever is the</w:t>
      </w:r>
      <w:r>
        <w:t xml:space="preserve"> </w:t>
      </w:r>
      <w:r>
        <w:t xml:space="preserve">injection rate</w:t>
      </w:r>
      <w:r>
        <w:t xml:space="preserve"> </w:t>
      </w:r>
      <m:oMath>
        <m:sSub>
          <m:e>
            <m:r>
              <m:t>f</m:t>
            </m:r>
          </m:e>
          <m:sub>
            <m:r>
              <m:t>w</m:t>
            </m:r>
            <m:r>
              <m:t>i</m:t>
            </m:r>
          </m:sub>
        </m:sSub>
      </m:oMath>
      <w:r>
        <w:t xml:space="preserve">. Postponed injection is not lost but must be</w:t>
      </w:r>
      <w:r>
        <w:t xml:space="preserve"> </w:t>
      </w:r>
      <w:r>
        <w:t xml:space="preserve">caught up.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Sheddable</w:t>
      </w:r>
      <w:r>
        <w:t xml:space="preserve">: recompression, gas export compression and oil export pumps.</w:t>
      </w:r>
      <w:r>
        <w:t xml:space="preserve"> </w:t>
      </w:r>
      <w:r>
        <w:t xml:space="preserve">The lever is the production rate</w:t>
      </w:r>
      <w:r>
        <w:t xml:space="preserve"> </w:t>
      </w:r>
      <m:oMath>
        <m:sSub>
          <m:e>
            <m:r>
              <m:t>f</m:t>
            </m:r>
          </m:e>
          <m:sub>
            <m:r>
              <m:t>p</m:t>
            </m:r>
          </m:sub>
        </m:sSub>
      </m:oMath>
      <w:r>
        <w:t xml:space="preserve">; any reduction is lost production.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Mixed</w:t>
      </w:r>
      <w:r>
        <w:t xml:space="preserve">: seawater lift pumps, whose cooling part follows</w:t>
      </w:r>
      <w:r>
        <w:t xml:space="preserve"> </w:t>
      </w:r>
      <m:oMath>
        <m:sSub>
          <m:e>
            <m:r>
              <m:t>f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r>
        <w:t xml:space="preserve">make-up part follows</w:t>
      </w:r>
      <w:r>
        <w:t xml:space="preserve"> </w:t>
      </w:r>
      <m:oMath>
        <m:sSub>
          <m:e>
            <m:r>
              <m:t>f</m:t>
            </m:r>
          </m:e>
          <m:sub>
            <m:r>
              <m:t>w</m:t>
            </m:r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power of each lever group is the sum of the train curves of its</w:t>
      </w:r>
      <w:r>
        <w:t xml:space="preserve"> </w:t>
      </w:r>
      <w:r>
        <w:t xml:space="preserve">consumers. It is a piecewise-linear function of the lever with steps where</w:t>
      </w:r>
      <w:r>
        <w:t xml:space="preserve"> </w:t>
      </w:r>
      <w:r>
        <w:t xml:space="preserve">a train starts at its minimum flow (Figure 2), and it enters the scheduling</w:t>
      </w:r>
      <w:r>
        <w:t xml:space="preserve"> </w:t>
      </w:r>
      <w:r>
        <w:t xml:space="preserve">model through incremental binary variables, one per segment. Production can</w:t>
      </w:r>
      <w:r>
        <w:t xml:space="preserve"> </w:t>
      </w:r>
      <w:r>
        <w:t xml:space="preserve">be turned down to 50 % of design and changed by at most 10 % of design per</w:t>
      </w:r>
      <w:r>
        <w:t xml:space="preserve"> </w:t>
      </w:r>
      <w:r>
        <w:t xml:space="preserve">hour, which represents the speed at which well chokes and the separation</w:t>
      </w:r>
      <w:r>
        <w:t xml:space="preserve"> </w:t>
      </w:r>
      <w:r>
        <w:t xml:space="preserve">process can be adjusted. Injection can vary between 0 and 100 % of pump</w:t>
      </w:r>
      <w:r>
        <w:t xml:space="preserve"> </w:t>
      </w:r>
      <w:r>
        <w:t xml:space="preserve">capacity, by at most 34 % per hour, about one pump started or stopped.</w:t>
      </w:r>
    </w:p>
    <w:p>
      <w:pPr>
        <w:pStyle w:val="BodyText"/>
      </w:pPr>
      <w:r>
        <w:t xml:space="preserve">The average injection must meet a voidage-replacement target, set here to</w:t>
      </w:r>
      <w:r>
        <w:t xml:space="preserve"> </w:t>
      </w:r>
      <w:r>
        <w:t xml:space="preserve">85 % of capacity. This is modelled as a virtual storage: postponing</w:t>
      </w:r>
      <w:r>
        <w:t xml:space="preserve"> </w:t>
      </w:r>
      <w:r>
        <w:t xml:space="preserve">injection builds a deficit, measured in hours of full-rate injection,</w:t>
      </w:r>
    </w:p>
    <w:tbl>
      <w:tblPr>
        <w:tblW w:type="auto" w:w="0"/>
        <w:tblLook w:firstColumn="0" w:firstRow="0" w:lastColumn="0" w:lastRow="0" w:noHBand="0" w:noVBand="1" w:val="0000"/>
        <w:tblBorders>
          <w:top w:val="nil" w:sz="4" w:space="0" w:color="000000"/>
          <w:left w:val="nil" w:sz="4" w:space="0" w:color="000000"/>
          <w:bottom w:val="nil" w:sz="4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</w:tblPr>
      <w:tblGrid>
        <w:gridCol w:w="680"/>
        <w:gridCol w:w="7540"/>
        <w:gridCol w:w="850"/>
      </w:tblGrid>
      <w:tr>
        <w:tc>
          <w:tcPr>
            <w:tcW w:type="dxa" w:w="68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/>
        </w:tc>
        <w:tc>
          <w:tcPr>
            <w:tcW w:type="dxa" w:w="754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>
            <w:pPr>
              <w:spacing w:before="60" w:after="60"/>
              <w:jc w:val="center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D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Sup>
                      <m:e>
                        <m:r>
                          <m:t>f</m:t>
                        </m:r>
                      </m:e>
                      <m:sub>
                        <m:r>
                          <m:t>w</m:t>
                        </m:r>
                        <m:r>
                          <m:t>i</m:t>
                        </m:r>
                      </m:sub>
                      <m:sup>
                        <m:r>
                          <m:t>t</m:t>
                        </m:r>
                        <m:r>
                          <m:t>a</m:t>
                        </m:r>
                        <m:r>
                          <m:t>r</m:t>
                        </m:r>
                        <m:r>
                          <m:t>g</m:t>
                        </m:r>
                        <m:r>
                          <m:t>e</m:t>
                        </m:r>
                        <m:r>
                          <m:t>t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w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</m:sub>
                    </m:sSub>
                  </m:e>
                </m:d>
                <m:r>
                  <m:t>Δ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0</m:t>
                </m:r>
                <m:r>
                  <m:rPr>
                    <m:sty m:val="p"/>
                  </m:rPr>
                  <m:t>≤</m:t>
                </m:r>
                <m:sSub>
                  <m:e>
                    <m:r>
                      <m:t>D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≤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  <m:r>
                      <m:t>a</m:t>
                    </m:r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</w:tc>
        <w:tc>
          <w:tcPr>
            <w:tcW w:type="dxa" w:w="85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>
            <w:pPr>
              <w:spacing w:before="60" w:after="60"/>
              <w:jc w:val="right"/>
            </w:pPr>
            <w:r>
              <w:rPr>
                <w:sz w:val="20"/>
              </w:rPr>
              <w:t>(4)</w:t>
            </w:r>
          </w:p>
        </w:tc>
      </w:tr>
    </w:tbl>
    <w:p>
      <w:pPr>
        <w:pStyle w:val="FirstParagraph"/>
      </w:pPr>
      <w:r>
        <w:t xml:space="preserve">with</w:t>
      </w:r>
      <w:r>
        <w:t xml:space="preserve"> </w:t>
      </w:r>
      <m:oMath>
        <m:r>
          <m:t>Δ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h and</w:t>
      </w:r>
      <w:r>
        <w:t xml:space="preserve"> </w:t>
      </w:r>
      <m:oMath>
        <m:sSub>
          <m:e>
            <m:r>
              <m:t>D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  <m:r>
          <m:rPr>
            <m:sty m:val="p"/>
          </m:rPr>
          <m:t>=</m:t>
        </m:r>
        <m:r>
          <m:t>72</m:t>
        </m:r>
      </m:oMath>
      <w:r>
        <w:t xml:space="preserve"> </w:t>
      </w:r>
      <w:r>
        <w:t xml:space="preserve">h. The lower bound prevents</w:t>
      </w:r>
      <w:r>
        <w:t xml:space="preserve"> </w:t>
      </w:r>
      <w:r>
        <w:t xml:space="preserve">injection from being brought forward, which the reservoir may not tolerate</w:t>
      </w:r>
      <w:r>
        <w:t xml:space="preserve"> </w:t>
      </w:r>
      <w:r>
        <w:t xml:space="preserve">either. The upper bound represents how much injection the reservoir</w:t>
      </w:r>
      <w:r>
        <w:t xml:space="preserve"> </w:t>
      </w:r>
      <w:r>
        <w:t xml:space="preserve">tolerates being postponed. It depends on the reservoir and is uncertain, so</w:t>
      </w:r>
      <w:r>
        <w:t xml:space="preserve"> </w:t>
      </w:r>
      <w:r>
        <w:t xml:space="preserve">it is varied from 0 to 168 h in the sensitivity analysis.</w:t>
      </w:r>
    </w:p>
    <w:bookmarkEnd w:id="28"/>
    <w:bookmarkStart w:id="29" w:name="scheduling-model"/>
    <w:p>
      <w:pPr>
        <w:pStyle w:val="Heading2"/>
      </w:pPr>
      <w:r>
        <w:t xml:space="preserve">2.6 Scheduling model</w:t>
      </w:r>
    </w:p>
    <w:p>
      <w:pPr>
        <w:pStyle w:val="FirstParagraph"/>
      </w:pPr>
      <w:r>
        <w:t xml:space="preserve">The schedule is found with a mixed-integer linear program over each window</w:t>
      </w:r>
      <w:r>
        <w:t xml:space="preserve"> </w:t>
      </w:r>
      <w:r>
        <w:t xml:space="preserve">of hours</w:t>
      </w:r>
      <w:r>
        <w:t xml:space="preserve"> </w:t>
      </w:r>
      <m:oMath>
        <m:r>
          <m:t>T</m:t>
        </m:r>
      </m:oMath>
      <w:r>
        <w:t xml:space="preserve">. The objective minimises the operating cost in NOK,</w:t>
      </w:r>
    </w:p>
    <w:tbl>
      <w:tblPr>
        <w:tblW w:type="auto" w:w="0"/>
        <w:tblLook w:firstColumn="0" w:firstRow="0" w:lastColumn="0" w:lastRow="0" w:noHBand="0" w:noVBand="1" w:val="0000"/>
        <w:tblBorders>
          <w:top w:val="nil" w:sz="4" w:space="0" w:color="000000"/>
          <w:left w:val="nil" w:sz="4" w:space="0" w:color="000000"/>
          <w:bottom w:val="nil" w:sz="4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</w:tblPr>
      <w:tblGrid>
        <w:gridCol w:w="680"/>
        <w:gridCol w:w="7540"/>
        <w:gridCol w:w="850"/>
      </w:tblGrid>
      <w:tr>
        <w:tc>
          <w:tcPr>
            <w:tcW w:type="dxa" w:w="68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/>
        </w:tc>
        <w:tc>
          <w:tcPr>
            <w:tcW w:type="dxa" w:w="754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>
            <w:pPr>
              <w:spacing w:before="60" w:after="60"/>
              <w:jc w:val="center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min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b>
                              <m:e>
                                <m:r>
                                  <m:t>c</m:t>
                                </m:r>
                              </m:e>
                              <m:sub>
                                <m:r>
                                  <m:t>g</m:t>
                                </m:r>
                                <m:r>
                                  <m:t>a</m:t>
                                </m:r>
                                <m:r>
                                  <m:t>s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c</m:t>
                                </m:r>
                              </m:e>
                              <m:sub>
                                <m:r>
                                  <m:t>C</m:t>
                                </m:r>
                                <m:r>
                                  <m:t>O</m:t>
                                </m:r>
                                <m:r>
                                  <m:t>2</m:t>
                                </m:r>
                              </m:sub>
                            </m:sSub>
                            <m:r>
                              <m:t> </m:t>
                            </m:r>
                            <m:sSub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C</m:t>
                                </m:r>
                                <m:r>
                                  <m:t>O</m:t>
                                </m:r>
                                <m:r>
                                  <m:t>2</m:t>
                                </m:r>
                              </m:sub>
                            </m:sSub>
                          </m:e>
                        </m:d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g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Q</m:t>
                                    </m:r>
                                  </m:e>
                                  <m:sub>
                                    <m:r>
                                      <m:t>g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,</m:t>
                                    </m:r>
                                    <m:r>
                                      <m:t>t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L</m:t>
                                </m:r>
                                <m:r>
                                  <m:t>H</m:t>
                                </m:r>
                                <m:r>
                                  <m:t>V</m:t>
                                </m:r>
                              </m:den>
                            </m:f>
                          </m:e>
                        </m:nary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r</m:t>
                            </m:r>
                            <m:r>
                              <m:t>o</m:t>
                            </m:r>
                            <m:r>
                              <m:t>d</m:t>
                            </m:r>
                          </m:sub>
                        </m:sSub>
                        <m:r>
                          <m:t> 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f</m:t>
                                </m:r>
                              </m:e>
                              <m:sub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t</m:t>
                                </m:r>
                              </m:sub>
                            </m:sSub>
                          </m:e>
                        </m:d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s</m:t>
                            </m:r>
                            <m:r>
                              <m:t>t</m:t>
                            </m:r>
                            <m:r>
                              <m:t>a</m:t>
                            </m:r>
                            <m:r>
                              <m:t>r</m:t>
                            </m:r>
                            <m:r>
                              <m:t>t</m:t>
                            </m:r>
                          </m:sub>
                        </m:sSub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g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g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t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e</m:t>
                            </m:r>
                            <m:r>
                              <m:t>n</m:t>
                            </m:r>
                          </m:sub>
                        </m:sSub>
                        <m:r>
                          <m:t> 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bSup>
                              <m:e>
                                <m:r>
                                  <m:t>P</m:t>
                                </m:r>
                              </m:e>
                              <m:sub>
                                <m:r>
                                  <m:t>t</m:t>
                                </m:r>
                              </m:sub>
                              <m:sup>
                                <m:r>
                                  <m:t>u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t</m:t>
                                </m:r>
                              </m:sub>
                              <m:sup>
                                <m:r>
                                  <m:t>u</m:t>
                                </m:r>
                              </m:sup>
                            </m:sSubSup>
                          </m:e>
                        </m:d>
                      </m:e>
                    </m:d>
                  </m:e>
                </m:nary>
                <m:r>
                  <m:t>Δ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</m:oMath>
            </m:oMathPara>
          </w:p>
        </w:tc>
        <w:tc>
          <w:tcPr>
            <w:tcW w:type="dxa" w:w="85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>
            <w:pPr>
              <w:spacing w:before="60" w:after="60"/>
              <w:jc w:val="right"/>
            </w:pPr>
            <w:r>
              <w:rPr>
                <w:sz w:val="20"/>
              </w:rPr>
              <w:t>(5)</w:t>
            </w:r>
          </w:p>
        </w:tc>
      </w:tr>
    </w:tbl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g</m:t>
            </m:r>
            <m:r>
              <m:t>a</m:t>
            </m:r>
            <m:r>
              <m:t>s</m:t>
            </m:r>
          </m:sub>
        </m:sSub>
        <m:r>
          <m:rPr>
            <m:sty m:val="p"/>
          </m:rPr>
          <m:t>=</m:t>
        </m:r>
        <m:r>
          <m:t>4.19</m:t>
        </m:r>
      </m:oMath>
      <w:r>
        <w:t xml:space="preserve"> </w:t>
      </w:r>
      <w:r>
        <w:t xml:space="preserve">NOK/Sm³ is the value of fuel gas, which could</w:t>
      </w:r>
      <w:r>
        <w:t xml:space="preserve"> </w:t>
      </w:r>
      <w:r>
        <w:t xml:space="preserve">otherwise be sold,</w:t>
      </w:r>
      <w:r>
        <w:t xml:space="preserve"> </w:t>
      </w:r>
      <m:oMath>
        <m:sSub>
          <m:e>
            <m:r>
              <m:t>c</m:t>
            </m:r>
          </m:e>
          <m:sub>
            <m:r>
              <m:t>C</m:t>
            </m:r>
            <m:r>
              <m:t>O</m:t>
            </m:r>
            <m:r>
              <m:t>2</m:t>
            </m:r>
          </m:sub>
        </m:sSub>
        <m:r>
          <m:rPr>
            <m:sty m:val="p"/>
          </m:rPr>
          <m:t>=</m:t>
        </m:r>
        <m:r>
          <m:t>2.0</m:t>
        </m:r>
      </m:oMath>
      <w:r>
        <w:t xml:space="preserve"> </w:t>
      </w:r>
      <w:r>
        <w:t xml:space="preserve">NOK/kg is the Norwegian target for the</w:t>
      </w:r>
      <w:r>
        <w:t xml:space="preserve"> </w:t>
      </w:r>
      <w:r>
        <w:t xml:space="preserve">total CO2 price in 2030 (Norwegian Ministry of Climate and Environment 2021),</w:t>
      </w:r>
      <w:r>
        <w:t xml:space="preserve"> </w:t>
      </w:r>
      <m:oMath>
        <m:sSub>
          <m:e>
            <m:r>
              <m:t>e</m:t>
            </m:r>
          </m:e>
          <m:sub>
            <m:r>
              <m:t>C</m:t>
            </m:r>
            <m:r>
              <m:t>O</m:t>
            </m:r>
            <m:r>
              <m:t>2</m:t>
            </m:r>
          </m:sub>
        </m:sSub>
      </m:oMath>
      <w:r>
        <w:t xml:space="preserve"> </w:t>
      </w:r>
      <w:r>
        <w:t xml:space="preserve">is the emission factor,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  <m:r>
              <m:t>r</m:t>
            </m:r>
            <m:r>
              <m:t>o</m:t>
            </m:r>
            <m:r>
              <m:t>d</m:t>
            </m:r>
          </m:sub>
        </m:sSub>
      </m:oMath>
      <w:r>
        <w:t xml:space="preserve"> </w:t>
      </w:r>
      <w:r>
        <w:t xml:space="preserve">is the hourly value of design production (oil at 4,190 NOK/Sm³</w:t>
      </w:r>
      <w:r>
        <w:t xml:space="preserve"> </w:t>
      </w:r>
      <w:r>
        <w:t xml:space="preserve">and gas at the gas price) and</w:t>
      </w:r>
      <w:r>
        <w:t xml:space="preserve"> </w:t>
      </w:r>
      <m:oMath>
        <m:sSub>
          <m:e>
            <m:r>
              <m:t>c</m:t>
            </m:r>
          </m:e>
          <m:sub>
            <m:r>
              <m:t>s</m:t>
            </m:r>
            <m:r>
              <m:t>t</m:t>
            </m:r>
            <m:r>
              <m:t>a</m:t>
            </m:r>
            <m:r>
              <m:t>r</m:t>
            </m:r>
            <m:r>
              <m:t>t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NOK per GT start</w:t>
      </w:r>
      <w:r>
        <w:t xml:space="preserve"> </w:t>
      </w:r>
      <w:r>
        <w:t xml:space="preserve">(Svendsen et al. 2023). Unserved energy</w:t>
      </w:r>
      <w:r>
        <w:t xml:space="preserve"> </w:t>
      </w:r>
      <m:oMath>
        <m:sSubSup>
          <m:e>
            <m:r>
              <m:t>P</m:t>
            </m:r>
          </m:e>
          <m:sub>
            <m:r>
              <m:t>t</m:t>
            </m:r>
          </m:sub>
          <m:sup>
            <m:r>
              <m:t>u</m:t>
            </m:r>
          </m:sup>
        </m:sSubSup>
      </m:oMath>
      <w:r>
        <w:t xml:space="preserve"> </w:t>
      </w:r>
      <w:r>
        <w:t xml:space="preserve">and missing reserve</w:t>
      </w:r>
      <w:r>
        <w:t xml:space="preserve"> </w:t>
      </w:r>
      <m:oMath>
        <m:sSubSup>
          <m:e>
            <m:r>
              <m:t>R</m:t>
            </m:r>
          </m:e>
          <m:sub>
            <m:r>
              <m:t>t</m:t>
            </m:r>
          </m:sub>
          <m:sup>
            <m:r>
              <m:t>u</m:t>
            </m:r>
          </m:sup>
        </m:sSubSup>
      </m:oMath>
      <w:r>
        <w:t xml:space="preserve"> </w:t>
      </w:r>
      <w:r>
        <w:t xml:space="preserve">are</w:t>
      </w:r>
      <w:r>
        <w:t xml:space="preserve"> </w:t>
      </w:r>
      <w:r>
        <w:t xml:space="preserve">allowed only at a penalty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  <m:r>
              <m:t>e</m:t>
            </m:r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NOK/MWh to keep every window</w:t>
      </w:r>
      <w:r>
        <w:t xml:space="preserve"> </w:t>
      </w:r>
      <w:r>
        <w:t xml:space="preserve">feasible; in all reported runs they are below 0.03 MWh/yr.</w:t>
      </w:r>
    </w:p>
    <w:p>
      <w:pPr>
        <w:pStyle w:val="BodyText"/>
      </w:pPr>
      <w:r>
        <w:t xml:space="preserve">The main constraints are:</w:t>
      </w:r>
    </w:p>
    <w:tbl>
      <w:tblPr>
        <w:tblW w:type="auto" w:w="0"/>
        <w:tblLook w:firstColumn="0" w:firstRow="0" w:lastColumn="0" w:lastRow="0" w:noHBand="0" w:noVBand="1" w:val="0000"/>
        <w:tblBorders>
          <w:top w:val="nil" w:sz="4" w:space="0" w:color="000000"/>
          <w:left w:val="nil" w:sz="4" w:space="0" w:color="000000"/>
          <w:bottom w:val="nil" w:sz="4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</w:tblPr>
      <w:tblGrid>
        <w:gridCol w:w="680"/>
        <w:gridCol w:w="7540"/>
        <w:gridCol w:w="850"/>
      </w:tblGrid>
      <w:tr>
        <w:tc>
          <w:tcPr>
            <w:tcW w:type="dxa" w:w="68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/>
        </w:tc>
        <w:tc>
          <w:tcPr>
            <w:tcW w:type="dxa" w:w="754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>
            <w:pPr>
              <w:spacing w:before="60" w:after="60"/>
              <w:jc w:val="center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g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g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+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w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d</m:t>
                    </m:r>
                    <m:r>
                      <m:t>i</m:t>
                    </m:r>
                    <m:r>
                      <m:t>s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u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d</m:t>
                    </m:r>
                    <m:r>
                      <m:t>e</m:t>
                    </m:r>
                    <m:r>
                      <m:t>m</m:t>
                    </m:r>
                  </m:sup>
                </m:sSub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f</m:t>
                        </m:r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w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+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h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c</m:t>
                    </m:r>
                    <m:r>
                      <m:t>h</m:t>
                    </m:r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</w:tc>
        <w:tc>
          <w:tcPr>
            <w:tcW w:type="dxa" w:w="85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>
            <w:pPr>
              <w:spacing w:before="60" w:after="60"/>
              <w:jc w:val="right"/>
            </w:pPr>
            <w:r>
              <w:rPr>
                <w:sz w:val="20"/>
              </w:rPr>
              <w:t>(6)</w:t>
            </w:r>
          </w:p>
        </w:tc>
      </w:tr>
    </w:tbl>
    <w:tbl>
      <w:tblPr>
        <w:tblW w:type="auto" w:w="0"/>
        <w:tblLook w:firstColumn="0" w:firstRow="0" w:lastColumn="0" w:lastRow="0" w:noHBand="0" w:noVBand="1" w:val="0000"/>
        <w:tblBorders>
          <w:top w:val="nil" w:sz="4" w:space="0" w:color="000000"/>
          <w:left w:val="nil" w:sz="4" w:space="0" w:color="000000"/>
          <w:bottom w:val="nil" w:sz="4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</w:tblPr>
      <w:tblGrid>
        <w:gridCol w:w="680"/>
        <w:gridCol w:w="7540"/>
        <w:gridCol w:w="850"/>
      </w:tblGrid>
      <w:tr>
        <w:tc>
          <w:tcPr>
            <w:tcW w:type="dxa" w:w="68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/>
        </w:tc>
        <w:tc>
          <w:tcPr>
            <w:tcW w:type="dxa" w:w="754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>
            <w:pPr>
              <w:spacing w:before="60" w:after="60"/>
              <w:jc w:val="center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w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c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a</m:t>
                    </m:r>
                    <m:r>
                      <m:t>v</m:t>
                    </m:r>
                    <m:r>
                      <m:t>a</m:t>
                    </m:r>
                    <m:r>
                      <m:t>i</m:t>
                    </m:r>
                    <m:r>
                      <m:t>l</m:t>
                    </m:r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</w:tc>
        <w:tc>
          <w:tcPr>
            <w:tcW w:type="dxa" w:w="85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>
            <w:pPr>
              <w:spacing w:before="60" w:after="60"/>
              <w:jc w:val="right"/>
            </w:pPr>
            <w:r>
              <w:rPr>
                <w:sz w:val="20"/>
              </w:rPr>
              <w:t>(7)</w:t>
            </w:r>
          </w:p>
        </w:tc>
      </w:tr>
    </w:tbl>
    <w:tbl>
      <w:tblPr>
        <w:tblW w:type="auto" w:w="0"/>
        <w:tblLook w:firstColumn="0" w:firstRow="0" w:lastColumn="0" w:lastRow="0" w:noHBand="0" w:noVBand="1" w:val="0000"/>
        <w:tblBorders>
          <w:top w:val="nil" w:sz="4" w:space="0" w:color="000000"/>
          <w:left w:val="nil" w:sz="4" w:space="0" w:color="000000"/>
          <w:bottom w:val="nil" w:sz="4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</w:tblPr>
      <w:tblGrid>
        <w:gridCol w:w="680"/>
        <w:gridCol w:w="7540"/>
        <w:gridCol w:w="850"/>
      </w:tblGrid>
      <w:tr>
        <w:tc>
          <w:tcPr>
            <w:tcW w:type="dxa" w:w="68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/>
        </w:tc>
        <w:tc>
          <w:tcPr>
            <w:tcW w:type="dxa" w:w="754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>
            <w:pPr>
              <w:spacing w:before="60" w:after="60"/>
              <w:jc w:val="center"/>
            </w:pPr>
            <m:oMathPara>
              <m:oMathParaPr>
                <m:jc m:val="center"/>
              </m:oMathParaPr>
              <m:oMath>
                <m:r>
                  <m:t>ϕ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g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t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t</m:t>
                            </m:r>
                          </m:sub>
                        </m:sSub>
                      </m:e>
                    </m:d>
                  </m:e>
                </m:nary>
                <m:r>
                  <m:rPr>
                    <m:sty m:val="p"/>
                  </m:rPr>
                  <m:t>+</m:t>
                </m:r>
                <m:sSub>
                  <m:e>
                    <m:r>
                      <m:t>η</m:t>
                    </m:r>
                  </m:e>
                  <m:sub>
                    <m:r>
                      <m:t>h</m:t>
                    </m:r>
                  </m:sub>
                </m:sSub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h</m:t>
                    </m:r>
                  </m:sup>
                </m:sSubSup>
                <m:r>
                  <m:rPr>
                    <m:sty m:val="p"/>
                  </m:rPr>
                  <m:t>≥</m:t>
                </m:r>
                <m:r>
                  <m:t>H</m:t>
                </m:r>
                <m:r>
                  <m:rPr>
                    <m:sty m:val="p"/>
                  </m:rPr>
                  <m:t>,</m:t>
                </m:r>
              </m:oMath>
            </m:oMathPara>
          </w:p>
        </w:tc>
        <w:tc>
          <w:tcPr>
            <w:tcW w:type="dxa" w:w="85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>
            <w:pPr>
              <w:spacing w:before="60" w:after="60"/>
              <w:jc w:val="right"/>
            </w:pPr>
            <w:r>
              <w:rPr>
                <w:sz w:val="20"/>
              </w:rPr>
              <w:t>(8)</w:t>
            </w:r>
          </w:p>
        </w:tc>
      </w:tr>
    </w:tbl>
    <w:tbl>
      <w:tblPr>
        <w:tblW w:type="auto" w:w="0"/>
        <w:tblLook w:firstColumn="0" w:firstRow="0" w:lastColumn="0" w:lastRow="0" w:noHBand="0" w:noVBand="1" w:val="0000"/>
        <w:tblBorders>
          <w:top w:val="nil" w:sz="4" w:space="0" w:color="000000"/>
          <w:left w:val="nil" w:sz="4" w:space="0" w:color="000000"/>
          <w:bottom w:val="nil" w:sz="4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</w:tblPr>
      <w:tblGrid>
        <w:gridCol w:w="680"/>
        <w:gridCol w:w="7540"/>
        <w:gridCol w:w="850"/>
      </w:tblGrid>
      <w:tr>
        <w:tc>
          <w:tcPr>
            <w:tcW w:type="dxa" w:w="68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/>
        </w:tc>
        <w:tc>
          <w:tcPr>
            <w:tcW w:type="dxa" w:w="754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>
            <w:pPr>
              <w:spacing w:before="60" w:after="60"/>
              <w:jc w:val="center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m</m:t>
                    </m:r>
                    <m:r>
                      <m:t>i</m:t>
                    </m:r>
                    <m:r>
                      <m:t>n</m:t>
                    </m:r>
                  </m:sub>
                </m:sSub>
                <m:r>
                  <m:t> </m:t>
                </m:r>
                <m:sSub>
                  <m:e>
                    <m:r>
                      <m:t>u</m:t>
                    </m:r>
                  </m:e>
                  <m:sub>
                    <m:r>
                      <m:t>g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≤</m:t>
                </m:r>
                <m:sSub>
                  <m:e>
                    <m:r>
                      <m:t>P</m:t>
                    </m:r>
                  </m:e>
                  <m:sub>
                    <m:r>
                      <m:t>g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≤</m:t>
                </m:r>
                <m:sSub>
                  <m:e>
                    <m:r>
                      <m:t>P</m:t>
                    </m:r>
                  </m:e>
                  <m:sub>
                    <m:r>
                      <m:t>r</m:t>
                    </m:r>
                    <m:r>
                      <m:t>a</m:t>
                    </m:r>
                    <m:r>
                      <m:t>t</m:t>
                    </m:r>
                    <m:r>
                      <m:t>e</m:t>
                    </m:r>
                    <m:r>
                      <m:t>d</m:t>
                    </m:r>
                  </m:sub>
                </m:sSub>
                <m:r>
                  <m:t> </m:t>
                </m:r>
                <m:sSub>
                  <m:e>
                    <m:r>
                      <m:t>u</m:t>
                    </m:r>
                  </m:e>
                  <m:sub>
                    <m:r>
                      <m:t>g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s</m:t>
                    </m:r>
                  </m:e>
                  <m:sub>
                    <m:r>
                      <m:t>g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≥</m:t>
                </m:r>
                <m:sSub>
                  <m:e>
                    <m:r>
                      <m:t>u</m:t>
                    </m:r>
                  </m:e>
                  <m:sub>
                    <m:r>
                      <m:t>g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g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</w:tc>
        <w:tc>
          <w:tcPr>
            <w:tcW w:type="dxa" w:w="85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>
            <w:pPr>
              <w:spacing w:before="60" w:after="60"/>
              <w:jc w:val="right"/>
            </w:pPr>
            <w:r>
              <w:rPr>
                <w:sz w:val="20"/>
              </w:rPr>
              <w:t>(9)</w:t>
            </w:r>
          </w:p>
        </w:tc>
      </w:tr>
    </w:tbl>
    <w:tbl>
      <w:tblPr>
        <w:tblW w:type="auto" w:w="0"/>
        <w:tblLook w:firstColumn="0" w:firstRow="0" w:lastColumn="0" w:lastRow="0" w:noHBand="0" w:noVBand="1" w:val="0000"/>
        <w:tblBorders>
          <w:top w:val="nil" w:sz="4" w:space="0" w:color="000000"/>
          <w:left w:val="nil" w:sz="4" w:space="0" w:color="000000"/>
          <w:bottom w:val="nil" w:sz="4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</w:tblPr>
      <w:tblGrid>
        <w:gridCol w:w="680"/>
        <w:gridCol w:w="7540"/>
        <w:gridCol w:w="850"/>
      </w:tblGrid>
      <w:tr>
        <w:tc>
          <w:tcPr>
            <w:tcW w:type="dxa" w:w="68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/>
        </w:tc>
        <w:tc>
          <w:tcPr>
            <w:tcW w:type="dxa" w:w="754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>
            <w:pPr>
              <w:spacing w:before="60" w:after="60"/>
              <w:jc w:val="center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g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r</m:t>
                            </m:r>
                            <m:r>
                              <m:t>a</m:t>
                            </m:r>
                            <m:r>
                              <m:t>t</m:t>
                            </m:r>
                            <m:r>
                              <m:t>e</m:t>
                            </m:r>
                            <m:r>
                              <m:t>d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t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t</m:t>
                            </m:r>
                          </m:sub>
                        </m:sSub>
                      </m:e>
                    </m:d>
                  </m:e>
                </m:nary>
                <m:r>
                  <m:rPr>
                    <m:sty m:val="p"/>
                  </m:rPr>
                  <m:t>+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r</m:t>
                    </m:r>
                    <m:r>
                      <m:t>e</m:t>
                    </m:r>
                    <m:r>
                      <m:t>s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R</m:t>
                    </m:r>
                  </m:e>
                  <m:sub>
                    <m:r>
                      <m:t>t</m:t>
                    </m:r>
                  </m:sub>
                  <m:sup>
                    <m:r>
                      <m:t>u</m:t>
                    </m:r>
                  </m:sup>
                </m:sSubSup>
                <m:r>
                  <m:rPr>
                    <m:sty m:val="p"/>
                  </m:rPr>
                  <m:t>≥</m:t>
                </m:r>
                <m:r>
                  <m:t>R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g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g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≥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</m:oMath>
            </m:oMathPara>
          </w:p>
        </w:tc>
        <w:tc>
          <w:tcPr>
            <w:tcW w:type="dxa" w:w="85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>
            <w:pPr>
              <w:spacing w:before="60" w:after="60"/>
              <w:jc w:val="right"/>
            </w:pPr>
            <w:r>
              <w:rPr>
                <w:sz w:val="20"/>
              </w:rPr>
              <w:t>(10)</w:t>
            </w:r>
          </w:p>
        </w:tc>
      </w:tr>
    </w:tbl>
    <w:tbl>
      <w:tblPr>
        <w:tblW w:type="auto" w:w="0"/>
        <w:tblLook w:firstColumn="0" w:firstRow="0" w:lastColumn="0" w:lastRow="0" w:noHBand="0" w:noVBand="1" w:val="0000"/>
        <w:tblBorders>
          <w:top w:val="nil" w:sz="4" w:space="0" w:color="000000"/>
          <w:left w:val="nil" w:sz="4" w:space="0" w:color="000000"/>
          <w:bottom w:val="nil" w:sz="4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</w:tblPr>
      <w:tblGrid>
        <w:gridCol w:w="680"/>
        <w:gridCol w:w="7540"/>
        <w:gridCol w:w="850"/>
      </w:tblGrid>
      <w:tr>
        <w:tc>
          <w:tcPr>
            <w:tcW w:type="dxa" w:w="68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/>
        </w:tc>
        <w:tc>
          <w:tcPr>
            <w:tcW w:type="dxa" w:w="754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>
            <w:pPr>
              <w:spacing w:before="60" w:after="60"/>
              <w:jc w:val="center"/>
            </w:pPr>
            <m:oMathPara>
              <m:oMathParaPr>
                <m:jc m:val="center"/>
              </m:oMathParaPr>
              <m:oMath>
                <m:sSub>
                  <m:e>
                    <m:r>
                      <m:t>E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E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Sup>
                      <m:e>
                        <m:r>
                          <m:t>P</m:t>
                        </m:r>
                      </m:e>
                      <m:sub>
                        <m:r>
                          <m:t>t</m:t>
                        </m:r>
                      </m:sub>
                      <m:sup>
                        <m:r>
                          <m:t>c</m:t>
                        </m:r>
                        <m:r>
                          <m:t>h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P</m:t>
                        </m:r>
                      </m:e>
                      <m:sub>
                        <m:r>
                          <m:t>t</m:t>
                        </m:r>
                      </m:sub>
                      <m:sup>
                        <m:r>
                          <m:t>d</m:t>
                        </m:r>
                        <m:r>
                          <m:t>i</m:t>
                        </m:r>
                        <m:r>
                          <m:t>s</m:t>
                        </m:r>
                      </m:sup>
                    </m:sSub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d</m:t>
                        </m:r>
                      </m:sub>
                    </m:sSub>
                  </m:e>
                </m:d>
                <m:r>
                  <m:t>Δ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</m:oMath>
            </m:oMathPara>
          </w:p>
        </w:tc>
        <w:tc>
          <w:tcPr>
            <w:tcW w:type="dxa" w:w="85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>
            <w:pPr>
              <w:spacing w:before="60" w:after="60"/>
              <w:jc w:val="right"/>
            </w:pPr>
            <w:r>
              <w:rPr>
                <w:sz w:val="20"/>
              </w:rPr>
              <w:t>(11)</w:t>
            </w:r>
          </w:p>
        </w:tc>
      </w:tr>
    </w:tbl>
    <w:p>
      <w:pPr>
        <w:pStyle w:val="FirstParagraph"/>
      </w:pPr>
      <w:r>
        <w:t xml:space="preserve">together with the deficit balance of Section 2.5, the ramp limits on</w:t>
      </w:r>
      <w:r>
        <w:t xml:space="preserve"> </w:t>
      </w:r>
      <m:oMath>
        <m:sSub>
          <m:e>
            <m:r>
              <m:t>f</m:t>
            </m:r>
          </m:e>
          <m:sub>
            <m:r>
              <m:t>p</m:t>
            </m:r>
            <m:r>
              <m:rPr>
                <m:sty m:val="p"/>
              </m:rPr>
              <m:t>,</m:t>
            </m:r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w</m:t>
            </m:r>
            <m:r>
              <m:t>i</m:t>
            </m:r>
            <m:r>
              <m:rPr>
                <m:sty m:val="p"/>
              </m:rPr>
              <m:t>,</m:t>
            </m:r>
            <m:r>
              <m:t>t</m:t>
            </m:r>
          </m:sub>
        </m:sSub>
      </m:oMath>
      <w:r>
        <w:t xml:space="preserve">, and the piecewise-linear demand</w:t>
      </w:r>
      <w:r>
        <w:t xml:space="preserve"> </w:t>
      </w:r>
      <m:oMath>
        <m:sSubSup>
          <m:e>
            <m:r>
              <m:t>P</m:t>
            </m:r>
          </m:e>
          <m:sub>
            <m:r>
              <m:t>t</m:t>
            </m:r>
          </m:sub>
          <m:sup>
            <m:r>
              <m:t>d</m:t>
            </m:r>
            <m:r>
              <m:t>e</m:t>
            </m:r>
            <m:r>
              <m:t>m</m:t>
            </m:r>
          </m:sup>
        </m:sSubSup>
      </m:oMath>
      <w:r>
        <w:t xml:space="preserve"> </w:t>
      </w:r>
      <w:r>
        <w:t xml:space="preserve">of the</w:t>
      </w:r>
      <w:r>
        <w:t xml:space="preserve"> </w:t>
      </w:r>
      <w:r>
        <w:t xml:space="preserve">lever groups. The first equation is the power balance and the second splits</w:t>
      </w:r>
      <w:r>
        <w:t xml:space="preserve"> </w:t>
      </w:r>
      <w:r>
        <w:t xml:space="preserve">the available wind into used and curtailed power. The heat balance requires</w:t>
      </w:r>
      <w:r>
        <w:t xml:space="preserve"> </w:t>
      </w:r>
      <w:r>
        <w:t xml:space="preserve">recovered exhaust heat plus electric heating, with heater efficiency</w:t>
      </w:r>
      <w:r>
        <w:t xml:space="preserve"> </w:t>
      </w:r>
      <m:oMath>
        <m:sSub>
          <m:e>
            <m:r>
              <m:t>η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, to cover the heat demand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MW. The reserve</w:t>
      </w:r>
      <w:r>
        <w:t xml:space="preserve"> </w:t>
      </w:r>
      <w:r>
        <w:t xml:space="preserve">requirement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MW follows LEOGO (Svendsen et al. 2023). A battery contributes</w:t>
      </w:r>
      <w:r>
        <w:t xml:space="preserve"> </w:t>
      </w:r>
      <w:r>
        <w:t xml:space="preserve">reserve</w:t>
      </w:r>
      <w:r>
        <w:t xml:space="preserve"> </w:t>
      </w:r>
      <m:oMath>
        <m:sSubSup>
          <m:e>
            <m:r>
              <m:t>P</m:t>
            </m:r>
          </m:e>
          <m:sub>
            <m:r>
              <m:t>t</m:t>
            </m:r>
          </m:sub>
          <m:sup>
            <m:r>
              <m:t>r</m:t>
            </m:r>
            <m:r>
              <m:t>e</m:t>
            </m:r>
            <m:r>
              <m:t>s</m:t>
            </m:r>
          </m:sup>
        </m:sSubSup>
      </m:oMath>
      <w:r>
        <w:t xml:space="preserve"> </w:t>
      </w:r>
      <w:r>
        <w:t xml:space="preserve">only up to its unused discharge power and only if its</w:t>
      </w:r>
      <w:r>
        <w:t xml:space="preserve"> </w:t>
      </w:r>
      <w:r>
        <w:t xml:space="preserve">stored energy can sustain that power for 30 min. The round-trip efficiency</w:t>
      </w:r>
      <w:r>
        <w:t xml:space="preserve"> </w:t>
      </w:r>
      <w:r>
        <w:t xml:space="preserve">of the battery is 0.9. At least one GT must be online because the wind</w:t>
      </w:r>
      <w:r>
        <w:t xml:space="preserve"> </w:t>
      </w:r>
      <w:r>
        <w:t xml:space="preserve">turbines are grid-following and a synchronous machine is needed for</w:t>
      </w:r>
      <w:r>
        <w:t xml:space="preserve"> </w:t>
      </w:r>
      <w:r>
        <w:t xml:space="preserve">frequency and voltage control; this assumption is varied in the</w:t>
      </w:r>
      <w:r>
        <w:t xml:space="preserve"> </w:t>
      </w:r>
      <w:r>
        <w:t xml:space="preserve">sensitivity analysis.</w:t>
      </w:r>
    </w:p>
    <w:p>
      <w:pPr>
        <w:pStyle w:val="BodyText"/>
      </w:pPr>
      <w:r>
        <w:t xml:space="preserve">The year is solved as 52 rolling one-week windows, each with an uncommitted</w:t>
      </w:r>
      <w:r>
        <w:t xml:space="preserve"> </w:t>
      </w:r>
      <w:r>
        <w:t xml:space="preserve">24 h look-ahead, so that each window ends with a realistic state for the</w:t>
      </w:r>
      <w:r>
        <w:t xml:space="preserve"> </w:t>
      </w:r>
      <w:r>
        <w:t xml:space="preserve">next. At the end of each look-ahead horizon the injection deficit may not</w:t>
      </w:r>
      <w:r>
        <w:t xml:space="preserve"> </w:t>
      </w:r>
      <w:r>
        <w:t xml:space="preserve">exceed, and the battery energy may not fall below, their values at the</w:t>
      </w:r>
      <w:r>
        <w:t xml:space="preserve"> </w:t>
      </w:r>
      <w:r>
        <w:t xml:space="preserve">start of the window, which prevents the optimiser from emptying the virtual</w:t>
      </w:r>
      <w:r>
        <w:t xml:space="preserve"> </w:t>
      </w:r>
      <w:r>
        <w:t xml:space="preserve">or real storage at the end of a window. Each window of 192 h has about 6,900</w:t>
      </w:r>
      <w:r>
        <w:t xml:space="preserve"> </w:t>
      </w:r>
      <w:r>
        <w:t xml:space="preserve">variables, of which 1,344 are binary, and 6,900 constraints, and HiGHS</w:t>
      </w:r>
      <w:r>
        <w:t xml:space="preserve"> </w:t>
      </w:r>
      <w:r>
        <w:t xml:space="preserve">solves it to within 0.5 % of the proven optimum. A full case-year takes 2–3 min on a</w:t>
      </w:r>
      <w:r>
        <w:t xml:space="preserve"> </w:t>
      </w:r>
      <w:r>
        <w:t xml:space="preserve">laptop-class processor.</w:t>
      </w:r>
    </w:p>
    <w:p>
      <w:pPr>
        <w:pStyle w:val="BodyText"/>
      </w:pPr>
      <w:r>
        <w:t xml:space="preserve">Because fuel is linear in power, the split of load between identical</w:t>
      </w:r>
      <w:r>
        <w:t xml:space="preserve"> </w:t>
      </w:r>
      <w:r>
        <w:t xml:space="preserve">running GTs does not change total fuel, and the solver’s split between them</w:t>
      </w:r>
      <w:r>
        <w:t xml:space="preserve"> </w:t>
      </w:r>
      <w:r>
        <w:t xml:space="preserve">is arbitrary. GT load is reported instead as shared in proportion to</w:t>
      </w:r>
      <w:r>
        <w:t xml:space="preserve"> </w:t>
      </w:r>
      <w:r>
        <w:t xml:space="preserve">rating, as with droop control in real operation, and an hour counts as a</w:t>
      </w:r>
      <w:r>
        <w:t xml:space="preserve"> </w:t>
      </w:r>
      <w:r>
        <w:t xml:space="preserve">low-load hour for a unit when this shared load is below 50 % of rating.</w:t>
      </w:r>
    </w:p>
    <w:bookmarkEnd w:id="29"/>
    <w:bookmarkStart w:id="30" w:name="X32654d3cd445301b7caaa64f301babd56c5bfd2"/>
    <w:p>
      <w:pPr>
        <w:pStyle w:val="Heading2"/>
      </w:pPr>
      <w:r>
        <w:t xml:space="preserve">2.7 Weather years, sensitivity analysis and validation</w:t>
      </w:r>
    </w:p>
    <w:p>
      <w:pPr>
        <w:pStyle w:val="FirstParagraph"/>
      </w:pPr>
      <w:r>
        <w:t xml:space="preserve">To test whether 2023 is representative, Cases 1–4 were also run for each</w:t>
      </w:r>
      <w:r>
        <w:t xml:space="preserve"> </w:t>
      </w:r>
      <w:r>
        <w:t xml:space="preserve">weather year from 2014 to 2022 with ERA5 data at the same grid point and all</w:t>
      </w:r>
      <w:r>
        <w:t xml:space="preserve"> </w:t>
      </w:r>
      <w:r>
        <w:t xml:space="preserve">other inputs unchanged. The injection deficit limit was varied for 2016 and</w:t>
      </w:r>
      <w:r>
        <w:t xml:space="preserve"> </w:t>
      </w:r>
      <w:r>
        <w:t xml:space="preserve">2017 as well, the years in which the deficit reached its highest values.</w:t>
      </w:r>
    </w:p>
    <w:p>
      <w:pPr>
        <w:pStyle w:val="BodyText"/>
      </w:pPr>
      <w:r>
        <w:t xml:space="preserve">For the base year 2023, Cases 2–4 were rerun with one input changed at a</w:t>
      </w:r>
      <w:r>
        <w:t xml:space="preserve"> </w:t>
      </w:r>
      <w:r>
        <w:t xml:space="preserve">time:</w:t>
      </w:r>
    </w:p>
    <w:p>
      <w:pPr>
        <w:numPr>
          <w:ilvl w:val="0"/>
          <w:numId w:val="1005"/>
        </w:numPr>
        <w:pStyle w:val="Compact"/>
      </w:pPr>
      <w:r>
        <w:t xml:space="preserve">wind farm size (1–4 turbines, 15–60 MW);</w:t>
      </w:r>
    </w:p>
    <w:p>
      <w:pPr>
        <w:numPr>
          <w:ilvl w:val="0"/>
          <w:numId w:val="1005"/>
        </w:numPr>
        <w:pStyle w:val="Compact"/>
      </w:pPr>
      <w:r>
        <w:t xml:space="preserve">CO2 price (0.5–3.0 NOK/kg) and gas price (2–8 NOK/Sm³);</w:t>
      </w:r>
    </w:p>
    <w:p>
      <w:pPr>
        <w:numPr>
          <w:ilvl w:val="0"/>
          <w:numId w:val="1005"/>
        </w:numPr>
        <w:pStyle w:val="Compact"/>
      </w:pPr>
      <w:r>
        <w:t xml:space="preserve">battery size (up to 8 MW / 16 MWh);</w:t>
      </w:r>
    </w:p>
    <w:p>
      <w:pPr>
        <w:numPr>
          <w:ilvl w:val="0"/>
          <w:numId w:val="1005"/>
        </w:numPr>
        <w:pStyle w:val="Compact"/>
      </w:pPr>
      <w:r>
        <w:t xml:space="preserve">injection deficit limit (0, 24, 72 and 168 h);</w:t>
      </w:r>
    </w:p>
    <w:p>
      <w:pPr>
        <w:numPr>
          <w:ilvl w:val="0"/>
          <w:numId w:val="1005"/>
        </w:numPr>
        <w:pStyle w:val="Compact"/>
      </w:pPr>
      <w:r>
        <w:t xml:space="preserve">minimum number of GTs online (1 or 0, with an 8 MW / 8 MWh battery that</w:t>
      </w:r>
      <w:r>
        <w:t xml:space="preserve"> </w:t>
      </w:r>
      <w:r>
        <w:t xml:space="preserve">must then provide the reserve);</w:t>
      </w:r>
    </w:p>
    <w:p>
      <w:pPr>
        <w:numPr>
          <w:ilvl w:val="0"/>
          <w:numId w:val="1005"/>
        </w:numPr>
        <w:pStyle w:val="Compact"/>
      </w:pPr>
      <w:r>
        <w:t xml:space="preserve">GT fleet: three main units; two main units and one small unit, a Solar</w:t>
      </w:r>
      <w:r>
        <w:t xml:space="preserve"> </w:t>
      </w:r>
      <w:r>
        <w:t xml:space="preserve">Turbines Mars 100 rated 11.35 MW with 32.9 % ISO efficiency</w:t>
      </w:r>
      <w:r>
        <w:t xml:space="preserve"> </w:t>
      </w:r>
      <w:r>
        <w:t xml:space="preserve">(Solar Turbines n.d.) and the same relative part-load curve as the main units;</w:t>
      </w:r>
      <w:r>
        <w:t xml:space="preserve"> </w:t>
      </w:r>
      <w:r>
        <w:t xml:space="preserve">or the three main units with one small unit added;</w:t>
      </w:r>
    </w:p>
    <w:p>
      <w:pPr>
        <w:numPr>
          <w:ilvl w:val="0"/>
          <w:numId w:val="1005"/>
        </w:numPr>
        <w:pStyle w:val="Compact"/>
      </w:pPr>
      <w:r>
        <w:t xml:space="preserve">an operating practice that keeps two GTs online whatever the wind, as</w:t>
      </w:r>
      <w:r>
        <w:t xml:space="preserve"> </w:t>
      </w:r>
      <w:r>
        <w:t xml:space="preserve">some operators require for redundancy.</w:t>
      </w:r>
    </w:p>
    <w:p>
      <w:pPr>
        <w:pStyle w:val="FirstParagraph"/>
      </w:pPr>
      <w:r>
        <w:t xml:space="preserve">The results were compared with independent values: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platform power:</w:t>
      </w:r>
      <w:r>
        <w:t xml:space="preserve"> </w:t>
      </w:r>
      <w:r>
        <w:t xml:space="preserve">three real North Sea oil platforms</w:t>
      </w:r>
      <w:r>
        <w:t xml:space="preserve"> </w:t>
      </w:r>
      <w:r>
        <w:t xml:space="preserve">(Voldsund et al. 2013, 2014), six modelled platforms (Nguyen et al. 2013), the</w:t>
      </w:r>
      <w:r>
        <w:t xml:space="preserve"> </w:t>
      </w:r>
      <w:r>
        <w:t xml:space="preserve">Johan Castberg development plan (Statoil 2017), and the average demand</w:t>
      </w:r>
      <w:r>
        <w:t xml:space="preserve"> </w:t>
      </w:r>
      <w:r>
        <w:t xml:space="preserve">implied by Hywind Tampen (Equinor 2023);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wind capacity factor:</w:t>
      </w:r>
      <w:r>
        <w:t xml:space="preserve"> </w:t>
      </w:r>
      <w:r>
        <w:t xml:space="preserve">Hywind Tampen (Equinor 2023; Norwegian Offshore Wind 2025);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CO2 avoided per MWh of wind:</w:t>
      </w:r>
      <w:r>
        <w:t xml:space="preserve"> </w:t>
      </w:r>
      <w:r>
        <w:t xml:space="preserve">Hywind Tampen (Equinor 2023);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water injection specific energy:</w:t>
      </w:r>
      <w:r>
        <w:t xml:space="preserve"> </w:t>
      </w:r>
      <w:r>
        <w:t xml:space="preserve">LEOGO (Svendsen et al. 2023);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CO2 intensity:</w:t>
      </w:r>
      <w:r>
        <w:t xml:space="preserve"> </w:t>
      </w:r>
      <w:r>
        <w:t xml:space="preserve">the Norwegian shelf (Offshore Norge 2024) and</w:t>
      </w:r>
      <w:r>
        <w:t xml:space="preserve"> </w:t>
      </w:r>
      <w:r>
        <w:t xml:space="preserve">non-electrified hubs (Westwood Global Energy Group 2022);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field data</w:t>
      </w:r>
      <w:r>
        <w:t xml:space="preserve"> </w:t>
      </w:r>
      <w:r>
        <w:t xml:space="preserve">for the Gullfaks, Snorre and Statfjord field centres,</w:t>
      </w:r>
      <w:r>
        <w:t xml:space="preserve"> </w:t>
      </w:r>
      <w:r>
        <w:t xml:space="preserve">2021–2024: CO2 to air, fuel gas and diesel use from Norskeutslipp</w:t>
      </w:r>
      <w:r>
        <w:t xml:space="preserve"> </w:t>
      </w:r>
      <w:r>
        <w:t xml:space="preserve">(Norwegian Environment Agency n.d.) and net production from the Norwegian Offshore</w:t>
      </w:r>
      <w:r>
        <w:t xml:space="preserve"> </w:t>
      </w:r>
      <w:r>
        <w:t xml:space="preserve">Directorate (n.d.a), summed over the fields processed at each</w:t>
      </w:r>
      <w:r>
        <w:t xml:space="preserve"> </w:t>
      </w:r>
      <w:r>
        <w:t xml:space="preserve">centre.</w:t>
      </w:r>
    </w:p>
    <w:p>
      <w:pPr>
        <w:pStyle w:val="FirstParagraph"/>
      </w:pPr>
      <w:r>
        <w:t xml:space="preserve">The model components were verified by automated tests before the case</w:t>
      </w:r>
      <w:r>
        <w:t xml:space="preserve"> </w:t>
      </w:r>
      <w:r>
        <w:t xml:space="preserve">runs. The water injection pump power from NeqSim matches a hand calculation</w:t>
      </w:r>
      <w:r>
        <w:t xml:space="preserve"> </w:t>
      </w:r>
      <w:r>
        <w:t xml:space="preserve">of hydraulic power, the fuel model reproduces the LEOGO fuel coefficients,</w:t>
      </w:r>
      <w:r>
        <w:t xml:space="preserve"> </w:t>
      </w:r>
      <w:r>
        <w:t xml:space="preserve">and the piecewise-linear lever curves used by the scheduler match the</w:t>
      </w:r>
      <w:r>
        <w:t xml:space="preserve"> </w:t>
      </w:r>
      <w:r>
        <w:t xml:space="preserve">process model at every breakpoint. For the scheduler, the tests check on</w:t>
      </w:r>
      <w:r>
        <w:t xml:space="preserve"> </w:t>
      </w:r>
      <w:r>
        <w:t xml:space="preserve">short synthetic wind series that the power and heat balances close in every</w:t>
      </w:r>
      <w:r>
        <w:t xml:space="preserve"> </w:t>
      </w:r>
      <w:r>
        <w:t xml:space="preserve">hour, that the consumer limits and ramp rates are respected, that the fuel</w:t>
      </w:r>
      <w:r>
        <w:t xml:space="preserve"> </w:t>
      </w:r>
      <w:r>
        <w:t xml:space="preserve">reported equals the GT model applied to the scheduled loads, that a zero</w:t>
      </w:r>
      <w:r>
        <w:t xml:space="preserve"> </w:t>
      </w:r>
      <w:r>
        <w:t xml:space="preserve">deficit limit reproduces fixed injection, and that neither flexibility nor</w:t>
      </w:r>
      <w:r>
        <w:t xml:space="preserve"> </w:t>
      </w:r>
      <w:r>
        <w:t xml:space="preserve">a battery ever increases fuel use compared with fixed demand.</w:t>
      </w:r>
    </w:p>
    <w:p>
      <w:pPr>
        <w:pStyle w:val="BodyText"/>
      </w:pPr>
      <w:r>
        <w:t xml:space="preserve">The CO2 avoided per MWh of wind is computed as the difference in annual CO2</w:t>
      </w:r>
      <w:r>
        <w:t xml:space="preserve"> </w:t>
      </w:r>
      <w:r>
        <w:t xml:space="preserve">between Case 1 and a wind case, divided by the wind energy used in that</w:t>
      </w:r>
      <w:r>
        <w:t xml:space="preserve"> </w:t>
      </w:r>
      <w:r>
        <w:t xml:space="preserve">case. For the field data, the system boundary was checked by comparing the</w:t>
      </w:r>
      <w:r>
        <w:t xml:space="preserve"> </w:t>
      </w:r>
      <w:r>
        <w:t xml:space="preserve">reported oil volumes of the fields assigned to each centre with the</w:t>
      </w:r>
      <w:r>
        <w:t xml:space="preserve"> </w:t>
      </w:r>
      <w:r>
        <w:t xml:space="preserve">centre’s processing; they agree within 2 %. A single published value counts</w:t>
      </w:r>
      <w:r>
        <w:t xml:space="preserve"> </w:t>
      </w:r>
      <w:r>
        <w:t xml:space="preserve">as agreeing when the model is within ±20 %, and a published range when the</w:t>
      </w:r>
      <w:r>
        <w:t xml:space="preserve"> </w:t>
      </w:r>
      <w:r>
        <w:t xml:space="preserve">model lies inside it.</w:t>
      </w:r>
    </w:p>
    <w:bookmarkEnd w:id="30"/>
    <w:bookmarkStart w:id="31" w:name="economic-indicators"/>
    <w:p>
      <w:pPr>
        <w:pStyle w:val="Heading2"/>
      </w:pPr>
      <w:r>
        <w:t xml:space="preserve">2.8 Economic indicators</w:t>
      </w:r>
    </w:p>
    <w:p>
      <w:pPr>
        <w:pStyle w:val="FirstParagraph"/>
      </w:pPr>
      <w:r>
        <w:t xml:space="preserve">Two indicators are derived from the annual results, in real NOK. For the</w:t>
      </w:r>
      <w:r>
        <w:t xml:space="preserve"> </w:t>
      </w:r>
      <w:r>
        <w:t xml:space="preserve">wind farm, whose investment can be estimated, the abatement cost is</w:t>
      </w:r>
    </w:p>
    <w:tbl>
      <w:tblPr>
        <w:tblW w:type="auto" w:w="0"/>
        <w:tblLook w:firstColumn="0" w:firstRow="0" w:lastColumn="0" w:lastRow="0" w:noHBand="0" w:noVBand="1" w:val="0000"/>
        <w:tblBorders>
          <w:top w:val="nil" w:sz="4" w:space="0" w:color="000000"/>
          <w:left w:val="nil" w:sz="4" w:space="0" w:color="000000"/>
          <w:bottom w:val="nil" w:sz="4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</w:tblPr>
      <w:tblGrid>
        <w:gridCol w:w="680"/>
        <w:gridCol w:w="7540"/>
        <w:gridCol w:w="850"/>
      </w:tblGrid>
      <w:tr>
        <w:tc>
          <w:tcPr>
            <w:tcW w:type="dxa" w:w="68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/>
        </w:tc>
        <w:tc>
          <w:tcPr>
            <w:tcW w:type="dxa" w:w="754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>
            <w:pPr>
              <w:spacing w:before="60" w:after="60"/>
              <w:jc w:val="center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a</m:t>
                    </m:r>
                    <m:r>
                      <m:t>b</m:t>
                    </m:r>
                    <m:r>
                      <m:t>a</m:t>
                    </m:r>
                    <m:r>
                      <m:t>t</m:t>
                    </m:r>
                    <m:r>
                      <m:t>e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I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r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O</m:t>
                        </m:r>
                        <m:r>
                          <m:rPr>
                            <m:sty m:val="p"/>
                          </m:rPr>
                          <m:t>&amp;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Δ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f</m:t>
                        </m:r>
                        <m:r>
                          <m:t>u</m:t>
                        </m:r>
                        <m:r>
                          <m:t>e</m:t>
                        </m:r>
                        <m:r>
                          <m:t>l</m:t>
                        </m:r>
                      </m:sub>
                    </m:sSub>
                  </m:num>
                  <m:den>
                    <m:r>
                      <m:t>Δ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C</m:t>
                        </m:r>
                        <m:r>
                          <m:t>O</m:t>
                        </m:r>
                        <m:r>
                          <m:t>2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r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r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r</m:t>
                            </m:r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</w:tc>
        <w:tc>
          <w:tcPr>
            <w:tcW w:type="dxa" w:w="85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>
            <w:pPr>
              <w:spacing w:before="60" w:after="60"/>
              <w:jc w:val="right"/>
            </w:pPr>
            <w:r>
              <w:rPr>
                <w:sz w:val="20"/>
              </w:rPr>
              <w:t>(12)</w:t>
            </w:r>
          </w:p>
        </w:tc>
      </w:tr>
    </w:tbl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investment,</w:t>
      </w:r>
      <w:r>
        <w:t xml:space="preserve"> </w:t>
      </w:r>
      <m:oMath>
        <m:sSub>
          <m:e>
            <m:r>
              <m:t>C</m:t>
            </m:r>
          </m:e>
          <m:sub>
            <m:r>
              <m:t>O</m:t>
            </m:r>
            <m:r>
              <m:rPr>
                <m:sty m:val="p"/>
              </m:rPr>
              <m:t>&amp;</m:t>
            </m:r>
            <m:r>
              <m:t>M</m:t>
            </m:r>
          </m:sub>
        </m:sSub>
      </m:oMath>
      <w:r>
        <w:t xml:space="preserve"> </w:t>
      </w:r>
      <w:r>
        <w:t xml:space="preserve">the annual operation and maintenance</w:t>
      </w:r>
      <w:r>
        <w:t xml:space="preserve"> </w:t>
      </w:r>
      <w:r>
        <w:t xml:space="preserve">cost,</w:t>
      </w:r>
      <w:r>
        <w:t xml:space="preserve"> </w:t>
      </w:r>
      <m:oMath>
        <m:r>
          <m:t>Δ</m:t>
        </m:r>
        <m:sSub>
          <m:e>
            <m:r>
              <m:t>C</m:t>
            </m:r>
          </m:e>
          <m:sub>
            <m:r>
              <m:t>f</m:t>
            </m:r>
            <m:r>
              <m:t>u</m:t>
            </m:r>
            <m:r>
              <m:t>e</m:t>
            </m:r>
            <m:r>
              <m:t>l</m:t>
            </m:r>
          </m:sub>
        </m:sSub>
      </m:oMath>
      <w:r>
        <w:t xml:space="preserve"> </w:t>
      </w:r>
      <w:r>
        <w:t xml:space="preserve">the annual value of the fuel saved and</w:t>
      </w:r>
      <w:r>
        <w:t xml:space="preserve"> </w:t>
      </w:r>
      <m:oMath>
        <m:r>
          <m:t>Δ</m:t>
        </m:r>
        <m:sSub>
          <m:e>
            <m:r>
              <m:t>m</m:t>
            </m:r>
          </m:e>
          <m:sub>
            <m:r>
              <m:t>C</m:t>
            </m:r>
            <m:r>
              <m:t>O</m:t>
            </m:r>
            <m:r>
              <m:t>2</m:t>
            </m:r>
          </m:sub>
        </m:sSub>
      </m:oMath>
      <w:r>
        <w:t xml:space="preserve"> </w:t>
      </w:r>
      <w:r>
        <w:t xml:space="preserve">the CO2 avoided per year. The CO2 price is not counted as a</w:t>
      </w:r>
      <w:r>
        <w:t xml:space="preserve"> </w:t>
      </w:r>
      <w:r>
        <w:t xml:space="preserve">saving, because the abatement cost is what is compared with the CO2 price.</w:t>
      </w:r>
      <w:r>
        <w:t xml:space="preserve"> </w:t>
      </w:r>
      <w:r>
        <w:t xml:space="preserve">The investment is scaled from Hywind Tampen, about NOK 7.4 billion for 88 MW</w:t>
      </w:r>
      <w:r>
        <w:t xml:space="preserve"> </w:t>
      </w:r>
      <w:r>
        <w:t xml:space="preserve">before public support (Equinor 2023), which gives 84 MNOK/MW for a</w:t>
      </w:r>
      <w:r>
        <w:t xml:space="preserve"> </w:t>
      </w:r>
      <w:r>
        <w:t xml:space="preserve">first-of-a-kind floating farm. Operation and maintenance cost 35–97 EUR/kW</w:t>
      </w:r>
      <w:r>
        <w:t xml:space="preserve"> </w:t>
      </w:r>
      <w:r>
        <w:t xml:space="preserve">per year, the range between the cheapest and the most expensive repair</w:t>
      </w:r>
      <w:r>
        <w:t xml:space="preserve"> </w:t>
      </w:r>
      <w:r>
        <w:t xml:space="preserve">strategy modelled for floating wind farms (Dighe et al. 2024). The real discount</w:t>
      </w:r>
      <w:r>
        <w:t xml:space="preserve"> </w:t>
      </w:r>
      <w:r>
        <w:t xml:space="preserve">rate is 7 %, with 4 % as an alternative, the two rates used in Norwegian</w:t>
      </w:r>
      <w:r>
        <w:t xml:space="preserve"> </w:t>
      </w:r>
      <w:r>
        <w:t xml:space="preserve">abatement-cost analyses of power from shore (Norwegian Petroleum Directorate n.d.), and the economic</w:t>
      </w:r>
      <w:r>
        <w:t xml:space="preserve"> </w:t>
      </w:r>
      <w:r>
        <w:t xml:space="preserve">life is 20 years. For flexibility, the battery and a small GT, whose</w:t>
      </w:r>
      <w:r>
        <w:t xml:space="preserve"> </w:t>
      </w:r>
      <w:r>
        <w:t xml:space="preserve">investment on an existing platform could not be estimated from published</w:t>
      </w:r>
      <w:r>
        <w:t xml:space="preserve"> </w:t>
      </w:r>
      <w:r>
        <w:t xml:space="preserve">data, the break-even investment is given instead: the present value over 20</w:t>
      </w:r>
      <w:r>
        <w:t xml:space="preserve"> </w:t>
      </w:r>
      <w:r>
        <w:t xml:space="preserve">years of the annual saving, for the fuel saved alone and for fuel plus CO2</w:t>
      </w:r>
      <w:r>
        <w:t xml:space="preserve"> </w:t>
      </w:r>
      <w:r>
        <w:t xml:space="preserve">cost.</w:t>
      </w:r>
    </w:p>
    <w:bookmarkEnd w:id="31"/>
    <w:bookmarkEnd w:id="32"/>
    <w:bookmarkStart w:id="64" w:name="results"/>
    <w:p>
      <w:pPr>
        <w:pStyle w:val="Heading1"/>
      </w:pPr>
      <w:r>
        <w:t xml:space="preserve">3. Results</w:t>
      </w:r>
    </w:p>
    <w:bookmarkStart w:id="36" w:name="demand-map-and-wind-resource"/>
    <w:p>
      <w:pPr>
        <w:pStyle w:val="Heading2"/>
      </w:pPr>
      <w:r>
        <w:t xml:space="preserve">3.1 Demand map and wind resource</w:t>
      </w:r>
    </w:p>
    <w:p>
      <w:pPr>
        <w:pStyle w:val="FirstParagraph"/>
      </w:pPr>
      <w:r>
        <w:t xml:space="preserve">The process model was first used to obtain the electric power of each consumer</w:t>
      </w:r>
      <w:r>
        <w:t xml:space="preserve"> </w:t>
      </w:r>
      <w:r>
        <w:t xml:space="preserve">at the design point (Table 1) and its variation with the lever positions (Fig.</w:t>
      </w:r>
      <w:r>
        <w:t xml:space="preserve"> </w:t>
      </w:r>
      <w:r>
        <w:t xml:space="preserve">2). Water injection is the largest consumer, with 9.2 MW or 45 % of the design</w:t>
      </w:r>
      <w:r>
        <w:t xml:space="preserve"> </w:t>
      </w:r>
      <w:r>
        <w:t xml:space="preserve">demand, and the only large deferrable one. Stopping injection at full</w:t>
      </w:r>
      <w:r>
        <w:t xml:space="preserve"> </w:t>
      </w:r>
      <w:r>
        <w:t xml:space="preserve">production lowers the demand from 20.3 MW to 10.7 MW, a swing of 9.6 MW that</w:t>
      </w:r>
      <w:r>
        <w:t xml:space="preserve"> </w:t>
      </w:r>
      <w:r>
        <w:t xml:space="preserve">costs no production as long as the injection is caught up. The sheddable</w:t>
      </w:r>
      <w:r>
        <w:t xml:space="preserve"> </w:t>
      </w:r>
      <w:r>
        <w:t xml:space="preserve">consumers tied to production and the must-run base load account for 7.2 MW and</w:t>
      </w:r>
      <w:r>
        <w:t xml:space="preserve"> </w:t>
      </w:r>
      <w:r>
        <w:t xml:space="preserve">3.5 MW, respectively. Neither lever curve is proportional to the lever</w:t>
      </w:r>
      <w:r>
        <w:t xml:space="preserve"> </w:t>
      </w:r>
      <w:r>
        <w:t xml:space="preserve">position. The power of the injection lever jumps to 0.9 MW as soon as one pump</w:t>
      </w:r>
      <w:r>
        <w:t xml:space="preserve"> </w:t>
      </w:r>
      <w:r>
        <w:t xml:space="preserve">runs, since the pump recycles below 30 % of its flow, and increases linearly</w:t>
      </w:r>
      <w:r>
        <w:t xml:space="preserve"> </w:t>
      </w:r>
      <w:r>
        <w:t xml:space="preserve">from there. The production lever shows a step just above a rate of 50 %, where</w:t>
      </w:r>
      <w:r>
        <w:t xml:space="preserve"> </w:t>
      </w:r>
      <w:r>
        <w:t xml:space="preserve">the second export compressor train must start at its surge limit and adds 0.75</w:t>
      </w:r>
      <w:r>
        <w:t xml:space="preserve"> </w:t>
      </w:r>
      <w:r>
        <w:t xml:space="preserve">MW. Reducing production from 100 % to 50 % therefore saves only 3.2 MW, about</w:t>
      </w:r>
      <w:r>
        <w:t xml:space="preserve"> </w:t>
      </w:r>
      <w:r>
        <w:t xml:space="preserve">a third of the reduction offered by the injection lever.</w:t>
      </w:r>
    </w:p>
    <w:p>
      <w:pPr>
        <w:pStyle w:val="Figure"/>
      </w:pPr>
      <w:r>
        <w:drawing>
          <wp:inline>
            <wp:extent cx="5759999" cy="2368386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results/paper/fig02_demand_map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3683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Figure 2.</w:t>
      </w:r>
      <w:r>
        <w:t xml:space="preserve"> </w:t>
      </w:r>
      <w:r>
        <w:t xml:space="preserve">Demand map. Left: electric power at design by consumer, coloured by flexibility class. Right: power of the production (sheddable) and injection (flexible) levers against lever position.</w:t>
      </w:r>
    </w:p>
    <w:p>
      <w:pPr>
        <w:pStyle w:val="BodyText"/>
      </w:pPr>
      <w:r>
        <w:t xml:space="preserve">The ERA5 data give a mean wind speed of 9.4 m/s at 100 m and 9.8 m/s at hub</w:t>
      </w:r>
      <w:r>
        <w:t xml:space="preserve"> </w:t>
      </w:r>
      <w:r>
        <w:t xml:space="preserve">height, and a capacity factor of 50.9 % for the 30 MW farm in 2023 (Figure S1).</w:t>
      </w:r>
      <w:r>
        <w:t xml:space="preserve"> </w:t>
      </w:r>
      <w:r>
        <w:t xml:space="preserve">The output is seasonal, with monthly capacity factors of 63–68 % in January</w:t>
      </w:r>
      <w:r>
        <w:t xml:space="preserve"> </w:t>
      </w:r>
      <w:r>
        <w:t xml:space="preserve">and February and 36–37 % from June to August. The farm delivers its maximum of</w:t>
      </w:r>
      <w:r>
        <w:t xml:space="preserve"> </w:t>
      </w:r>
      <w:r>
        <w:t xml:space="preserve">26.5 MW in 40 % of the hours and nothing in 9.6 % of the hours, mainly during</w:t>
      </w:r>
      <w:r>
        <w:t xml:space="preserve"> </w:t>
      </w:r>
      <w:r>
        <w:t xml:space="preserve">calm periods, and the available wind power exceeds the design demand of 20.3</w:t>
      </w:r>
      <w:r>
        <w:t xml:space="preserve"> </w:t>
      </w:r>
      <w:r>
        <w:t xml:space="preserve">MW in 4,017 h. The farm can thus cover the whole platform demand for long</w:t>
      </w:r>
      <w:r>
        <w:t xml:space="preserve"> </w:t>
      </w:r>
      <w:r>
        <w:t xml:space="preserve">periods, but it also leaves frequent and sometimes long gaps that must be</w:t>
      </w:r>
      <w:r>
        <w:t xml:space="preserve"> </w:t>
      </w:r>
      <w:r>
        <w:t xml:space="preserve">filled by the GTs.</w:t>
      </w:r>
    </w:p>
    <w:bookmarkEnd w:id="36"/>
    <w:bookmarkStart w:id="40" w:name="comparison-of-the-four-cases"/>
    <w:p>
      <w:pPr>
        <w:pStyle w:val="Heading2"/>
      </w:pPr>
      <w:r>
        <w:t xml:space="preserve">3.2 Comparison of the four cases</w:t>
      </w:r>
    </w:p>
    <w:p>
      <w:pPr>
        <w:pStyle w:val="FirstParagraph"/>
      </w:pPr>
      <w:r>
        <w:rPr>
          <w:bCs/>
          <w:b/>
        </w:rPr>
        <w:t xml:space="preserve">Table 2.</w:t>
      </w:r>
      <w:r>
        <w:t xml:space="preserve"> </w:t>
      </w:r>
      <w:r>
        <w:t xml:space="preserve">Annual results for the four cases (2023).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000000"/>
          <w:bottom w:val="single" w:sz="4" w:space="0" w:color="000000"/>
          <w:left w:val="nil" w:sz="4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</w:p>
        </w:tc>
        <w:tc>
          <w:tcPr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1 GTs only</w:t>
            </w:r>
          </w:p>
        </w:tc>
        <w:tc>
          <w:tcPr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2 Wind, fixed</w:t>
            </w:r>
          </w:p>
        </w:tc>
        <w:tc>
          <w:tcPr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3 Wind, flexible</w:t>
            </w:r>
          </w:p>
        </w:tc>
        <w:tc>
          <w:tcPr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4 Flexible + battery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CO2 [kt/yr]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127.7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64.7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57.5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57.2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Reduction vs Case 1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–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49.4 %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55.0 %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55.2 %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Fuel gas [MSm³/yr]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54.6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27.6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24.6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24.4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GT running [unit-h/yr]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17,520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10,462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8,788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8,760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GT below 50 % load [unit-h/yr]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17,520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9,005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5,932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6,242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GT starts [–/yr]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149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3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 used [GWh/yr]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89.3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95.1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95.7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 curtailed [GWh/yr]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44.5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38.7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38.1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Lost production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Fuel value + CO2 cost [MNOK/yr]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484.0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245.1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217.9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216.7</w:t>
            </w:r>
          </w:p>
        </w:tc>
      </w:tr>
    </w:tbl>
    <w:p>
      <w:pPr>
        <w:pStyle w:val="BodyText"/>
        <w:spacing w:before="200"/>
      </w:pPr>
      <w:r>
        <w:t xml:space="preserve">The annual results of the four cases are summarised in Table 2 and Figure 3.</w:t>
      </w:r>
      <w:r>
        <w:t xml:space="preserve"> </w:t>
      </w:r>
      <w:r>
        <w:t xml:space="preserve">With GTs only (Case 1), two turbines run in every hour in order to carry the</w:t>
      </w:r>
      <w:r>
        <w:t xml:space="preserve"> </w:t>
      </w:r>
      <w:r>
        <w:t xml:space="preserve">average load of 18.8 MW and the reserve of 5 MW, each at about 43 % load. The</w:t>
      </w:r>
      <w:r>
        <w:t xml:space="preserve"> </w:t>
      </w:r>
      <w:r>
        <w:t xml:space="preserve">platform burns 54.6 MSm³ of fuel gas and emits 127.7 kt CO2 per year, and all</w:t>
      </w:r>
      <w:r>
        <w:t xml:space="preserve"> </w:t>
      </w:r>
      <w:r>
        <w:t xml:space="preserve">17,520 GT unit-hours are low-load hours. This result illustrates the reserve</w:t>
      </w:r>
      <w:r>
        <w:t xml:space="preserve"> </w:t>
      </w:r>
      <w:r>
        <w:t xml:space="preserve">problem of off-grid platforms: even without wind, the turbines are operated</w:t>
      </w:r>
      <w:r>
        <w:t xml:space="preserve"> </w:t>
      </w:r>
      <w:r>
        <w:t xml:space="preserve">far from their best efficiency.</w:t>
      </w:r>
    </w:p>
    <w:p>
      <w:pPr>
        <w:pStyle w:val="BodyText"/>
      </w:pPr>
      <w:r>
        <w:t xml:space="preserve">A 30 MW wind farm with fixed demand (Case 2) halves the emissions, to 64.7 kt</w:t>
      </w:r>
      <w:r>
        <w:t xml:space="preserve"> </w:t>
      </w:r>
      <w:r>
        <w:t xml:space="preserve">(−49.4 %). Wind covers 54 % of the electricity demand, and one GT is</w:t>
      </w:r>
      <w:r>
        <w:t xml:space="preserve"> </w:t>
      </w:r>
      <w:r>
        <w:t xml:space="preserve">sufficient in 7,058 h. Since the demand cannot follow the wind, 44.5 GWh, or</w:t>
      </w:r>
      <w:r>
        <w:t xml:space="preserve"> </w:t>
      </w:r>
      <w:r>
        <w:t xml:space="preserve">33 % of the available wind energy, is curtailed, and the mean load of the</w:t>
      </w:r>
      <w:r>
        <w:t xml:space="preserve"> </w:t>
      </w:r>
      <w:r>
        <w:t xml:space="preserve">running GTs decreases to 32 % of rating. A second GT is still required in</w:t>
      </w:r>
      <w:r>
        <w:t xml:space="preserve"> </w:t>
      </w:r>
      <w:r>
        <w:t xml:space="preserve">1,702 h and is started 149 times.</w:t>
      </w:r>
    </w:p>
    <w:p>
      <w:pPr>
        <w:pStyle w:val="BodyText"/>
      </w:pPr>
      <w:r>
        <w:t xml:space="preserve">Flexible scheduling (Case 3) reduces the CO2 emissions by a further 7.2 kt/yr,</w:t>
      </w:r>
      <w:r>
        <w:t xml:space="preserve"> </w:t>
      </w:r>
      <w:r>
        <w:t xml:space="preserve">or 11.1 % relative to Case 2, to 57.5 kt, without any loss of production, and</w:t>
      </w:r>
      <w:r>
        <w:t xml:space="preserve"> </w:t>
      </w:r>
      <w:r>
        <w:t xml:space="preserve">the fuel use decreases by the same 11 %. The GT running hours fall from 10,462</w:t>
      </w:r>
      <w:r>
        <w:t xml:space="preserve"> </w:t>
      </w:r>
      <w:r>
        <w:t xml:space="preserve">to 8,788 unit-h, the low-load unit-hours by 34 % and the number of GT starts</w:t>
      </w:r>
      <w:r>
        <w:t xml:space="preserve"> </w:t>
      </w:r>
      <w:r>
        <w:t xml:space="preserve">from 149 to 3. Wind covers 57.6 % of the demand, the curtailment decreases by</w:t>
      </w:r>
      <w:r>
        <w:t xml:space="preserve"> </w:t>
      </w:r>
      <w:r>
        <w:t xml:space="preserve">13 % to 38.7 GWh, and the mean load of the running GTs increases to 36 %. The</w:t>
      </w:r>
      <w:r>
        <w:t xml:space="preserve"> </w:t>
      </w:r>
      <w:r>
        <w:t xml:space="preserve">combined fuel value and CO2 cost is reduced by 27 MNOK/yr, of which 12.9 MNOK</w:t>
      </w:r>
      <w:r>
        <w:t xml:space="preserve"> </w:t>
      </w:r>
      <w:r>
        <w:t xml:space="preserve">is the value of the fuel saved.</w:t>
      </w:r>
    </w:p>
    <w:p>
      <w:pPr>
        <w:pStyle w:val="BodyText"/>
      </w:pPr>
      <w:r>
        <w:t xml:space="preserve">The 4 MW / 4 MWh battery (Case 4) gives an additional reduction of only 0.3</w:t>
      </w:r>
      <w:r>
        <w:t xml:space="preserve"> </w:t>
      </w:r>
      <w:r>
        <w:t xml:space="preserve">kt, or 0.6 % relative to Case 3. It removes the remaining starts and the last</w:t>
      </w:r>
      <w:r>
        <w:t xml:space="preserve"> </w:t>
      </w:r>
      <w:r>
        <w:t xml:space="preserve">hours with a second GT, but its annual throughput is only 0.8 GWh. As one GT</w:t>
      </w:r>
      <w:r>
        <w:t xml:space="preserve"> </w:t>
      </w:r>
      <w:r>
        <w:t xml:space="preserve">must always be online, the battery cannot remove the main remaining loss,</w:t>
      </w:r>
      <w:r>
        <w:t xml:space="preserve"> </w:t>
      </w:r>
      <w:r>
        <w:t xml:space="preserve">which is one turbine idling near minimum load whenever the wind covers the</w:t>
      </w:r>
      <w:r>
        <w:t xml:space="preserve"> </w:t>
      </w:r>
      <w:r>
        <w:t xml:space="preserve">demand, and the low-load unit-hours even increase slightly, from 5,932 to</w:t>
      </w:r>
      <w:r>
        <w:t xml:space="preserve"> </w:t>
      </w:r>
      <w:r>
        <w:t xml:space="preserve">6,242.</w:t>
      </w:r>
    </w:p>
    <w:p>
      <w:pPr>
        <w:pStyle w:val="Figure"/>
      </w:pPr>
      <w:r>
        <w:drawing>
          <wp:inline>
            <wp:extent cx="5759999" cy="4442818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results/paper/fig04_cases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44428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Figure 3.</w:t>
      </w:r>
      <w:r>
        <w:t xml:space="preserve"> </w:t>
      </w:r>
      <w:r>
        <w:t xml:space="preserve">Annual CO2, fuel gas, GT hours below 50 % load and lost production for Cases 1–4.</w:t>
      </w:r>
    </w:p>
    <w:bookmarkEnd w:id="40"/>
    <w:bookmarkStart w:id="50" w:name="how-flexible-scheduling-saves-fuel"/>
    <w:p>
      <w:pPr>
        <w:pStyle w:val="Heading2"/>
      </w:pPr>
      <w:r>
        <w:t xml:space="preserve">3.3 How flexible scheduling saves fuel</w:t>
      </w:r>
    </w:p>
    <w:p>
      <w:pPr>
        <w:pStyle w:val="FirstParagraph"/>
      </w:pPr>
      <w:r>
        <w:t xml:space="preserve">Results indicate that the saving is obtained almost entirely by avoiding the</w:t>
      </w:r>
      <w:r>
        <w:t xml:space="preserve"> </w:t>
      </w:r>
      <w:r>
        <w:t xml:space="preserve">operation of a second GT. With fixed demand, a second turbine must be started</w:t>
      </w:r>
      <w:r>
        <w:t xml:space="preserve"> </w:t>
      </w:r>
      <w:r>
        <w:t xml:space="preserve">whenever the wind drops and one GT cannot carry the load while holding 5 MW in</w:t>
      </w:r>
      <w:r>
        <w:t xml:space="preserve"> </w:t>
      </w:r>
      <w:r>
        <w:t xml:space="preserve">reserve, i.e. whenever the wind supplies less than about 2 MW at the average</w:t>
      </w:r>
      <w:r>
        <w:t xml:space="preserve"> </w:t>
      </w:r>
      <w:r>
        <w:t xml:space="preserve">demand of 18.8 MW. Each such hour costs the no-load fuel of a whole additional</w:t>
      </w:r>
      <w:r>
        <w:t xml:space="preserve"> </w:t>
      </w:r>
      <w:r>
        <w:t xml:space="preserve">turbine, which amounts to 18.4 % of its full-load fuel. In Case 3 the</w:t>
      </w:r>
      <w:r>
        <w:t xml:space="preserve"> </w:t>
      </w:r>
      <w:r>
        <w:t xml:space="preserve">optimiser postpones water injection in exactly these hours, so that a second</w:t>
      </w:r>
      <w:r>
        <w:t xml:space="preserve"> </w:t>
      </w:r>
      <w:r>
        <w:t xml:space="preserve">GT runs in only 28 h of the year instead of 1,702 h (Figure 4, Figure 5). The</w:t>
      </w:r>
      <w:r>
        <w:t xml:space="preserve"> </w:t>
      </w:r>
      <w:r>
        <w:t xml:space="preserve">1,674 avoided hours account for most of the 3.0 MSm³ of fuel saved.</w:t>
      </w:r>
    </w:p>
    <w:p>
      <w:pPr>
        <w:pStyle w:val="Figure"/>
      </w:pPr>
      <w:r>
        <w:drawing>
          <wp:inline>
            <wp:extent cx="5759999" cy="4715891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results/paper/fig05_example_week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47158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Figure 4.</w:t>
      </w:r>
      <w:r>
        <w:t xml:space="preserve"> </w:t>
      </w:r>
      <w:r>
        <w:t xml:space="preserve">Week 3 (15–21 January 2023), the week with the median fuel saving. Top and middle: power supplied by GTs and wind with fixed (Case 2) and flexible (Case 3) demand. Bottom: production and injection rates.</w:t>
      </w:r>
    </w:p>
    <w:p>
      <w:pPr>
        <w:pStyle w:val="Figure"/>
      </w:pPr>
      <w:r>
        <w:drawing>
          <wp:inline>
            <wp:extent cx="5759999" cy="2200664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results/paper/fig06_gt_load_duration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2006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Figure 5.</w:t>
      </w:r>
      <w:r>
        <w:t xml:space="preserve"> </w:t>
      </w:r>
      <w:r>
        <w:t xml:space="preserve">Duration curves of GT load per running unit (left; shaded: below 50 %) and of the number of GTs running (right).</w:t>
      </w:r>
    </w:p>
    <w:p>
      <w:pPr>
        <w:pStyle w:val="BodyText"/>
      </w:pPr>
      <w:r>
        <w:t xml:space="preserve">The pattern is illustrated by the example week in Figure 4, which is the week</w:t>
      </w:r>
      <w:r>
        <w:t xml:space="preserve"> </w:t>
      </w:r>
      <w:r>
        <w:t xml:space="preserve">with the median fuel saving. Whenever the wind drops, injection is reduced,</w:t>
      </w:r>
      <w:r>
        <w:t xml:space="preserve"> </w:t>
      </w:r>
      <w:r>
        <w:t xml:space="preserve">sometimes to zero, so that the demand follows the wind, and when the wind</w:t>
      </w:r>
      <w:r>
        <w:t xml:space="preserve"> </w:t>
      </w:r>
      <w:r>
        <w:t xml:space="preserve">returns, injection runs at full rate in order to catch up. Over the year, the</w:t>
      </w:r>
      <w:r>
        <w:t xml:space="preserve"> </w:t>
      </w:r>
      <w:r>
        <w:t xml:space="preserve">injection rate follows the available wind (Figure 6): its mean increases from 57</w:t>
      </w:r>
      <w:r>
        <w:t xml:space="preserve"> </w:t>
      </w:r>
      <w:r>
        <w:t xml:space="preserve">% of capacity in the calmest hours to 98–100 % when more than 16 MW of wind</w:t>
      </w:r>
      <w:r>
        <w:t xml:space="preserve"> </w:t>
      </w:r>
      <w:r>
        <w:t xml:space="preserve">power is available, and the correlation coefficient between injection rate and</w:t>
      </w:r>
      <w:r>
        <w:t xml:space="preserve"> </w:t>
      </w:r>
      <w:r>
        <w:t xml:space="preserve">available wind is 0.61. Injection is below its 85 % target in 2,563 h, stopped</w:t>
      </w:r>
      <w:r>
        <w:t xml:space="preserve"> </w:t>
      </w:r>
      <w:r>
        <w:t xml:space="preserve">completely in 187 h and above the target in 6,129 h. Over the year it averages</w:t>
      </w:r>
      <w:r>
        <w:t xml:space="preserve"> </w:t>
      </w:r>
      <w:r>
        <w:t xml:space="preserve">84.9 % of capacity, and the voidage target is thus met.</w:t>
      </w:r>
    </w:p>
    <w:p>
      <w:pPr>
        <w:pStyle w:val="BodyText"/>
      </w:pPr>
      <w:r>
        <w:t xml:space="preserve">The deficit remains small compared with the limit. It averages 9.0 h of</w:t>
      </w:r>
      <w:r>
        <w:t xml:space="preserve"> </w:t>
      </w:r>
      <w:r>
        <w:t xml:space="preserve">full-rate injection, never exceeds 27.5 h and is above 24 h in only 149 h of</w:t>
      </w:r>
      <w:r>
        <w:t xml:space="preserve"> </w:t>
      </w:r>
      <w:r>
        <w:t xml:space="preserve">the year, which is well within the 72 h allowed. At the end of the year, 8.2 h</w:t>
      </w:r>
      <w:r>
        <w:t xml:space="preserve"> </w:t>
      </w:r>
      <w:r>
        <w:t xml:space="preserve">of injection remain to be caught up, corresponding to less than 1 % of the</w:t>
      </w:r>
      <w:r>
        <w:t xml:space="preserve"> </w:t>
      </w:r>
      <w:r>
        <w:t xml:space="preserve">annual saving. The short duration of the deficits is a consequence of the</w:t>
      </w:r>
      <w:r>
        <w:t xml:space="preserve"> </w:t>
      </w:r>
      <w:r>
        <w:t xml:space="preserve">mechanism described above, since the hours in which a second GT would be</w:t>
      </w:r>
      <w:r>
        <w:t xml:space="preserve"> </w:t>
      </w:r>
      <w:r>
        <w:t xml:space="preserve">required occur in spells of a few hours to about a day, between periods of</w:t>
      </w:r>
      <w:r>
        <w:t xml:space="preserve"> </w:t>
      </w:r>
      <w:r>
        <w:t xml:space="preserve">sufficient wind.</w:t>
      </w:r>
    </w:p>
    <w:p>
      <w:pPr>
        <w:pStyle w:val="BodyText"/>
      </w:pPr>
      <w:r>
        <w:t xml:space="preserve">Production is not reduced in any of the cases. One hour at a rate of 50 %</w:t>
      </w:r>
      <w:r>
        <w:t xml:space="preserve"> </w:t>
      </w:r>
      <w:r>
        <w:t xml:space="preserve">would lose oil and gas worth about 1.5 MNOK, whereas the fuel and CO2 saved in</w:t>
      </w:r>
      <w:r>
        <w:t xml:space="preserve"> </w:t>
      </w:r>
      <w:r>
        <w:t xml:space="preserve">that hour are worth a few thousand NOK, and the optimiser therefore always</w:t>
      </w:r>
      <w:r>
        <w:t xml:space="preserve"> </w:t>
      </w:r>
      <w:r>
        <w:t xml:space="preserve">prefers to defer injection. The saving from flexibility is obtained in every</w:t>
      </w:r>
      <w:r>
        <w:t xml:space="preserve"> </w:t>
      </w:r>
      <w:r>
        <w:t xml:space="preserve">month and ranges from 0.43 to 0.77 kt (Figure S3). It is largest in June,</w:t>
      </w:r>
      <w:r>
        <w:t xml:space="preserve"> </w:t>
      </w:r>
      <w:r>
        <w:t xml:space="preserve">December and July, which are the months in which the wind often falls just</w:t>
      </w:r>
      <w:r>
        <w:t xml:space="preserve"> </w:t>
      </w:r>
      <w:r>
        <w:t xml:space="preserve">below the demand.</w:t>
      </w:r>
    </w:p>
    <w:p>
      <w:pPr>
        <w:pStyle w:val="Figure"/>
      </w:pPr>
      <w:r>
        <w:drawing>
          <wp:inline>
            <wp:extent cx="5759999" cy="2200664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results/paper/fig07_injection_mechanism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2006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Figure 6.</w:t>
      </w:r>
      <w:r>
        <w:t xml:space="preserve"> </w:t>
      </w:r>
      <w:r>
        <w:t xml:space="preserve">Left: water injection rate against available wind in Case 3 (mean and 10–90 % range of hours). Right: distribution of the injection deficit (dashed: 72 h limit).</w:t>
      </w:r>
    </w:p>
    <w:bookmarkEnd w:id="50"/>
    <w:bookmarkStart w:id="54" w:name="sensitivity-analysis"/>
    <w:p>
      <w:pPr>
        <w:pStyle w:val="Heading2"/>
      </w:pPr>
      <w:r>
        <w:t xml:space="preserve">3.4 Sensitivity analysis</w:t>
      </w:r>
    </w:p>
    <w:p>
      <w:pPr>
        <w:pStyle w:val="FirstParagraph"/>
      </w:pPr>
      <w:r>
        <w:rPr>
          <w:bCs/>
          <w:b/>
        </w:rPr>
        <w:t xml:space="preserve">Table 3.</w:t>
      </w:r>
      <w:r>
        <w:t xml:space="preserve"> </w:t>
      </w:r>
      <w:r>
        <w:t xml:space="preserve">Annual CO2 [kt/yr] in the sensitivity runs.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000000"/>
          <w:bottom w:val="single" w:sz="4" w:space="0" w:color="000000"/>
          <w:left w:val="nil" w:sz="4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Varied input</w:t>
            </w:r>
          </w:p>
        </w:tc>
        <w:tc>
          <w:tcPr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Values</w:t>
            </w:r>
          </w:p>
        </w:tc>
        <w:tc>
          <w:tcPr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Case 2</w:t>
            </w:r>
          </w:p>
        </w:tc>
        <w:tc>
          <w:tcPr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Case 3</w:t>
            </w:r>
          </w:p>
        </w:tc>
        <w:tc>
          <w:tcPr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Case 4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 farm size [turbines]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 / 2 / 3 / 4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77.6 / 64.7 / 60.2 / 57.6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71.9 / 57.5 / 53.4 / 50.9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CO2 price [NOK/kg]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0.5 / 1 / 2 / 3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57.5 / 57.5 / 57.5 / 57.6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 price [NOK/Sm³]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 / 4.19 / 8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57.5 / 57.5 / 57.5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Battery [MW / MWh]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 / 2/2 / 4/4 / 8/8 / 8/16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57.5 / 57.3 / 57.2 / 56.9 / 56.4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Injection deficit limit [h]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 / 24 / 72 / 168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64.7 / 57.5 / 57.5 / 57.5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Min. GTs online (8 MW battery)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 / 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56.9 / 38.7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GT fleet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3 main / 2 main + 1 small / 3 main + 1 small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64.7 / 53.9 / 53.9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57.5 / 47.8 / 47.7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Keep two GTs online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90.7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87.7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</w:p>
        </w:tc>
      </w:tr>
    </w:tbl>
    <w:p>
      <w:pPr>
        <w:pStyle w:val="BodyText"/>
        <w:spacing w:before="200"/>
      </w:pPr>
      <w:r>
        <w:t xml:space="preserve">The results of the sensitivity runs are given in Table 3 and Figure 7. Several</w:t>
      </w:r>
      <w:r>
        <w:t xml:space="preserve"> </w:t>
      </w:r>
      <w:r>
        <w:t xml:space="preserve">inputs have little effect. Across CO2 prices of 0.5–3 NOK/kg and gas prices of</w:t>
      </w:r>
      <w:r>
        <w:t xml:space="preserve"> </w:t>
      </w:r>
      <w:r>
        <w:t xml:space="preserve">2–8 NOK/Sm³, the emissions change by less than 0.1 %, since the prices scale</w:t>
      </w:r>
      <w:r>
        <w:t xml:space="preserve"> </w:t>
      </w:r>
      <w:r>
        <w:t xml:space="preserve">the cost of every option alike and the cheapest schedule remains the cheapest.</w:t>
      </w:r>
      <w:r>
        <w:t xml:space="preserve"> </w:t>
      </w:r>
      <w:r>
        <w:t xml:space="preserve">Deferring injection saves fuel at any price, and shedding production is never</w:t>
      </w:r>
      <w:r>
        <w:t xml:space="preserve"> </w:t>
      </w:r>
      <w:r>
        <w:t xml:space="preserve">profitable, as the lost oil and gas are worth about a hundred times more than</w:t>
      </w:r>
      <w:r>
        <w:t xml:space="preserve"> </w:t>
      </w:r>
      <w:r>
        <w:t xml:space="preserve">the fuel saved.</w:t>
      </w:r>
    </w:p>
    <w:p>
      <w:pPr>
        <w:pStyle w:val="BodyText"/>
      </w:pPr>
      <w:r>
        <w:t xml:space="preserve">The deferral capacity required is small. With no deferral allowed, Case 3 is</w:t>
      </w:r>
      <w:r>
        <w:t xml:space="preserve"> </w:t>
      </w:r>
      <w:r>
        <w:t xml:space="preserve">identical to Case 2 (64.7 kt). A limit of 24 h already gives the full saving,</w:t>
      </w:r>
      <w:r>
        <w:t xml:space="preserve"> </w:t>
      </w:r>
      <w:r>
        <w:t xml:space="preserve">with 5 GT starts instead of 3, and a limit of 168 h changes nothing. The</w:t>
      </w:r>
      <w:r>
        <w:t xml:space="preserve"> </w:t>
      </w:r>
      <w:r>
        <w:t xml:space="preserve">benefit would thus still be captured under a conservative reservoir</w:t>
      </w:r>
      <w:r>
        <w:t xml:space="preserve"> </w:t>
      </w:r>
      <w:r>
        <w:t xml:space="preserve">constraint.</w:t>
      </w:r>
    </w:p>
    <w:p>
      <w:pPr>
        <w:pStyle w:val="BodyText"/>
      </w:pPr>
      <w:r>
        <w:t xml:space="preserve">A larger wind farm gives a smaller improvement than its size suggests.</w:t>
      </w:r>
      <w:r>
        <w:t xml:space="preserve"> </w:t>
      </w:r>
      <w:r>
        <w:t xml:space="preserve">Doubling the farm from 30 to 60 MW reduces the Case 3 emissions only from 57.5</w:t>
      </w:r>
      <w:r>
        <w:t xml:space="preserve"> </w:t>
      </w:r>
      <w:r>
        <w:t xml:space="preserve">to 50.9 kt, while the curtailment increases from 39 to 160 GWh, since one GT</w:t>
      </w:r>
      <w:r>
        <w:t xml:space="preserve"> </w:t>
      </w:r>
      <w:r>
        <w:t xml:space="preserve">must remain online and the platform cannot use more wind in windy hours. The</w:t>
      </w:r>
      <w:r>
        <w:t xml:space="preserve"> </w:t>
      </w:r>
      <w:r>
        <w:t xml:space="preserve">value of flexibility (Case 2 minus Case 3) is highest at the base-case size</w:t>
      </w:r>
      <w:r>
        <w:t xml:space="preserve"> </w:t>
      </w:r>
      <w:r>
        <w:t xml:space="preserve">(7.2 kt). It is 5.6 kt for a 15 MW farm, where the wind seldom covers the</w:t>
      </w:r>
      <w:r>
        <w:t xml:space="preserve"> </w:t>
      </w:r>
      <w:r>
        <w:t xml:space="preserve">demand, and 6.7–6.8 kt for 45–60 MW. Batteries add little as long as one GT</w:t>
      </w:r>
      <w:r>
        <w:t xml:space="preserve"> </w:t>
      </w:r>
      <w:r>
        <w:t xml:space="preserve">must remain online; the largest one tested, 8 MW / 16 MWh, saves 1.1 kt (2 %).</w:t>
      </w:r>
    </w:p>
    <w:p>
      <w:pPr>
        <w:pStyle w:val="BodyText"/>
      </w:pPr>
      <w:r>
        <w:t xml:space="preserve">Two assumptions on GT operation have a larger effect than any of these inputs.</w:t>
      </w:r>
      <w:r>
        <w:t xml:space="preserve"> </w:t>
      </w:r>
      <w:r>
        <w:t xml:space="preserve">If an 8 MW / 8 MWh battery could provide reserve and grid stability, so that</w:t>
      </w:r>
      <w:r>
        <w:t xml:space="preserve"> </w:t>
      </w:r>
      <w:r>
        <w:t xml:space="preserve">all GTs may be stopped, the emissions would decrease to 38.7 kt, which is 32 %</w:t>
      </w:r>
      <w:r>
        <w:t xml:space="preserve"> </w:t>
      </w:r>
      <w:r>
        <w:t xml:space="preserve">below the same case with one GT online. The GTs would then run only 3,798</w:t>
      </w:r>
      <w:r>
        <w:t xml:space="preserve"> </w:t>
      </w:r>
      <w:r>
        <w:t xml:space="preserve">unit-h and start 184 times a year, only 11 GWh of wind would be curtailed, and</w:t>
      </w:r>
      <w:r>
        <w:t xml:space="preserve"> </w:t>
      </w:r>
      <w:r>
        <w:t xml:space="preserve">the electric heater would supply 15 GWh of heat in the hours with no GT</w:t>
      </w:r>
      <w:r>
        <w:t xml:space="preserve"> </w:t>
      </w:r>
      <w:r>
        <w:t xml:space="preserve">running. The opposite rule, with two GTs online whatever the wind, increases</w:t>
      </w:r>
      <w:r>
        <w:t xml:space="preserve"> </w:t>
      </w:r>
      <w:r>
        <w:t xml:space="preserve">the emissions to 90.7 kt in Case 2 and 87.7 kt in Case 3. Flexibility then</w:t>
      </w:r>
      <w:r>
        <w:t xml:space="preserve"> </w:t>
      </w:r>
      <w:r>
        <w:t xml:space="preserve">saves only 3.1 kt, all of it from lower curtailment, since there is no second</w:t>
      </w:r>
      <w:r>
        <w:t xml:space="preserve"> </w:t>
      </w:r>
      <w:r>
        <w:t xml:space="preserve">GT left to avoid.</w:t>
      </w:r>
    </w:p>
    <w:p>
      <w:pPr>
        <w:pStyle w:val="BodyText"/>
      </w:pPr>
      <w:r>
        <w:t xml:space="preserve">The composition of the GT fleet also matters. Replacing one main unit by a</w:t>
      </w:r>
      <w:r>
        <w:t xml:space="preserve"> </w:t>
      </w:r>
      <w:r>
        <w:t xml:space="preserve">Solar Mars 100 (11.35 MW) reduces the emissions from 64.7 to 53.9 kt with</w:t>
      </w:r>
      <w:r>
        <w:t xml:space="preserve"> </w:t>
      </w:r>
      <w:r>
        <w:t xml:space="preserve">fixed demand (−17 %) and from 57.5 to 47.8 kt with flexible demand. The small</w:t>
      </w:r>
      <w:r>
        <w:t xml:space="preserve"> </w:t>
      </w:r>
      <w:r>
        <w:t xml:space="preserve">unit runs alone in windy hours; its no-load fuel is about half that of a main</w:t>
      </w:r>
      <w:r>
        <w:t xml:space="preserve"> </w:t>
      </w:r>
      <w:r>
        <w:t xml:space="preserve">unit, and it can carry up to 6.35 MW while holding the 5 MW reserve.</w:t>
      </w:r>
      <w:r>
        <w:t xml:space="preserve"> </w:t>
      </w:r>
      <w:r>
        <w:t xml:space="preserve">Flexibility still saves 6.1 kt (11.3 %) with the small unit installed and</w:t>
      </w:r>
      <w:r>
        <w:t xml:space="preserve"> </w:t>
      </w:r>
      <w:r>
        <w:t xml:space="preserve">reduces the starts of the small unit from 465 to 262 per year. Combined, the</w:t>
      </w:r>
      <w:r>
        <w:t xml:space="preserve"> </w:t>
      </w:r>
      <w:r>
        <w:t xml:space="preserve">small unit and flexibility reduce the emissions by 26 % relative to Case 2.</w:t>
      </w:r>
      <w:r>
        <w:t xml:space="preserve"> </w:t>
      </w:r>
      <w:r>
        <w:t xml:space="preserve">When the small unit is instead added to the three main units, the emissions</w:t>
      </w:r>
      <w:r>
        <w:t xml:space="preserve"> </w:t>
      </w:r>
      <w:r>
        <w:t xml:space="preserve">are 47.7 kt, and the third main unit is never used.</w:t>
      </w:r>
    </w:p>
    <w:p>
      <w:pPr>
        <w:pStyle w:val="Figure"/>
      </w:pPr>
      <w:r>
        <w:drawing>
          <wp:inline>
            <wp:extent cx="5759999" cy="4851625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results/paper/fig09_sensitivity_overview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4851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Figure 7.</w:t>
      </w:r>
      <w:r>
        <w:t xml:space="preserve"> </w:t>
      </w:r>
      <w:r>
        <w:t xml:space="preserve">Sensitivity of annual CO2 emissions to wind farm size, CO2 and gas price, battery size, injection deficit limit, minimum number of GTs online, GT fleet and operating practice.</w:t>
      </w:r>
    </w:p>
    <w:bookmarkEnd w:id="54"/>
    <w:bookmarkStart w:id="58" w:name="validation"/>
    <w:p>
      <w:pPr>
        <w:pStyle w:val="Heading2"/>
      </w:pPr>
      <w:r>
        <w:t xml:space="preserve">3.5 Validation</w:t>
      </w:r>
    </w:p>
    <w:p>
      <w:pPr>
        <w:pStyle w:val="FirstParagraph"/>
      </w:pPr>
      <w:r>
        <w:rPr>
          <w:bCs/>
          <w:b/>
        </w:rPr>
        <w:t xml:space="preserve">Table 4.</w:t>
      </w:r>
      <w:r>
        <w:t xml:space="preserve"> </w:t>
      </w:r>
      <w:r>
        <w:t xml:space="preserve">Model results against published benchmarks.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000000"/>
          <w:bottom w:val="single" w:sz="4" w:space="0" w:color="000000"/>
          <w:left w:val="nil" w:sz="4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Benchmark</w:t>
            </w:r>
          </w:p>
        </w:tc>
        <w:tc>
          <w:tcPr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Model</w:t>
            </w:r>
          </w:p>
        </w:tc>
        <w:tc>
          <w:tcPr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Published</w:t>
            </w:r>
          </w:p>
        </w:tc>
        <w:tc>
          <w:tcPr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Platform power, three real oil platforms (Voldsund et al. 2013, 2014)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20.3 MW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17–30 MW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within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Platform power, six modelled platforms (Nguyen et al. 2013)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20.3 MW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22.6–31.1 MW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below range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Platform power, Johan Castberg (Statoil 2017)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20.3 MW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25 MW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within 20 %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Platform power implied by Hywind Tampen (Equinor 2023)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20.3 MW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25.1 MW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within 20 %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 capacity factor, Hywind Tampen design (Equinor 2023)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50.9 %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49.8 %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agrees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 capacity factor, Hywind Tampen Q1 2025 (Norwegian Offshore Wind 2025)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50.9 %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58.4 % (winter)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within 20 %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CO2 avoided per MWh wind, two GTs kept online (Equinor 2023)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0.51 t/MWh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0.52 t/MWh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agrees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Water injection specific energy (Svendsen et al. 2023)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8.8 kWh/m³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9.0 kWh/m³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agrees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CO2 intensity, Norwegian shelf 2023 (Offshore Norge 2024)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3.1 kg/boe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7.3 kg/boe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lower</w:t>
            </w:r>
          </w:p>
        </w:tc>
      </w:tr>
    </w:tbl>
    <w:p>
      <w:pPr>
        <w:pStyle w:val="BodyText"/>
        <w:spacing w:before="200"/>
      </w:pPr>
      <w:r>
        <w:t xml:space="preserve">The model results are compared with the published benchmarks in Table 4 and</w:t>
      </w:r>
      <w:r>
        <w:t xml:space="preserve"> </w:t>
      </w:r>
      <w:r>
        <w:t xml:space="preserve">Figure 8. The platform power, the wind resource and the pump energy agree with</w:t>
      </w:r>
      <w:r>
        <w:t xml:space="preserve"> </w:t>
      </w:r>
      <w:r>
        <w:t xml:space="preserve">the published values. The platform power lies within the range of</w:t>
      </w:r>
      <w:r>
        <w:t xml:space="preserve"> </w:t>
      </w:r>
      <w:r>
        <w:t xml:space="preserve">processing-plant power of three real oil platforms and within 20 % of the</w:t>
      </w:r>
      <w:r>
        <w:t xml:space="preserve"> </w:t>
      </w:r>
      <w:r>
        <w:t xml:space="preserve">other references. It is, however, below the range of the six platforms</w:t>
      </w:r>
      <w:r>
        <w:t xml:space="preserve"> </w:t>
      </w:r>
      <w:r>
        <w:t xml:space="preserve">modelled by Nguyen et al. (2013), in which gas compression alone</w:t>
      </w:r>
      <w:r>
        <w:t xml:space="preserve"> </w:t>
      </w:r>
      <w:r>
        <w:t xml:space="preserve">accounts for 42–56 % of a demand of 22.6–31.1 MW, compared with 28 % of 20.3</w:t>
      </w:r>
      <w:r>
        <w:t xml:space="preserve"> </w:t>
      </w:r>
      <w:r>
        <w:t xml:space="preserve">MW in the present model. The capacity factor obtained with ERA5 is within 2 %</w:t>
      </w:r>
      <w:r>
        <w:t xml:space="preserve"> </w:t>
      </w:r>
      <w:r>
        <w:t xml:space="preserve">of the 49.8 % expected for Hywind Tampen, although that farm uses smaller</w:t>
      </w:r>
      <w:r>
        <w:t xml:space="preserve"> </w:t>
      </w:r>
      <w:r>
        <w:t xml:space="preserve">floating turbines.</w:t>
      </w:r>
    </w:p>
    <w:p>
      <w:pPr>
        <w:pStyle w:val="BodyText"/>
      </w:pPr>
      <w:r>
        <w:t xml:space="preserve">The CO2 avoided per MWh of wind is the most demanding check, as it tests the</w:t>
      </w:r>
      <w:r>
        <w:t xml:space="preserve"> </w:t>
      </w:r>
      <w:r>
        <w:t xml:space="preserve">wind model, the part-load fuel model, the CO2 factor and the scheduling</w:t>
      </w:r>
      <w:r>
        <w:t xml:space="preserve"> </w:t>
      </w:r>
      <w:r>
        <w:t xml:space="preserve">together. When the model keeps two GTs online and only reduces their load, as</w:t>
      </w:r>
      <w:r>
        <w:t xml:space="preserve"> </w:t>
      </w:r>
      <w:r>
        <w:t xml:space="preserve">assumed in the Hywind Tampen estimate, it avoids 0.51 t/MWh, against the</w:t>
      </w:r>
      <w:r>
        <w:t xml:space="preserve"> </w:t>
      </w:r>
      <w:r>
        <w:t xml:space="preserve">published value of 0.52 t/MWh. When a GT may be stopped in windy hours, as in</w:t>
      </w:r>
      <w:r>
        <w:t xml:space="preserve"> </w:t>
      </w:r>
      <w:r>
        <w:t xml:space="preserve">Case 2, it avoids 0.71 t/MWh, since the no-load fuel of the stopped unit is</w:t>
      </w:r>
      <w:r>
        <w:t xml:space="preserve"> </w:t>
      </w:r>
      <w:r>
        <w:t xml:space="preserve">saved as well. The difference shows to what extent the benefit of wind depends</w:t>
      </w:r>
      <w:r>
        <w:t xml:space="preserve"> </w:t>
      </w:r>
      <w:r>
        <w:t xml:space="preserve">on the operating practice rather than on the wind farm itself.</w:t>
      </w:r>
    </w:p>
    <w:p>
      <w:pPr>
        <w:pStyle w:val="BodyText"/>
      </w:pPr>
      <w:r>
        <w:t xml:space="preserve">The field data support the fuel and emission model (Figure 8, right). The</w:t>
      </w:r>
      <w:r>
        <w:t xml:space="preserve"> </w:t>
      </w:r>
      <w:r>
        <w:t xml:space="preserve">Gullfaks field centre emitted 2.32–2.40 kg CO2 per Sm³ of fuel gas in</w:t>
      </w:r>
      <w:r>
        <w:t xml:space="preserve"> </w:t>
      </w:r>
      <w:r>
        <w:t xml:space="preserve">2021–2024, which is consistent with the 2.34 kg/Sm³ used here. After Hywind</w:t>
      </w:r>
      <w:r>
        <w:t xml:space="preserve"> </w:t>
      </w:r>
      <w:r>
        <w:t xml:space="preserve">Tampen started supplying power, the fuel gas use decreased by 30 % at Gullfaks</w:t>
      </w:r>
      <w:r>
        <w:t xml:space="preserve"> </w:t>
      </w:r>
      <w:r>
        <w:t xml:space="preserve">(2021–2023) and by 11 % at Snorre (2021–2024), and the diesel use at Snorre</w:t>
      </w:r>
      <w:r>
        <w:t xml:space="preserve"> </w:t>
      </w:r>
      <w:r>
        <w:t xml:space="preserve">fell from 15.6 kt to about 3 kt, whereas the fuel use was unchanged at</w:t>
      </w:r>
      <w:r>
        <w:t xml:space="preserve"> </w:t>
      </w:r>
      <w:r>
        <w:t xml:space="preserve">Statfjord, which receives no wind power. Since production also declined over</w:t>
      </w:r>
      <w:r>
        <w:t xml:space="preserve"> </w:t>
      </w:r>
      <w:r>
        <w:t xml:space="preserve">the period, not all of the reduction can be attributed to the wind farm. The</w:t>
      </w:r>
      <w:r>
        <w:t xml:space="preserve"> </w:t>
      </w:r>
      <w:r>
        <w:t xml:space="preserve">CO2 intensity of the model is lower than the shelf average and the field</w:t>
      </w:r>
      <w:r>
        <w:t xml:space="preserve"> </w:t>
      </w:r>
      <w:r>
        <w:t xml:space="preserve">values (9–14 kg/boe at Gullfaks and Snorre, 55–78 kg/boe at the late-life</w:t>
      </w:r>
      <w:r>
        <w:t xml:space="preserve"> </w:t>
      </w:r>
      <w:r>
        <w:t xml:space="preserve">Statfjord), as expected from the system boundary: the model covers only power</w:t>
      </w:r>
      <w:r>
        <w:t xml:space="preserve"> </w:t>
      </w:r>
      <w:r>
        <w:t xml:space="preserve">generation on an efficient platform at plateau rate, whereas the field values</w:t>
      </w:r>
      <w:r>
        <w:t xml:space="preserve"> </w:t>
      </w:r>
      <w:r>
        <w:t xml:space="preserve">include flaring, diesel, gas re-injection compression and the lower production</w:t>
      </w:r>
      <w:r>
        <w:t xml:space="preserve"> </w:t>
      </w:r>
      <w:r>
        <w:t xml:space="preserve">of mature fields. The like-for-like checks, i.e. the fuel gas factor and the</w:t>
      </w:r>
      <w:r>
        <w:t xml:space="preserve"> </w:t>
      </w:r>
      <w:r>
        <w:t xml:space="preserve">CO2 avoided per MWh, agree, which indicates that the difference originates</w:t>
      </w:r>
      <w:r>
        <w:t xml:space="preserve"> </w:t>
      </w:r>
      <w:r>
        <w:t xml:space="preserve">from the boundary and not from the power system model.</w:t>
      </w:r>
    </w:p>
    <w:p>
      <w:pPr>
        <w:pStyle w:val="Figure"/>
      </w:pPr>
      <w:r>
        <w:drawing>
          <wp:inline>
            <wp:extent cx="5759999" cy="4741971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results/paper/fig10_validation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4741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Figure 8.</w:t>
      </w:r>
      <w:r>
        <w:t xml:space="preserve"> </w:t>
      </w:r>
      <w:r>
        <w:t xml:space="preserve">Left: model results divided by published benchmarks (1 = equal; shaded: ±20 %; grey bars: published ranges). Right: CO2 intensity of the Gullfaks, Snorre and Statfjord field centres (grey: GT-powered; teal: receiving Hywind Tampen power) with the model Case 1 value (dashed).</w:t>
      </w:r>
    </w:p>
    <w:bookmarkEnd w:id="58"/>
    <w:bookmarkStart w:id="59" w:name="economic-indicators-1"/>
    <w:p>
      <w:pPr>
        <w:pStyle w:val="Heading2"/>
      </w:pPr>
      <w:r>
        <w:t xml:space="preserve">3.6 Economic indicators</w:t>
      </w:r>
    </w:p>
    <w:p>
      <w:pPr>
        <w:pStyle w:val="FirstParagraph"/>
      </w:pPr>
      <w:r>
        <w:rPr>
          <w:bCs/>
          <w:b/>
        </w:rPr>
        <w:t xml:space="preserve">Table 5.</w:t>
      </w:r>
      <w:r>
        <w:t xml:space="preserve"> </w:t>
      </w:r>
      <w:r>
        <w:t xml:space="preserve">Economic indicators (real NOK, 20 years; abatement cost range</w:t>
      </w:r>
      <w:r>
        <w:t xml:space="preserve"> </w:t>
      </w:r>
      <w:r>
        <w:t xml:space="preserve">from the O&amp;M range of floating wind).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000000"/>
          <w:bottom w:val="single" w:sz="4" w:space="0" w:color="000000"/>
          <w:left w:val="nil" w:sz="4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Measure</w:t>
            </w:r>
          </w:p>
        </w:tc>
        <w:tc>
          <w:tcPr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CO2 avoided [kt/yr]</w:t>
            </w:r>
          </w:p>
        </w:tc>
        <w:tc>
          <w:tcPr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Fuel value saved [MNOK/yr]</w:t>
            </w:r>
          </w:p>
        </w:tc>
        <w:tc>
          <w:tcPr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Abatement cost [NOK/t], 7 % / 4 %</w:t>
            </w:r>
          </w:p>
        </w:tc>
        <w:tc>
          <w:tcPr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Break-even investment [MNOK], fuel / fuel + CO2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 farm, fixed demand (Case 2 vs 1)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63.0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112.8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2,180–2,519 / 1,347–1,686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–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 farm with flexibility (Case 3 vs 1)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70.2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125.7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1,774–2,078 / 1,026–1,330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–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Flexibility (Case 3 vs 2)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7.2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12.9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−1,799 before implementation cost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137 / 288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Battery 4 MW / 4 MWh (Case 4 vs 3)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0.3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0.5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−1,562 before battery cost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 / 13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Small GT replacing one main GT (flexible)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9.7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17.4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−1,786 before GT cost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184 / 391</w:t>
            </w:r>
          </w:p>
        </w:tc>
      </w:tr>
    </w:tbl>
    <w:p>
      <w:pPr>
        <w:pStyle w:val="BodyText"/>
        <w:spacing w:before="200"/>
      </w:pPr>
      <w:r>
        <w:t xml:space="preserve">The economic indicators are given in Table 5. With an investment of 2.5</w:t>
      </w:r>
      <w:r>
        <w:t xml:space="preserve"> </w:t>
      </w:r>
      <w:r>
        <w:t xml:space="preserve">billion NOK for 30 MW, the wind farm with fixed demand avoids CO2 at</w:t>
      </w:r>
      <w:r>
        <w:t xml:space="preserve"> </w:t>
      </w:r>
      <w:r>
        <w:t xml:space="preserve">2,180–2,519 NOK/t at a 7 % discount rate and at 1,347–1,686 NOK/t at 4 %.</w:t>
      </w:r>
      <w:r>
        <w:t xml:space="preserve"> </w:t>
      </w:r>
      <w:r>
        <w:t xml:space="preserve">These values are of the same order as the abatement cost of the</w:t>
      </w:r>
      <w:r>
        <w:t xml:space="preserve"> </w:t>
      </w:r>
      <w:r>
        <w:t xml:space="preserve">power-from-shore projects most recently approved on the Norwegian shelf, just</w:t>
      </w:r>
      <w:r>
        <w:t xml:space="preserve"> </w:t>
      </w:r>
      <w:r>
        <w:t xml:space="preserve">under 2,000 NOK/t (Norwegian Offshore Directorate 2025), and close to the CO2 price of 2,000 NOK/t</w:t>
      </w:r>
      <w:r>
        <w:t xml:space="preserve"> </w:t>
      </w:r>
      <w:r>
        <w:t xml:space="preserve">targeted for 2030 (Norwegian Ministry of Climate and Environment 2021). Scheduling the flexible loads lowers the</w:t>
      </w:r>
      <w:r>
        <w:t xml:space="preserve"> </w:t>
      </w:r>
      <w:r>
        <w:t xml:space="preserve">abatement cost of the same wind farm by about 400 NOK/t, to 1,774–2,078 NOK/t</w:t>
      </w:r>
      <w:r>
        <w:t xml:space="preserve"> </w:t>
      </w:r>
      <w:r>
        <w:t xml:space="preserve">at 7 %, since 11 % more CO2 is avoided and 11 % more fuel is saved for the</w:t>
      </w:r>
      <w:r>
        <w:t xml:space="preserve"> </w:t>
      </w:r>
      <w:r>
        <w:t xml:space="preserve">same investment.</w:t>
      </w:r>
    </w:p>
    <w:p>
      <w:pPr>
        <w:pStyle w:val="BodyText"/>
      </w:pPr>
      <w:r>
        <w:t xml:space="preserve">Flexibility on its own gives a net saving before any implementation cost, as</w:t>
      </w:r>
      <w:r>
        <w:t xml:space="preserve"> </w:t>
      </w:r>
      <w:r>
        <w:t xml:space="preserve">the fuel saved is worth about 1,800 NOK per tonne of CO2 avoided. An operator</w:t>
      </w:r>
      <w:r>
        <w:t xml:space="preserve"> </w:t>
      </w:r>
      <w:r>
        <w:t xml:space="preserve">could spend up to 137 MNOK on control systems and process modifications and</w:t>
      </w:r>
      <w:r>
        <w:t xml:space="preserve"> </w:t>
      </w:r>
      <w:r>
        <w:t xml:space="preserve">still break even on the fuel saved alone, or up to 288 MNOK when the avoided</w:t>
      </w:r>
      <w:r>
        <w:t xml:space="preserve"> </w:t>
      </w:r>
      <w:r>
        <w:t xml:space="preserve">CO2 cost is included. The 4 MW / 4 MWh battery breaks even only at an</w:t>
      </w:r>
      <w:r>
        <w:t xml:space="preserve"> </w:t>
      </w:r>
      <w:r>
        <w:t xml:space="preserve">investment below 5–13 MNOK, which is low for an offshore installation of that</w:t>
      </w:r>
      <w:r>
        <w:t xml:space="preserve"> </w:t>
      </w:r>
      <w:r>
        <w:t xml:space="preserve">size. A small GT replacing one main GT breaks even below 184–391 MNOK, before</w:t>
      </w:r>
      <w:r>
        <w:t xml:space="preserve"> </w:t>
      </w:r>
      <w:r>
        <w:t xml:space="preserve">its additional maintenance and its 262 starts per year are taken into account.</w:t>
      </w:r>
    </w:p>
    <w:bookmarkEnd w:id="59"/>
    <w:bookmarkStart w:id="63" w:name="weather-years"/>
    <w:p>
      <w:pPr>
        <w:pStyle w:val="Heading2"/>
      </w:pPr>
      <w:r>
        <w:t xml:space="preserve">3.7 Weather years</w:t>
      </w:r>
    </w:p>
    <w:p>
      <w:pPr>
        <w:pStyle w:val="FirstParagraph"/>
      </w:pPr>
      <w:r>
        <w:rPr>
          <w:bCs/>
          <w:b/>
        </w:rPr>
        <w:t xml:space="preserve">Table 6.</w:t>
      </w:r>
      <w:r>
        <w:t xml:space="preserve"> </w:t>
      </w:r>
      <w:r>
        <w:t xml:space="preserve">Results for ten weather years (ERA5, 2014–2023).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000000"/>
          <w:bottom w:val="single" w:sz="4" w:space="0" w:color="000000"/>
          <w:left w:val="nil" w:sz="4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</w:p>
        </w:tc>
        <w:tc>
          <w:tcPr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Mean</w:t>
            </w:r>
          </w:p>
        </w:tc>
        <w:tc>
          <w:tcPr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Range</w:t>
            </w:r>
          </w:p>
        </w:tc>
        <w:tc>
          <w:tcPr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2023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 capacity factor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54.2 %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50.3–59.8 %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50.9 %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CO2 reduction, Case 2 vs 1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51.8 %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48.5–55.6 %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49.4 %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CO2 reduction, Case 3 vs 1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57.1 %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54.5–60.3 %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55.0 %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Flexibility benefit, Case 2 − 3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6.8 kt (11.0 %)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5.9–7.7 kt (10.5–11.7 %)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7.2 kt (11.1 %)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Hours with two GTs, Case 2 / Case 3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1,082–1,889 / 4–66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1,702 / 28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Battery benefit, Case 3 − 4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0.35 kt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0.25–0.42 kt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0.32 kt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Maximum injection deficit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25.8–59.3 h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27.5 h</w:t>
            </w:r>
          </w:p>
        </w:tc>
      </w:tr>
    </w:tbl>
    <w:p>
      <w:pPr>
        <w:pStyle w:val="BodyText"/>
        <w:spacing w:before="200"/>
      </w:pPr>
      <w:r>
        <w:t xml:space="preserve">The results for the ten weather years are summarised in Table 6 and Figure 9.</w:t>
      </w:r>
      <w:r>
        <w:t xml:space="preserve"> </w:t>
      </w:r>
      <w:r>
        <w:t xml:space="preserve">The weather year affects the benefit of wind more than the benefit of</w:t>
      </w:r>
      <w:r>
        <w:t xml:space="preserve"> </w:t>
      </w:r>
      <w:r>
        <w:t xml:space="preserve">flexibility. Over the ten years, the capacity factor of the wind farm ranges</w:t>
      </w:r>
      <w:r>
        <w:t xml:space="preserve"> </w:t>
      </w:r>
      <w:r>
        <w:t xml:space="preserve">from 50.3 % to 59.8 %, and 2023 is one of the calmer years. The reduction with</w:t>
      </w:r>
      <w:r>
        <w:t xml:space="preserve"> </w:t>
      </w:r>
      <w:r>
        <w:t xml:space="preserve">fixed demand (Case 2) ranges from 48.5 % to 55.6 %, whereas the additional</w:t>
      </w:r>
      <w:r>
        <w:t xml:space="preserve"> </w:t>
      </w:r>
      <w:r>
        <w:t xml:space="preserve">saving from flexibility is remarkably stable at 10.5–11.7 % of the Case 2</w:t>
      </w:r>
      <w:r>
        <w:t xml:space="preserve"> </w:t>
      </w:r>
      <w:r>
        <w:t xml:space="preserve">emissions, or 5.9–7.7 kt/yr, with a mean of 11.0 %, almost exactly the 2023</w:t>
      </w:r>
      <w:r>
        <w:t xml:space="preserve"> </w:t>
      </w:r>
      <w:r>
        <w:t xml:space="preserve">value. In absolute terms, the saving is largest in the calm years 2016, 2021</w:t>
      </w:r>
      <w:r>
        <w:t xml:space="preserve"> </w:t>
      </w:r>
      <w:r>
        <w:t xml:space="preserve">and 2023, in which a second GT is needed most often with fixed demand, and</w:t>
      </w:r>
      <w:r>
        <w:t xml:space="preserve"> </w:t>
      </w:r>
      <w:r>
        <w:t xml:space="preserve">smallest in the windy year 2022. Flexibility removes 96–100 % of the hours</w:t>
      </w:r>
      <w:r>
        <w:t xml:space="preserve"> </w:t>
      </w:r>
      <w:r>
        <w:t xml:space="preserve">with two GTs online in every year, and in no year is production lost or demand</w:t>
      </w:r>
      <w:r>
        <w:t xml:space="preserve"> </w:t>
      </w:r>
      <w:r>
        <w:t xml:space="preserve">left unmet.</w:t>
      </w:r>
    </w:p>
    <w:p>
      <w:pPr>
        <w:pStyle w:val="BodyText"/>
      </w:pPr>
      <w:r>
        <w:t xml:space="preserve">The injection deficit varies more between the years than the saving does. Its</w:t>
      </w:r>
      <w:r>
        <w:t xml:space="preserve"> </w:t>
      </w:r>
      <w:r>
        <w:t xml:space="preserve">maximum ranges from 26 to 59 h, which is below the 72 h limit in every year,</w:t>
      </w:r>
      <w:r>
        <w:t xml:space="preserve"> </w:t>
      </w:r>
      <w:r>
        <w:t xml:space="preserve">and up to 28 h remain to be caught up at the end of a year. In 2016 and 2017,</w:t>
      </w:r>
      <w:r>
        <w:t xml:space="preserve"> </w:t>
      </w:r>
      <w:r>
        <w:t xml:space="preserve">the years with the largest deficits, a limit of 24 h still captures 98 % of</w:t>
      </w:r>
      <w:r>
        <w:t xml:space="preserve"> </w:t>
      </w:r>
      <w:r>
        <w:t xml:space="preserve">the saving obtained with 72 h (58.4 against 58.3 kt in 2016 and 52.7 against</w:t>
      </w:r>
      <w:r>
        <w:t xml:space="preserve"> </w:t>
      </w:r>
      <w:r>
        <w:t xml:space="preserve">52.6 kt in 2017). The conclusion that about one day of deferral is sufficient</w:t>
      </w:r>
      <w:r>
        <w:t xml:space="preserve"> </w:t>
      </w:r>
      <w:r>
        <w:t xml:space="preserve">thus holds for all the weather years tested.</w:t>
      </w:r>
    </w:p>
    <w:p>
      <w:pPr>
        <w:pStyle w:val="Figure"/>
      </w:pPr>
      <w:r>
        <w:drawing>
          <wp:inline>
            <wp:extent cx="5759999" cy="2790927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results/paper/fig11_multi_year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7909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Figure 9.</w:t>
      </w:r>
      <w:r>
        <w:t xml:space="preserve"> </w:t>
      </w:r>
      <w:r>
        <w:t xml:space="preserve">Flexibility benefit (Case 2 − Case 3, bars) and wind capacity factor (line) for the weather years 2014–2023.</w:t>
      </w:r>
    </w:p>
    <w:bookmarkEnd w:id="63"/>
    <w:bookmarkEnd w:id="64"/>
    <w:bookmarkStart w:id="70" w:name="discussion"/>
    <w:p>
      <w:pPr>
        <w:pStyle w:val="Heading1"/>
      </w:pPr>
      <w:r>
        <w:t xml:space="preserve">4. Discussion</w:t>
      </w:r>
    </w:p>
    <w:p>
      <w:pPr>
        <w:pStyle w:val="FirstParagraph"/>
      </w:pPr>
      <w:r>
        <w:t xml:space="preserve">The results presented above show that the benefit of flexible scheduling is</w:t>
      </w:r>
      <w:r>
        <w:t xml:space="preserve"> </w:t>
      </w:r>
      <w:r>
        <w:t xml:space="preserve">obtained through the unit commitment of the GTs. This mechanism is discussed</w:t>
      </w:r>
      <w:r>
        <w:t xml:space="preserve"> </w:t>
      </w:r>
      <w:r>
        <w:t xml:space="preserve">in Section 4.1, and the results are compared with earlier studies in Section</w:t>
      </w:r>
      <w:r>
        <w:t xml:space="preserve"> </w:t>
      </w:r>
      <w:r>
        <w:t xml:space="preserve">4.2. The practical implementation, the robustness of the conclusions and the</w:t>
      </w:r>
      <w:r>
        <w:t xml:space="preserve"> </w:t>
      </w:r>
      <w:r>
        <w:t xml:space="preserve">limitations of the study are discussed in Sections 4.3–4.5.</w:t>
      </w:r>
    </w:p>
    <w:bookmarkStart w:id="65" w:name="why-load-flexibility-works"/>
    <w:p>
      <w:pPr>
        <w:pStyle w:val="Heading2"/>
      </w:pPr>
      <w:r>
        <w:t xml:space="preserve">4.1 Why load flexibility works</w:t>
      </w:r>
    </w:p>
    <w:p>
      <w:pPr>
        <w:pStyle w:val="FirstParagraph"/>
      </w:pPr>
      <w:r>
        <w:t xml:space="preserve">Flexible demand saves fuel through the unit commitment of the GTs rather than</w:t>
      </w:r>
      <w:r>
        <w:t xml:space="preserve"> </w:t>
      </w:r>
      <w:r>
        <w:t xml:space="preserve">through energy shifting. A GT held at low load for reserve still burns a large</w:t>
      </w:r>
      <w:r>
        <w:t xml:space="preserve"> </w:t>
      </w:r>
      <w:r>
        <w:t xml:space="preserve">share of its full-load fuel, and the costly hours are therefore those in which</w:t>
      </w:r>
      <w:r>
        <w:t xml:space="preserve"> </w:t>
      </w:r>
      <w:r>
        <w:t xml:space="preserve">the wind is just too weak for one turbine to carry the load with 5 MW in</w:t>
      </w:r>
      <w:r>
        <w:t xml:space="preserve"> </w:t>
      </w:r>
      <w:r>
        <w:t xml:space="preserve">reserve. Deferring injection in these hours keeps the second turbine off.</w:t>
      </w:r>
      <w:r>
        <w:t xml:space="preserve"> </w:t>
      </w:r>
      <w:r>
        <w:t xml:space="preserve">Three of the results of Section 3 follow from this mechanism: most of the</w:t>
      </w:r>
      <w:r>
        <w:t xml:space="preserve"> </w:t>
      </w:r>
      <w:r>
        <w:t xml:space="preserve">saving comes from the 1,674 avoided hours with two GTs online; about one day</w:t>
      </w:r>
      <w:r>
        <w:t xml:space="preserve"> </w:t>
      </w:r>
      <w:r>
        <w:t xml:space="preserve">of deficit capacity captures almost all of it, since these hours occur in</w:t>
      </w:r>
      <w:r>
        <w:t xml:space="preserve"> </w:t>
      </w:r>
      <w:r>
        <w:t xml:space="preserve">short spells between windy periods; and the saving largely disappears under</w:t>
      </w:r>
      <w:r>
        <w:t xml:space="preserve"> </w:t>
      </w:r>
      <w:r>
        <w:t xml:space="preserve">operating rules that keep two GTs online in any case.</w:t>
      </w:r>
    </w:p>
    <w:p>
      <w:pPr>
        <w:pStyle w:val="BodyText"/>
      </w:pPr>
      <w:r>
        <w:t xml:space="preserve">Energy shifting alone has a small effect. The curtailment decreases by only 13</w:t>
      </w:r>
      <w:r>
        <w:t xml:space="preserve"> </w:t>
      </w:r>
      <w:r>
        <w:t xml:space="preserve">%, since one GT must remain online and a 30 MW farm often produces more power</w:t>
      </w:r>
      <w:r>
        <w:t xml:space="preserve"> </w:t>
      </w:r>
      <w:r>
        <w:t xml:space="preserve">than the platform can use, even with injection at full rate. For the same</w:t>
      </w:r>
      <w:r>
        <w:t xml:space="preserve"> </w:t>
      </w:r>
      <w:r>
        <w:t xml:space="preserve">reason, the value of flexibility does not increase with the size of the wind</w:t>
      </w:r>
      <w:r>
        <w:t xml:space="preserve"> </w:t>
      </w:r>
      <w:r>
        <w:t xml:space="preserve">farm: a larger farm covers the demand more often, so that a second GT is</w:t>
      </w:r>
      <w:r>
        <w:t xml:space="preserve"> </w:t>
      </w:r>
      <w:r>
        <w:t xml:space="preserve">needed in fewer hours, and the additional wind in windy hours cannot be</w:t>
      </w:r>
      <w:r>
        <w:t xml:space="preserve"> </w:t>
      </w:r>
      <w:r>
        <w:t xml:space="preserve">absorbed. Flexibility is thus most valuable when the wind farm capacity is of</w:t>
      </w:r>
      <w:r>
        <w:t xml:space="preserve"> </w:t>
      </w:r>
      <w:r>
        <w:t xml:space="preserve">the same order as the platform demand, as in the base case and at Hywind</w:t>
      </w:r>
      <w:r>
        <w:t xml:space="preserve"> </w:t>
      </w:r>
      <w:r>
        <w:t xml:space="preserve">Tampen.</w:t>
      </w:r>
    </w:p>
    <w:p>
      <w:pPr>
        <w:pStyle w:val="BodyText"/>
      </w:pPr>
      <w:r>
        <w:t xml:space="preserve">The small effect of the battery in Case 4 has the same cause. With one GT</w:t>
      </w:r>
      <w:r>
        <w:t xml:space="preserve"> </w:t>
      </w:r>
      <w:r>
        <w:t xml:space="preserve">always online, a battery cannot remove the main remaining loss, which is a</w:t>
      </w:r>
      <w:r>
        <w:t xml:space="preserve"> </w:t>
      </w:r>
      <w:r>
        <w:t xml:space="preserve">turbine idling near minimum load. The large saving (38.7 kt, −32 %) is</w:t>
      </w:r>
      <w:r>
        <w:t xml:space="preserve"> </w:t>
      </w:r>
      <w:r>
        <w:t xml:space="preserve">obtained only when the battery, or grid-forming wind turbines, can replace the</w:t>
      </w:r>
      <w:r>
        <w:t xml:space="preserve"> </w:t>
      </w:r>
      <w:r>
        <w:t xml:space="preserve">last running GT. Svendsen (2022) found the same for a battery</w:t>
      </w:r>
      <w:r>
        <w:t xml:space="preserve"> </w:t>
      </w:r>
      <w:r>
        <w:t xml:space="preserve">providing reserve. The present results show in addition that process</w:t>
      </w:r>
      <w:r>
        <w:t xml:space="preserve"> </w:t>
      </w:r>
      <w:r>
        <w:t xml:space="preserve">flexibility gives much of this benefit without new equipment, since both</w:t>
      </w:r>
      <w:r>
        <w:t xml:space="preserve"> </w:t>
      </w:r>
      <w:r>
        <w:t xml:space="preserve">measures reduce the number of GTs that must be online.</w:t>
      </w:r>
    </w:p>
    <w:p>
      <w:pPr>
        <w:pStyle w:val="BodyText"/>
      </w:pPr>
      <w:r>
        <w:t xml:space="preserve">A small GT acts on a different part of the loss: it does not reduce the number</w:t>
      </w:r>
      <w:r>
        <w:t xml:space="preserve"> </w:t>
      </w:r>
      <w:r>
        <w:t xml:space="preserve">of running units, but the no-load fuel of the unit that runs. Its saving</w:t>
      </w:r>
      <w:r>
        <w:t xml:space="preserve"> </w:t>
      </w:r>
      <w:r>
        <w:t xml:space="preserve">therefore adds almost fully to that of flexibility (Section 3.4). A retrofit</w:t>
      </w:r>
      <w:r>
        <w:t xml:space="preserve"> </w:t>
      </w:r>
      <w:r>
        <w:t xml:space="preserve">could thus proceed in stages, by first using the flexibility of the existing</w:t>
      </w:r>
      <w:r>
        <w:t xml:space="preserve"> </w:t>
      </w:r>
      <w:r>
        <w:t xml:space="preserve">process at no investment, and then considering the replacement of one main GT</w:t>
      </w:r>
      <w:r>
        <w:t xml:space="preserve"> </w:t>
      </w:r>
      <w:r>
        <w:t xml:space="preserve">by a smaller unit at its next major overhaul, provided that the small unit</w:t>
      </w:r>
      <w:r>
        <w:t xml:space="preserve"> </w:t>
      </w:r>
      <w:r>
        <w:t xml:space="preserve">tolerates about 260 starts a year.</w:t>
      </w:r>
    </w:p>
    <w:bookmarkEnd w:id="65"/>
    <w:bookmarkStart w:id="66" w:name="comparison-with-earlier-studies"/>
    <w:p>
      <w:pPr>
        <w:pStyle w:val="Heading2"/>
      </w:pPr>
      <w:r>
        <w:t xml:space="preserve">4.2 Comparison with earlier studies</w:t>
      </w:r>
    </w:p>
    <w:p>
      <w:pPr>
        <w:pStyle w:val="FirstParagraph"/>
      </w:pPr>
      <w:r>
        <w:t xml:space="preserve">Most studies of wind-powered platforms report the benefit of wind at fixed</w:t>
      </w:r>
      <w:r>
        <w:t xml:space="preserve"> </w:t>
      </w:r>
      <w:r>
        <w:t xml:space="preserve">demand, which corresponds to Case 2 in the present study. This understates the</w:t>
      </w:r>
      <w:r>
        <w:t xml:space="preserve"> </w:t>
      </w:r>
      <w:r>
        <w:t xml:space="preserve">potential of the same wind farm, as the emissions with fixed demand are 12 %</w:t>
      </w:r>
      <w:r>
        <w:t xml:space="preserve"> </w:t>
      </w:r>
      <w:r>
        <w:t xml:space="preserve">higher than when the platform schedules its flexible loads. The CO2 avoided</w:t>
      </w:r>
      <w:r>
        <w:t xml:space="preserve"> </w:t>
      </w:r>
      <w:r>
        <w:t xml:space="preserve">per MWh of wind, which is the usual metric for wind integration, is 0.71 t/MWh</w:t>
      </w:r>
      <w:r>
        <w:t xml:space="preserve"> </w:t>
      </w:r>
      <w:r>
        <w:t xml:space="preserve">in Case 2, 0.74 t/MWh in Case 3 and 0.51 t/MWh if two GTs are kept online.</w:t>
      </w:r>
      <w:r>
        <w:t xml:space="preserve"> </w:t>
      </w:r>
      <w:r>
        <w:t xml:space="preserve">Values reported for different platforms can therefore only be compared if the</w:t>
      </w:r>
      <w:r>
        <w:t xml:space="preserve"> </w:t>
      </w:r>
      <w:r>
        <w:t xml:space="preserve">GT operating practice behind them is stated.</w:t>
      </w:r>
    </w:p>
    <w:p>
      <w:pPr>
        <w:pStyle w:val="BodyText"/>
      </w:pPr>
      <w:r>
        <w:t xml:space="preserve">The economic performance of flexibility also differs from that of wind</w:t>
      </w:r>
      <w:r>
        <w:t xml:space="preserve"> </w:t>
      </w:r>
      <w:r>
        <w:t xml:space="preserve">integration. Riboldi and Nord (2018) found that integrating wind is</w:t>
      </w:r>
      <w:r>
        <w:t xml:space="preserve"> </w:t>
      </w:r>
      <w:r>
        <w:t xml:space="preserve">profitable only with favourable gas and CO2 prices. Flexibility, in contrast,</w:t>
      </w:r>
      <w:r>
        <w:t xml:space="preserve"> </w:t>
      </w:r>
      <w:r>
        <w:t xml:space="preserve">requires no investment in power generation, its schedule does not depend on</w:t>
      </w:r>
      <w:r>
        <w:t xml:space="preserve"> </w:t>
      </w:r>
      <w:r>
        <w:t xml:space="preserve">prices, and the fuel it saves is worth about 1,800 NOK per tonne of CO2</w:t>
      </w:r>
      <w:r>
        <w:t xml:space="preserve"> </w:t>
      </w:r>
      <w:r>
        <w:t xml:space="preserve">avoided at the base-case gas price alone. It is thus profitable without any</w:t>
      </w:r>
      <w:r>
        <w:t xml:space="preserve"> </w:t>
      </w:r>
      <w:r>
        <w:t xml:space="preserve">carbon price, which is relevant in regions where emissions are not priced. The</w:t>
      </w:r>
      <w:r>
        <w:t xml:space="preserve"> </w:t>
      </w:r>
      <w:r>
        <w:t xml:space="preserve">wind farm, by comparison, requires about 1,800–2,500 NOK/t at a 7 % discount</w:t>
      </w:r>
      <w:r>
        <w:t xml:space="preserve"> </w:t>
      </w:r>
      <w:r>
        <w:t xml:space="preserve">rate to break even, which is of the same order as power from shore</w:t>
      </w:r>
      <w:r>
        <w:t xml:space="preserve"> </w:t>
      </w:r>
      <w:r>
        <w:t xml:space="preserve">(Norwegian Petroleum Directorate et al. 2020; Norwegian Offshore Directorate 2025), and flexibility lowers this value by about 400</w:t>
      </w:r>
      <w:r>
        <w:t xml:space="preserve"> </w:t>
      </w:r>
      <w:r>
        <w:t xml:space="preserve">NOK/t.</w:t>
      </w:r>
    </w:p>
    <w:p>
      <w:pPr>
        <w:pStyle w:val="BodyText"/>
      </w:pPr>
      <w:r>
        <w:t xml:space="preserve">The comparison with onshore demand response is less direct than it may appear.</w:t>
      </w:r>
      <w:r>
        <w:t xml:space="preserve"> </w:t>
      </w:r>
      <w:r>
        <w:t xml:space="preserve">Industrial studies consider the response to electricity prices</w:t>
      </w:r>
      <w:r>
        <w:t xml:space="preserve"> </w:t>
      </w:r>
      <w:r>
        <w:t xml:space="preserve">(Zhang and Grossmann 2016; Golmohamadi 2022), whereas on an off-grid platform the</w:t>
      </w:r>
      <w:r>
        <w:t xml:space="preserve"> </w:t>
      </w:r>
      <w:r>
        <w:t xml:space="preserve">value of a load shift arises from discrete decisions of the platform’s own</w:t>
      </w:r>
      <w:r>
        <w:t xml:space="preserve"> </w:t>
      </w:r>
      <w:r>
        <w:t xml:space="preserve">power plant, i.e. whether a GT must be started or can be stopped. This value</w:t>
      </w:r>
      <w:r>
        <w:t xml:space="preserve"> </w:t>
      </w:r>
      <w:r>
        <w:t xml:space="preserve">depends on the state of the system hour by hour, and a model of energy</w:t>
      </w:r>
      <w:r>
        <w:t xml:space="preserve"> </w:t>
      </w:r>
      <w:r>
        <w:t xml:space="preserve">shifting alone, without unit commitment, would not capture most of it.</w:t>
      </w:r>
    </w:p>
    <w:bookmarkEnd w:id="66"/>
    <w:bookmarkStart w:id="67" w:name="practical-implementation"/>
    <w:p>
      <w:pPr>
        <w:pStyle w:val="Heading2"/>
      </w:pPr>
      <w:r>
        <w:t xml:space="preserve">4.3 Practical implementation</w:t>
      </w:r>
    </w:p>
    <w:p>
      <w:pPr>
        <w:pStyle w:val="FirstParagraph"/>
      </w:pPr>
      <w:r>
        <w:t xml:space="preserve">This flexibility already exists on most oil platforms with water injection.</w:t>
      </w:r>
      <w:r>
        <w:t xml:space="preserve"> </w:t>
      </w:r>
      <w:r>
        <w:t xml:space="preserve">Its use requires no new equipment, but it requires a power management system</w:t>
      </w:r>
      <w:r>
        <w:t xml:space="preserve"> </w:t>
      </w:r>
      <w:r>
        <w:t xml:space="preserve">that coordinates the injection with the GTs and a wind forecast, whereas these</w:t>
      </w:r>
      <w:r>
        <w:t xml:space="preserve"> </w:t>
      </w:r>
      <w:r>
        <w:t xml:space="preserve">are usually controlled separately today.</w:t>
      </w:r>
    </w:p>
    <w:p>
      <w:pPr>
        <w:pStyle w:val="BodyText"/>
      </w:pPr>
      <w:r>
        <w:t xml:space="preserve">The requirement on the reservoir is modest. A deferral of about 24 h, with an</w:t>
      </w:r>
      <w:r>
        <w:t xml:space="preserve"> </w:t>
      </w:r>
      <w:r>
        <w:t xml:space="preserve">average of 9.0 h, is short compared with the months over which voidage</w:t>
      </w:r>
      <w:r>
        <w:t xml:space="preserve"> </w:t>
      </w:r>
      <w:r>
        <w:t xml:space="preserve">replacement is normally managed. It must nevertheless be confirmed for each</w:t>
      </w:r>
      <w:r>
        <w:t xml:space="preserve"> </w:t>
      </w:r>
      <w:r>
        <w:t xml:space="preserve">field, since a reservoir close to its bubble point, for example, may not</w:t>
      </w:r>
      <w:r>
        <w:t xml:space="preserve"> </w:t>
      </w:r>
      <w:r>
        <w:t xml:space="preserve">accept even short pressure drops.</w:t>
      </w:r>
    </w:p>
    <w:p>
      <w:pPr>
        <w:pStyle w:val="BodyText"/>
      </w:pPr>
      <w:r>
        <w:t xml:space="preserve">The schedule also changes the duty of the injection pumps. In Case 3, the</w:t>
      </w:r>
      <w:r>
        <w:t xml:space="preserve"> </w:t>
      </w:r>
      <w:r>
        <w:t xml:space="preserve">number of running pumps changes about 730 times a year, i.e. roughly two</w:t>
      </w:r>
      <w:r>
        <w:t xml:space="preserve"> </w:t>
      </w:r>
      <w:r>
        <w:t xml:space="preserve">starts per day, and this is not penalised in the model. A start cost or a</w:t>
      </w:r>
      <w:r>
        <w:t xml:space="preserve"> </w:t>
      </w:r>
      <w:r>
        <w:t xml:space="preserve">minimum run time would probably reduce the saving only slightly, since the</w:t>
      </w:r>
      <w:r>
        <w:t xml:space="preserve"> </w:t>
      </w:r>
      <w:r>
        <w:t xml:space="preserve">deficit limit is rarely reached, but this has not been tested.</w:t>
      </w:r>
    </w:p>
    <w:p>
      <w:pPr>
        <w:pStyle w:val="BodyText"/>
      </w:pPr>
      <w:r>
        <w:t xml:space="preserve">Operating practice deserves at least as much attention as hardware. The number</w:t>
      </w:r>
      <w:r>
        <w:t xml:space="preserve"> </w:t>
      </w:r>
      <w:r>
        <w:t xml:space="preserve">of GTs that must be online, and the definition of reserve, affect the</w:t>
      </w:r>
      <w:r>
        <w:t xml:space="preserve"> </w:t>
      </w:r>
      <w:r>
        <w:t xml:space="preserve">emissions more than any price or the battery size. Rules that keep two GTs</w:t>
      </w:r>
      <w:r>
        <w:t xml:space="preserve"> </w:t>
      </w:r>
      <w:r>
        <w:t xml:space="preserve">online for redundancy increase the emissions by 40 % with fixed demand and by</w:t>
      </w:r>
      <w:r>
        <w:t xml:space="preserve"> </w:t>
      </w:r>
      <w:r>
        <w:t xml:space="preserve">53 % with flexible demand, and they remove most of the value of flexibility.</w:t>
      </w:r>
      <w:r>
        <w:t xml:space="preserve"> </w:t>
      </w:r>
      <w:r>
        <w:t xml:space="preserve">Such rules exist for good reasons of safety and regularity, and changing them</w:t>
      </w:r>
      <w:r>
        <w:t xml:space="preserve"> </w:t>
      </w:r>
      <w:r>
        <w:t xml:space="preserve">requires a technical justification, for instance grid-forming batteries that</w:t>
      </w:r>
      <w:r>
        <w:t xml:space="preserve"> </w:t>
      </w:r>
      <w:r>
        <w:t xml:space="preserve">can provide reserve and stability without a running GT. This is the logical</w:t>
      </w:r>
      <w:r>
        <w:t xml:space="preserve"> </w:t>
      </w:r>
      <w:r>
        <w:t xml:space="preserve">next step after demand flexibility.</w:t>
      </w:r>
    </w:p>
    <w:p>
      <w:pPr>
        <w:pStyle w:val="BodyText"/>
      </w:pPr>
      <w:r>
        <w:t xml:space="preserve">The approach should be transferable to other installations, with some</w:t>
      </w:r>
      <w:r>
        <w:t xml:space="preserve"> </w:t>
      </w:r>
      <w:r>
        <w:t xml:space="preserve">reservations. A platform gains most when it has a large deferrable consumer,</w:t>
      </w:r>
      <w:r>
        <w:t xml:space="preserve"> </w:t>
      </w:r>
      <w:r>
        <w:t xml:space="preserve">an average demand close to the capacity of one GT minus the reserve, and a</w:t>
      </w:r>
      <w:r>
        <w:t xml:space="preserve"> </w:t>
      </w:r>
      <w:r>
        <w:t xml:space="preserve">wind supply of the same order as its demand. On other types of installations,</w:t>
      </w:r>
      <w:r>
        <w:t xml:space="preserve"> </w:t>
      </w:r>
      <w:r>
        <w:t xml:space="preserve">gas export compression, electric heating and the regeneration of glycol or</w:t>
      </w:r>
      <w:r>
        <w:t xml:space="preserve"> </w:t>
      </w:r>
      <w:r>
        <w:t xml:space="preserve">other process chemicals could be deferrable, but only where buffer storage</w:t>
      </w:r>
      <w:r>
        <w:t xml:space="preserve"> </w:t>
      </w:r>
      <w:r>
        <w:t xml:space="preserve">such as line pack or tank volume is available.</w:t>
      </w:r>
    </w:p>
    <w:bookmarkEnd w:id="67"/>
    <w:bookmarkStart w:id="68" w:name="robustness-of-the-conclusions"/>
    <w:p>
      <w:pPr>
        <w:pStyle w:val="Heading2"/>
      </w:pPr>
      <w:r>
        <w:t xml:space="preserve">4.4 Robustness of the conclusions</w:t>
      </w:r>
    </w:p>
    <w:p>
      <w:pPr>
        <w:pStyle w:val="FirstParagraph"/>
      </w:pPr>
      <w:r>
        <w:t xml:space="preserve">Not all assumptions were varied in the sensitivity analysis, and the effect of</w:t>
      </w:r>
      <w:r>
        <w:t xml:space="preserve"> </w:t>
      </w:r>
      <w:r>
        <w:t xml:space="preserve">the untested ones can be traced through the mechanism described above. The</w:t>
      </w:r>
      <w:r>
        <w:t xml:space="preserve"> </w:t>
      </w:r>
      <w:r>
        <w:t xml:space="preserve">saving is determined by the number of hours in which, at fixed demand, the</w:t>
      </w:r>
      <w:r>
        <w:t xml:space="preserve"> </w:t>
      </w:r>
      <w:r>
        <w:t xml:space="preserve">platform runs one GT more than its load requires. This number increases with</w:t>
      </w:r>
      <w:r>
        <w:t xml:space="preserve"> </w:t>
      </w:r>
      <w:r>
        <w:t xml:space="preserve">the reserve requirement, with the demand relative to the capacity of one GT</w:t>
      </w:r>
      <w:r>
        <w:t xml:space="preserve"> </w:t>
      </w:r>
      <w:r>
        <w:t xml:space="preserve">and with the time that the wind spends just below the demand. A reserve larger</w:t>
      </w:r>
      <w:r>
        <w:t xml:space="preserve"> </w:t>
      </w:r>
      <w:r>
        <w:t xml:space="preserve">than 5 MW, or a platform whose demand is closer to the rating of one GT,</w:t>
      </w:r>
      <w:r>
        <w:t xml:space="preserve"> </w:t>
      </w:r>
      <w:r>
        <w:t xml:space="preserve">should thus increase the value of flexibility. A large spare GT capacity, or a</w:t>
      </w:r>
      <w:r>
        <w:t xml:space="preserve"> </w:t>
      </w:r>
      <w:r>
        <w:t xml:space="preserve">wind farm much larger than the demand, should reduce it, as the wind farm</w:t>
      </w:r>
      <w:r>
        <w:t xml:space="preserve"> </w:t>
      </w:r>
      <w:r>
        <w:t xml:space="preserve">sensitivity shows for the latter.</w:t>
      </w:r>
    </w:p>
    <w:p>
      <w:pPr>
        <w:pStyle w:val="BodyText"/>
      </w:pPr>
      <w:r>
        <w:t xml:space="preserve">The assumptions on the flexible load have less effect than might be expected.</w:t>
      </w:r>
      <w:r>
        <w:t xml:space="preserve"> </w:t>
      </w:r>
      <w:r>
        <w:t xml:space="preserve">Since injection is reduced by stopping whole pumps, the assumed minimum pump</w:t>
      </w:r>
      <w:r>
        <w:t xml:space="preserve"> </w:t>
      </w:r>
      <w:r>
        <w:t xml:space="preserve">flow changes the cost of running one pump at low rate but hardly affects the</w:t>
      </w:r>
      <w:r>
        <w:t xml:space="preserve"> </w:t>
      </w:r>
      <w:r>
        <w:t xml:space="preserve">saving. The injection target has a larger effect: a lower target leaves more</w:t>
      </w:r>
      <w:r>
        <w:t xml:space="preserve"> </w:t>
      </w:r>
      <w:r>
        <w:t xml:space="preserve">room for catching up, and at a target of 100 % deferred injection could never</w:t>
      </w:r>
      <w:r>
        <w:t xml:space="preserve"> </w:t>
      </w:r>
      <w:r>
        <w:t xml:space="preserve">be caught up and the flexibility would vanish. The heat balance was never</w:t>
      </w:r>
      <w:r>
        <w:t xml:space="preserve"> </w:t>
      </w:r>
      <w:r>
        <w:t xml:space="preserve">binding in the base cases, since the waste heat of the running GT always</w:t>
      </w:r>
      <w:r>
        <w:t xml:space="preserve"> </w:t>
      </w:r>
      <w:r>
        <w:t xml:space="preserve">covered the heat demand of 3 MW. A platform with a larger heat demand, or one</w:t>
      </w:r>
      <w:r>
        <w:t xml:space="preserve"> </w:t>
      </w:r>
      <w:r>
        <w:t xml:space="preserve">that relies on the heat of the GTs to be stopped, would save less unless its</w:t>
      </w:r>
      <w:r>
        <w:t xml:space="preserve"> </w:t>
      </w:r>
      <w:r>
        <w:t xml:space="preserve">heat demand can be scheduled as well.</w:t>
      </w:r>
    </w:p>
    <w:p>
      <w:pPr>
        <w:pStyle w:val="BodyText"/>
      </w:pPr>
      <w:r>
        <w:t xml:space="preserve">The result that production should never be shed is the most robust one, since</w:t>
      </w:r>
      <w:r>
        <w:t xml:space="preserve"> </w:t>
      </w:r>
      <w:r>
        <w:t xml:space="preserve">the lost oil and gas are worth about a hundred times more than the fuel saved,</w:t>
      </w:r>
      <w:r>
        <w:t xml:space="preserve"> </w:t>
      </w:r>
      <w:r>
        <w:t xml:space="preserve">and no plausible change in prices or efficiencies reverses this.</w:t>
      </w:r>
    </w:p>
    <w:bookmarkEnd w:id="68"/>
    <w:bookmarkStart w:id="69" w:name="limitations-and-future-work"/>
    <w:p>
      <w:pPr>
        <w:pStyle w:val="Heading2"/>
      </w:pPr>
      <w:r>
        <w:t xml:space="preserve">4.5 Limitations and future work</w:t>
      </w:r>
    </w:p>
    <w:p>
      <w:pPr>
        <w:pStyle w:val="FirstParagraph"/>
      </w:pPr>
      <w:r>
        <w:t xml:space="preserve">The platform is generic, and the fluid composition, the minimum-flow limits,</w:t>
      </w:r>
      <w:r>
        <w:t xml:space="preserve"> </w:t>
      </w:r>
      <w:r>
        <w:t xml:space="preserve">the injection target and the deficit limit were assumed, although the results</w:t>
      </w:r>
      <w:r>
        <w:t xml:space="preserve"> </w:t>
      </w:r>
      <w:r>
        <w:t xml:space="preserve">are insensitive to the deficit limit, the prices and the battery size. The</w:t>
      </w:r>
      <w:r>
        <w:t xml:space="preserve"> </w:t>
      </w:r>
      <w:r>
        <w:t xml:space="preserve">process is represented by steady states, and the transient compressor</w:t>
      </w:r>
      <w:r>
        <w:t xml:space="preserve"> </w:t>
      </w:r>
      <w:r>
        <w:t xml:space="preserve">behaviour, the start-up times of pumps and GTs beyond a start cost, and the</w:t>
      </w:r>
      <w:r>
        <w:t xml:space="preserve"> </w:t>
      </w:r>
      <w:r>
        <w:t xml:space="preserve">reservoir response to deferred injection are not modelled. The GT part-load</w:t>
      </w:r>
      <w:r>
        <w:t xml:space="preserve"> </w:t>
      </w:r>
      <w:r>
        <w:t xml:space="preserve">curve is a Willans line derived from LEOGO, and the curve of a real machine,</w:t>
      </w:r>
      <w:r>
        <w:t xml:space="preserve"> </w:t>
      </w:r>
      <w:r>
        <w:t xml:space="preserve">including its emissions at very low load, may differ.</w:t>
      </w:r>
    </w:p>
    <w:p>
      <w:pPr>
        <w:pStyle w:val="BodyText"/>
      </w:pPr>
      <w:r>
        <w:t xml:space="preserve">The scheduler knows the wind one week ahead, and the savings are therefore an</w:t>
      </w:r>
      <w:r>
        <w:t xml:space="preserve"> </w:t>
      </w:r>
      <w:r>
        <w:t xml:space="preserve">upper bound. Since the deficit limit is rarely reached, a forecast-based</w:t>
      </w:r>
      <w:r>
        <w:t xml:space="preserve"> </w:t>
      </w:r>
      <w:r>
        <w:t xml:space="preserve">schedule that keeps a margin on the deficit should retain most of them, but</w:t>
      </w:r>
      <w:r>
        <w:t xml:space="preserve"> </w:t>
      </w:r>
      <w:r>
        <w:t xml:space="preserve">this remains to be demonstrated. The ten weather years cover one site and one</w:t>
      </w:r>
      <w:r>
        <w:t xml:space="preserve"> </w:t>
      </w:r>
      <w:r>
        <w:t xml:space="preserve">platform, without power import or export. The economic indicators are based on</w:t>
      </w:r>
      <w:r>
        <w:t xml:space="preserve"> </w:t>
      </w:r>
      <w:r>
        <w:t xml:space="preserve">the cost of a single first-of-a-kind floating wind farm and exclude the cost</w:t>
      </w:r>
      <w:r>
        <w:t xml:space="preserve"> </w:t>
      </w:r>
      <w:r>
        <w:t xml:space="preserve">of implementing flexibility, the battery or the small GT, for which only</w:t>
      </w:r>
      <w:r>
        <w:t xml:space="preserve"> </w:t>
      </w:r>
      <w:r>
        <w:t xml:space="preserve">break-even values are given. The small GT uses the relative part-load curve of</w:t>
      </w:r>
      <w:r>
        <w:t xml:space="preserve"> </w:t>
      </w:r>
      <w:r>
        <w:t xml:space="preserve">the main units, since its manufacturer publishes only the full-load rating.</w:t>
      </w:r>
    </w:p>
    <w:p>
      <w:pPr>
        <w:pStyle w:val="BodyText"/>
      </w:pPr>
      <w:r>
        <w:t xml:space="preserve">Several directions for further work follow from these limitations. Rolling</w:t>
      </w:r>
      <w:r>
        <w:t xml:space="preserve"> </w:t>
      </w:r>
      <w:r>
        <w:t xml:space="preserve">schedules with forecast errors would show how much of the saving is retained</w:t>
      </w:r>
      <w:r>
        <w:t xml:space="preserve"> </w:t>
      </w:r>
      <w:r>
        <w:t xml:space="preserve">without perfect foresight. Pump start costs and a simple reservoir pressure</w:t>
      </w:r>
      <w:r>
        <w:t xml:space="preserve"> </w:t>
      </w:r>
      <w:r>
        <w:t xml:space="preserve">model would test the injection schedule against operational limits. Data from</w:t>
      </w:r>
      <w:r>
        <w:t xml:space="preserve"> </w:t>
      </w:r>
      <w:r>
        <w:t xml:space="preserve">a platform with wind supply, such as those served by Hywind Tampen, would</w:t>
      </w:r>
      <w:r>
        <w:t xml:space="preserve"> </w:t>
      </w:r>
      <w:r>
        <w:t xml:space="preserve">allow the model to be calibrated. Finally, combining load flexibility with</w:t>
      </w:r>
      <w:r>
        <w:t xml:space="preserve"> </w:t>
      </w:r>
      <w:r>
        <w:t xml:space="preserve">grid-forming storage and the investment cost of the whole system would show to</w:t>
      </w:r>
      <w:r>
        <w:t xml:space="preserve"> </w:t>
      </w:r>
      <w:r>
        <w:t xml:space="preserve">what extent an off-grid platform can be decarbonised before power from shore</w:t>
      </w:r>
      <w:r>
        <w:t xml:space="preserve"> </w:t>
      </w:r>
      <w:r>
        <w:t xml:space="preserve">is required.</w:t>
      </w:r>
    </w:p>
    <w:bookmarkEnd w:id="69"/>
    <w:bookmarkEnd w:id="70"/>
    <w:bookmarkStart w:id="71" w:name="conclusions"/>
    <w:p>
      <w:pPr>
        <w:pStyle w:val="Heading1"/>
      </w:pPr>
      <w:r>
        <w:t xml:space="preserve">5. Conclusions</w:t>
      </w:r>
    </w:p>
    <w:p>
      <w:pPr>
        <w:pStyle w:val="FirstParagraph"/>
      </w:pPr>
      <w:r>
        <w:t xml:space="preserve">The electric demand of a generic North Sea oil platform was mapped with a</w:t>
      </w:r>
      <w:r>
        <w:t xml:space="preserve"> </w:t>
      </w:r>
      <w:r>
        <w:t xml:space="preserve">process model, the consumers were classified according to their flexibility,</w:t>
      </w:r>
      <w:r>
        <w:t xml:space="preserve"> </w:t>
      </w:r>
      <w:r>
        <w:t xml:space="preserve">and the flexible consumers were scheduled together with the gas turbines and a</w:t>
      </w:r>
      <w:r>
        <w:t xml:space="preserve"> </w:t>
      </w:r>
      <w:r>
        <w:t xml:space="preserve">30 MW wind farm, hour by hour, for ten weather years. Four cases were</w:t>
      </w:r>
      <w:r>
        <w:t xml:space="preserve"> </w:t>
      </w:r>
      <w:r>
        <w:t xml:space="preserve">investigated in order to separate the effect of the wind farm from that of</w:t>
      </w:r>
      <w:r>
        <w:t xml:space="preserve"> </w:t>
      </w:r>
      <w:r>
        <w:t xml:space="preserve">demand flexibility and of a battery, and the model was validated against</w:t>
      </w:r>
      <w:r>
        <w:t xml:space="preserve"> </w:t>
      </w:r>
      <w:r>
        <w:t xml:space="preserve">published data for Hywind Tampen and three North Sea field centres.</w:t>
      </w:r>
    </w:p>
    <w:p>
      <w:pPr>
        <w:pStyle w:val="BodyText"/>
      </w:pPr>
      <w:r>
        <w:t xml:space="preserve">With fixed demand, the wind farm halves the CO2 emissions of the 20 MW</w:t>
      </w:r>
      <w:r>
        <w:t xml:space="preserve"> </w:t>
      </w:r>
      <w:r>
        <w:t xml:space="preserve">platform (−49 %). Scheduling the flexible consumers reduces the emissions by a</w:t>
      </w:r>
      <w:r>
        <w:t xml:space="preserve"> </w:t>
      </w:r>
      <w:r>
        <w:t xml:space="preserve">further 11 % (7.2 kt/yr) without lost production, and the saving remains</w:t>
      </w:r>
      <w:r>
        <w:t xml:space="preserve"> </w:t>
      </w:r>
      <w:r>
        <w:t xml:space="preserve">between 10.5 % and 11.7 % across the ten weather years. The GT low-load hours</w:t>
      </w:r>
      <w:r>
        <w:t xml:space="preserve"> </w:t>
      </w:r>
      <w:r>
        <w:t xml:space="preserve">decrease by 34 %, and the GT starts nearly disappear. All of the useful</w:t>
      </w:r>
      <w:r>
        <w:t xml:space="preserve"> </w:t>
      </w:r>
      <w:r>
        <w:t xml:space="preserve">flexibility is provided by water injection: shedding production is never</w:t>
      </w:r>
      <w:r>
        <w:t xml:space="preserve"> </w:t>
      </w:r>
      <w:r>
        <w:t xml:space="preserve">profitable, and a deferral of about 24 h is sufficient. The saving is obtained</w:t>
      </w:r>
      <w:r>
        <w:t xml:space="preserve"> </w:t>
      </w:r>
      <w:r>
        <w:t xml:space="preserve">by avoiding the operation of a second GT rather than by shifting energy.</w:t>
      </w:r>
      <w:r>
        <w:t xml:space="preserve"> </w:t>
      </w:r>
      <w:r>
        <w:t xml:space="preserve">Operating rules that keep two GTs online therefore remove most of it, whereas</w:t>
      </w:r>
      <w:r>
        <w:t xml:space="preserve"> </w:t>
      </w:r>
      <w:r>
        <w:t xml:space="preserve">allowing all GTs to stop, with a battery providing reserve, would reduce the</w:t>
      </w:r>
      <w:r>
        <w:t xml:space="preserve"> </w:t>
      </w:r>
      <w:r>
        <w:t xml:space="preserve">emissions by a further third. A small GT (11.35 MW) replacing one main unit</w:t>
      </w:r>
      <w:r>
        <w:t xml:space="preserve"> </w:t>
      </w:r>
      <w:r>
        <w:t xml:space="preserve">saves another 17 %, and flexibility still saves 11 % with this unit installed.</w:t>
      </w:r>
    </w:p>
    <w:p>
      <w:pPr>
        <w:pStyle w:val="BodyText"/>
      </w:pPr>
      <w:r>
        <w:t xml:space="preserve">Prices and battery size alone have little effect on the results. Flexibility</w:t>
      </w:r>
      <w:r>
        <w:t xml:space="preserve"> </w:t>
      </w:r>
      <w:r>
        <w:t xml:space="preserve">pays for itself through fuel savings, breaks even for an implementation cost</w:t>
      </w:r>
      <w:r>
        <w:t xml:space="preserve"> </w:t>
      </w:r>
      <w:r>
        <w:t xml:space="preserve">of up to 137 MNOK and lowers the abatement cost of the wind farm from</w:t>
      </w:r>
      <w:r>
        <w:t xml:space="preserve"> </w:t>
      </w:r>
      <w:r>
        <w:t xml:space="preserve">2,180–2,519 to 1,774–2,078 NOK/t. The model reproduces the CO2 avoided per MWh</w:t>
      </w:r>
      <w:r>
        <w:t xml:space="preserve"> </w:t>
      </w:r>
      <w:r>
        <w:t xml:space="preserve">of wind reported for Hywind Tampen within 2 %, as well as the fuel gas</w:t>
      </w:r>
      <w:r>
        <w:t xml:space="preserve"> </w:t>
      </w:r>
      <w:r>
        <w:t xml:space="preserve">emission factor observed at Gullfaks. Although the exact values would differ</w:t>
      </w:r>
      <w:r>
        <w:t xml:space="preserve"> </w:t>
      </w:r>
      <w:r>
        <w:t xml:space="preserve">from one platform to another, it is suggested that the scheduling of topside</w:t>
      </w:r>
      <w:r>
        <w:t xml:space="preserve"> </w:t>
      </w:r>
      <w:r>
        <w:t xml:space="preserve">loads is a low-cost measure that should be considered together with any</w:t>
      </w:r>
      <w:r>
        <w:t xml:space="preserve"> </w:t>
      </w:r>
      <w:r>
        <w:t xml:space="preserve">integration of wind power on off-grid platforms. Three questions remain open:</w:t>
      </w:r>
      <w:r>
        <w:t xml:space="preserve"> </w:t>
      </w:r>
      <w:r>
        <w:t xml:space="preserve">how much of the saving is retained with realistic wind forecasts, which limits</w:t>
      </w:r>
      <w:r>
        <w:t xml:space="preserve"> </w:t>
      </w:r>
      <w:r>
        <w:t xml:space="preserve">the pump starts and the reservoir pressure place on the injection schedule,</w:t>
      </w:r>
      <w:r>
        <w:t xml:space="preserve"> </w:t>
      </w:r>
      <w:r>
        <w:t xml:space="preserve">and whether grid-forming storage can safely remove the last running GT.</w:t>
      </w:r>
    </w:p>
    <w:bookmarkEnd w:id="71"/>
    <w:bookmarkStart w:id="72" w:name="nomenclature"/>
    <w:p>
      <w:pPr>
        <w:pStyle w:val="Heading1"/>
      </w:pPr>
      <w:r>
        <w:t xml:space="preserve">Nomenclature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000000"/>
          <w:bottom w:val="single" w:sz="4" w:space="0" w:color="000000"/>
          <w:left w:val="nil" w:sz="4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Symbol</w:t>
            </w:r>
          </w:p>
        </w:tc>
        <w:tc>
          <w:tcPr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Description</w:t>
            </w:r>
          </w:p>
        </w:tc>
        <w:tc>
          <w:tcPr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Unit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iCs/>
                <w:i/>
                <w:sz w:val="20"/>
              </w:rPr>
              <w:t xml:space="preserve">Sets and indices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t>T</m:t>
              </m:r>
            </m:oMath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hours of a scheduling window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–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m:oMath>
              <m:r>
                <m:t>g</m:t>
              </m:r>
              <m:r>
                <m:rPr>
                  <m:sty m:val="p"/>
                </m:rPr>
                <m:t>∈</m:t>
              </m:r>
              <m:r>
                <m:t>G</m:t>
              </m:r>
            </m:oMath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 turbines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–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iCs/>
                <w:i/>
                <w:sz w:val="20"/>
              </w:rPr>
              <w:t xml:space="preserve">Variables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m:oMath>
              <m:sSub>
                <m:e>
                  <m:r>
                    <m:t>f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production rate, fraction of design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–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m:oMath>
              <m:sSub>
                <m:e>
                  <m:r>
                    <m:t>f</m:t>
                  </m:r>
                </m:e>
                <m:sub>
                  <m:r>
                    <m:t>w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water injection rate, fraction of pump capacity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–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m:oMath>
              <m:sSub>
                <m:e>
                  <m:r>
                    <m:t>D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water injection deficit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h of full-rate injection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m:oMath>
              <m:sSub>
                <m:e>
                  <m:r>
                    <m:t>u</m:t>
                  </m:r>
                </m:e>
                <m:sub>
                  <m:r>
                    <m:t>g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on/off state of gas turbine</w:t>
            </w:r>
            <w:r>
              <w:rPr>
                <w:sz w:val="20"/>
              </w:rPr>
              <w:t xml:space="preserve"> </w:t>
            </w:r>
            <m:oMath>
              <m:r>
                <m:t>g</m:t>
              </m:r>
            </m:oMath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–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m:oMath>
              <m:sSub>
                <m:e>
                  <m:r>
                    <m:t>s</m:t>
                  </m:r>
                </m:e>
                <m:sub>
                  <m:r>
                    <m:t>g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start-up indicator of gas turbine</w:t>
            </w:r>
            <w:r>
              <w:rPr>
                <w:sz w:val="20"/>
              </w:rPr>
              <w:t xml:space="preserve"> </w:t>
            </w:r>
            <m:oMath>
              <m:r>
                <m:t>g</m:t>
              </m:r>
            </m:oMath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–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t>g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electric power of gas turbine</w:t>
            </w:r>
            <w:r>
              <w:rPr>
                <w:sz w:val="20"/>
              </w:rPr>
              <w:t xml:space="preserve"> </w:t>
            </w:r>
            <m:oMath>
              <m:r>
                <m:t>g</m:t>
              </m:r>
            </m:oMath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m:oMath>
              <m:sSub>
                <m:e>
                  <m:r>
                    <m:t>Q</m:t>
                  </m:r>
                </m:e>
                <m:sub>
                  <m:r>
                    <m:t>g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fuel energy input of gas turbine</w:t>
            </w:r>
            <w:r>
              <w:rPr>
                <w:sz w:val="20"/>
              </w:rPr>
              <w:t xml:space="preserve"> </w:t>
            </w:r>
            <m:oMath>
              <m:r>
                <m:t>g</m:t>
              </m:r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(LHV)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w</m:t>
                  </m:r>
                </m:sup>
              </m:sSubSup>
            </m:oMath>
            <w:r>
              <w:rPr>
                <w:sz w:val="20"/>
              </w:rPr>
              <w:t xml:space="preserve">,</w:t>
            </w:r>
            <w:r>
              <w:rPr>
                <w:sz w:val="20"/>
              </w:rPr>
              <w:t xml:space="preserve"> </w:t>
            </w: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c</m:t>
                  </m:r>
                </m:sup>
              </m:sSubSup>
            </m:oMath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 power used and curtailed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h</m:t>
                  </m:r>
                </m:sup>
              </m:sSubSup>
            </m:oMath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electric heater power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c</m:t>
                  </m:r>
                  <m:r>
                    <m:t>h</m:t>
                  </m:r>
                </m:sup>
              </m:sSubSup>
            </m:oMath>
            <w:r>
              <w:rPr>
                <w:sz w:val="20"/>
              </w:rPr>
              <w:t xml:space="preserve">,</w:t>
            </w:r>
            <w:r>
              <w:rPr>
                <w:sz w:val="20"/>
              </w:rPr>
              <w:t xml:space="preserve"> </w:t>
            </w: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d</m:t>
                  </m:r>
                  <m:r>
                    <m:t>i</m:t>
                  </m:r>
                  <m:r>
                    <m:t>s</m:t>
                  </m:r>
                </m:sup>
              </m:sSubSup>
            </m:oMath>
            <w:r>
              <w:rPr>
                <w:sz w:val="20"/>
              </w:rPr>
              <w:t xml:space="preserve">,</w:t>
            </w:r>
            <w:r>
              <w:rPr>
                <w:sz w:val="20"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battery charge, discharge and stored energy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W, J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d</m:t>
                  </m:r>
                  <m:r>
                    <m:t>e</m:t>
                  </m:r>
                  <m:r>
                    <m:t>m</m:t>
                  </m:r>
                </m:sup>
              </m:sSubSup>
            </m:oMath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platform electric demand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iCs/>
                <w:i/>
                <w:sz w:val="20"/>
              </w:rPr>
              <w:t xml:space="preserve">Parameters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a</m:t>
                  </m:r>
                  <m:r>
                    <m:t>v</m:t>
                  </m:r>
                  <m:r>
                    <m:t>a</m:t>
                  </m:r>
                  <m:r>
                    <m:t>i</m:t>
                  </m:r>
                  <m:r>
                    <m:t>l</m:t>
                  </m:r>
                </m:sup>
              </m:sSubSup>
            </m:oMath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available wind farm power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t>r</m:t>
                  </m:r>
                  <m:r>
                    <m:t>a</m:t>
                  </m:r>
                  <m:r>
                    <m:t>t</m:t>
                  </m:r>
                  <m:r>
                    <m:t>e</m:t>
                  </m:r>
                  <m:r>
                    <m:t>d</m:t>
                  </m:r>
                </m:sub>
              </m:sSub>
            </m:oMath>
            <w:r>
              <w:rPr>
                <w:sz w:val="20"/>
              </w:rPr>
              <w:t xml:space="preserve">,</w:t>
            </w:r>
            <w:r>
              <w:rPr>
                <w:sz w:val="20"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m</m:t>
                  </m:r>
                  <m:r>
                    <m:t>i</m:t>
                  </m:r>
                  <m:r>
                    <m:t>n</m:t>
                  </m:r>
                </m:sub>
              </m:sSub>
            </m:oMath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rated and minimum stable gas turbine power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m:oMath>
              <m:sSub>
                <m:e>
                  <m:r>
                    <m:t>η</m:t>
                  </m:r>
                </m:e>
                <m:sub>
                  <m:r>
                    <m:t>r</m:t>
                  </m:r>
                  <m:r>
                    <m:t>a</m:t>
                  </m:r>
                  <m:r>
                    <m:t>t</m:t>
                  </m:r>
                  <m:r>
                    <m:t>e</m:t>
                  </m:r>
                  <m:r>
                    <m:t>d</m:t>
                  </m:r>
                </m:sub>
              </m:sSub>
            </m:oMath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 turbine electric efficiency at rated load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–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m:oMath>
              <m:r>
                <m:t>a</m:t>
              </m:r>
            </m:oMath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no-load fuel fraction of the Willans line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–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m:oMath>
              <m:r>
                <m:t>ϕ</m:t>
              </m:r>
            </m:oMath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fraction of gas turbine waste heat recovered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–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m:oMath>
              <m:sSubSup>
                <m:e>
                  <m:r>
                    <m:t>f</m:t>
                  </m:r>
                </m:e>
                <m:sub>
                  <m:r>
                    <m:t>w</m:t>
                  </m:r>
                  <m:r>
                    <m:t>i</m:t>
                  </m:r>
                </m:sub>
                <m:sup>
                  <m:r>
                    <m:t>t</m:t>
                  </m:r>
                  <m:r>
                    <m:t>a</m:t>
                  </m:r>
                  <m:r>
                    <m:t>r</m:t>
                  </m:r>
                  <m:r>
                    <m:t>g</m:t>
                  </m:r>
                  <m:r>
                    <m:t>e</m:t>
                  </m:r>
                  <m:r>
                    <m:t>t</m:t>
                  </m:r>
                </m:sup>
              </m:sSubSup>
            </m:oMath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voidage-replacement target for</w:t>
            </w:r>
            <w:r>
              <w:rPr>
                <w:sz w:val="20"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w</m:t>
                  </m:r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–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</m:oMath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maximum injection deficit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h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m:oMath>
              <m:r>
                <m:t>R</m:t>
              </m:r>
            </m:oMath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spinning reserve requirement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m:oMath>
              <m:r>
                <m:t>H</m:t>
              </m:r>
            </m:oMath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 heat demand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m:oMath>
              <m:sSub>
                <m:e>
                  <m:r>
                    <m:t>v</m:t>
                  </m:r>
                </m:e>
                <m:sub>
                  <m:r>
                    <m:t>100</m:t>
                  </m:r>
                </m:sub>
              </m:sSub>
            </m:oMath>
            <w:r>
              <w:rPr>
                <w:sz w:val="20"/>
              </w:rPr>
              <w:t xml:space="preserve">,</w:t>
            </w:r>
            <w:r>
              <w:rPr>
                <w:sz w:val="20"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h</m:t>
                  </m:r>
                  <m:r>
                    <m:t>u</m:t>
                  </m:r>
                  <m:r>
                    <m:t>b</m:t>
                  </m:r>
                </m:sub>
              </m:sSub>
            </m:oMath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 speed at 100 m and at hub height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m/s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m:oMath>
              <m:r>
                <m:t>α</m:t>
              </m:r>
            </m:oMath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 shear exponent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–</w:t>
            </w:r>
          </w:p>
        </w:tc>
      </w:tr>
    </w:tbl>
    <w:bookmarkEnd w:id="72"/>
    <w:bookmarkStart w:id="73" w:name="list-of-acronyms"/>
    <w:p>
      <w:pPr>
        <w:pStyle w:val="Heading1"/>
      </w:pPr>
      <w:r>
        <w:t xml:space="preserve">List of Acronyms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000000"/>
          <w:bottom w:val="single" w:sz="4" w:space="0" w:color="000000"/>
          <w:left w:val="nil" w:sz="4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Acronym</w:t>
            </w:r>
          </w:p>
        </w:tc>
        <w:tc>
          <w:tcPr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Meaning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GT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 turbine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LHV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lower heating value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MILP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mixed-integer linear program</w:t>
            </w:r>
          </w:p>
        </w:tc>
      </w:tr>
    </w:tbl>
    <w:bookmarkEnd w:id="73"/>
    <w:bookmarkStart w:id="74" w:name="funding"/>
    <w:p>
      <w:pPr>
        <w:pStyle w:val="Heading1"/>
      </w:pPr>
      <w:r>
        <w:t xml:space="preserve">Funding</w:t>
      </w:r>
    </w:p>
    <w:p>
      <w:pPr>
        <w:pStyle w:val="FirstParagraph"/>
      </w:pPr>
      <w:r>
        <w:t xml:space="preserve">[Funding.]</w:t>
      </w:r>
    </w:p>
    <w:bookmarkEnd w:id="74"/>
    <w:bookmarkStart w:id="75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work contains modified Copernicus Climate Change Service information (2014–2023).</w:t>
      </w:r>
    </w:p>
    <w:bookmarkEnd w:id="75"/>
    <w:bookmarkStart w:id="76" w:name="declaration-of-generative-ai-use"/>
    <w:p>
      <w:pPr>
        <w:pStyle w:val="Heading1"/>
      </w:pPr>
      <w:r>
        <w:t xml:space="preserve">Declaration of generative AI use</w:t>
      </w:r>
    </w:p>
    <w:p>
      <w:pPr>
        <w:pStyle w:val="FirstParagraph"/>
      </w:pPr>
      <w:r>
        <w:t xml:space="preserve">During the preparation of this work the author(s) used [tool name] in order to [purpose]. After using this tool, the author(s) reviewed and edited the content as needed and take(s) full responsibility for the content of the published article.</w:t>
      </w:r>
    </w:p>
    <w:bookmarkEnd w:id="76"/>
    <w:bookmarkStart w:id="77" w:name="data-and-code-availability"/>
    <w:p>
      <w:pPr>
        <w:pStyle w:val="Heading1"/>
      </w:pPr>
      <w:r>
        <w:t xml:space="preserve">Data and Code Availability</w:t>
      </w:r>
    </w:p>
    <w:p>
      <w:pPr>
        <w:pStyle w:val="FirstParagraph"/>
      </w:pPr>
      <w:r>
        <w:t xml:space="preserve">The model code, configuration with all parameters and sources, and the processed results are available at [repository URL]. ERA5 data are available from the Copernicus Climate Change Service.</w:t>
      </w:r>
    </w:p>
    <w:bookmarkEnd w:id="77"/>
    <w:bookmarkStart w:id="78" w:name="conflict-of-interest"/>
    <w:p>
      <w:pPr>
        <w:pStyle w:val="Heading1"/>
      </w:pPr>
      <w:r>
        <w:t xml:space="preserve">Conflict of interest</w:t>
      </w:r>
    </w:p>
    <w:p>
      <w:pPr>
        <w:pStyle w:val="FirstParagraph"/>
      </w:pPr>
      <w:r>
        <w:t xml:space="preserve">The authors declare that they have no known competing financial interests or personal relationships that could have appeared to influence the work reported in this paper.</w:t>
      </w:r>
    </w:p>
    <w:bookmarkEnd w:id="78"/>
    <w:bookmarkStart w:id="79" w:name="credit-authorship-contribution-statement"/>
    <w:p>
      <w:pPr>
        <w:pStyle w:val="Heading1"/>
      </w:pPr>
      <w:r>
        <w:t xml:space="preserve">CRediT authorship contribution statement</w:t>
      </w:r>
    </w:p>
    <w:p>
      <w:pPr>
        <w:pStyle w:val="FirstParagraph"/>
      </w:pPr>
      <w:r>
        <w:t xml:space="preserve">[Author 1]: Conceptualization, Methodology, Software, Formal analysis, Writing – original draft. [Author 2]: Supervision, Writing – review &amp; editing.</w:t>
      </w:r>
    </w:p>
    <w:bookmarkEnd w:id="79"/>
    <w:bookmarkStart w:id="80" w:name="references"/>
    <w:p>
      <w:pPr>
        <w:pStyle w:val="Heading1"/>
      </w:pPr>
      <w:r>
        <w:t xml:space="preserve">References</w:t>
      </w:r>
    </w:p>
    <w:p>
      <w:pPr>
        <w:pStyle w:val="Bibliography"/>
      </w:pPr>
      <w:r>
        <w:t xml:space="preserve">Bynum ML, Hackebeil GA, Hart WE, Laird CD, Nicholson BL, Siirola JD, et al. (2021) Pyomo – optimization modeling in Python. 3rd ed. Cham: Springer.</w:t>
      </w:r>
    </w:p>
    <w:p>
      <w:pPr>
        <w:pStyle w:val="Bibliography"/>
      </w:pPr>
      <w:r>
        <w:t xml:space="preserve">Dighe VV, Huang L-J, Hernandez Montfort J, Serraris J-J (2024) Improving O&amp;M simulations by integrating vessel motions for floating wind farms. J Mar Sci Eng 12(11):1948. https://doi.org/10.3390/jmse12111948.</w:t>
      </w:r>
    </w:p>
    <w:p>
      <w:pPr>
        <w:pStyle w:val="Bibliography"/>
      </w:pPr>
      <w:r>
        <w:t xml:space="preserve">Equinor (2023) The world’s largest floating offshore wind farm officially opened [press release]. 23 August 2023. https://www.equinor.com/news/20230823-hywind-tampen-officially-opened.</w:t>
      </w:r>
    </w:p>
    <w:p>
      <w:pPr>
        <w:pStyle w:val="Bibliography"/>
      </w:pPr>
      <w:r>
        <w:t xml:space="preserve">Gaertner E, Rinker J, Sethuraman L, Zahle F, Anderson B, Barter G, et al. (2020) Definition of the IEA 15-megawatt offshore reference wind turbine. Technical Report NREL/TP-5000-75698. Golden, CO: National Renewable Energy Laboratory.</w:t>
      </w:r>
    </w:p>
    <w:p>
      <w:pPr>
        <w:pStyle w:val="Bibliography"/>
      </w:pPr>
      <w:r>
        <w:t xml:space="preserve">Golmohamadi H (2022) Demand-side management in industrial sector: a review of heavy industries. Renew Sustain Energy Rev 156:111963.</w:t>
      </w:r>
    </w:p>
    <w:p>
      <w:pPr>
        <w:pStyle w:val="Bibliography"/>
      </w:pPr>
      <w:r>
        <w:t xml:space="preserve">He W, Jacobsen G, Anderson T, Olsen F, Hanson TD, Korpås M, et al. (2010) The potential of integrating wind power with offshore oil and gas platforms. Wind Eng 34(2):125–37.</w:t>
      </w:r>
    </w:p>
    <w:p>
      <w:pPr>
        <w:pStyle w:val="Bibliography"/>
      </w:pPr>
      <w:r>
        <w:t xml:space="preserve">Hersbach H, Bell B, Berrisford P, Hirahara S, Horányi A, Muñoz-Sabater J, et al. (2020) The ERA5 global reanalysis. Q J R Meteorol Soc 146:1999–2049. https://doi.org/10.1002/qj.3803.</w:t>
      </w:r>
    </w:p>
    <w:p>
      <w:pPr>
        <w:pStyle w:val="Bibliography"/>
      </w:pPr>
      <w:r>
        <w:t xml:space="preserve">Hsu SA, Meindl EA, Gilhousen DB (1994) Determining the power-law wind-profile exponent under near-neutral stability conditions at sea. J Appl Meteorol 33:757–65.</w:t>
      </w:r>
    </w:p>
    <w:p>
      <w:pPr>
        <w:pStyle w:val="Bibliography"/>
      </w:pPr>
      <w:r>
        <w:t xml:space="preserve">Huangfu Q, Hall JAJ (2018) Parallelizing the dual revised simplex method. Math Program Comput 10:119–42. https://doi.org/10.1007/s12532-017-0130-5.</w:t>
      </w:r>
    </w:p>
    <w:p>
      <w:pPr>
        <w:pStyle w:val="Bibliography"/>
      </w:pPr>
      <w:r>
        <w:t xml:space="preserve">ISO 6976:2016 (2016) Natural gas – Calculation of calorific values, density, relative density and Wobbe indices from composition. Geneva: International Organization for Standardization.</w:t>
      </w:r>
    </w:p>
    <w:p>
      <w:pPr>
        <w:pStyle w:val="Bibliography"/>
      </w:pPr>
      <w:r>
        <w:t xml:space="preserve">Khan KS, Sousa ML, Santos GB, Monaro RM, Salles MBC (2022) Flexibility analysis of O&amp;G platform power system with wind energy integration. J Phys Conf Ser 2362:012021. https://doi.org/10.1088/1742-6596/2362/1/012021.</w:t>
      </w:r>
    </w:p>
    <w:p>
      <w:pPr>
        <w:pStyle w:val="Bibliography"/>
      </w:pPr>
      <w:r>
        <w:t xml:space="preserve">Marvik JI, Øyslebø EV, Korpås M (2013) Electrification of offshore petroleum installations with offshore wind integration. Renew Energy 50:558–64. https://doi.org/10.1016/j.renene.2012.07.010.</w:t>
      </w:r>
    </w:p>
    <w:p>
      <w:pPr>
        <w:pStyle w:val="Bibliography"/>
      </w:pPr>
      <w:r>
        <w:t xml:space="preserve">Nguyen T-V, Pierobon L, Elmegaard B, Haglind F, Breuhaus P, Voldsund M (2013) Exergetic assessment of energy systems on North Sea oil and gas platforms. Energy 62:23–36. https://doi.org/10.1016/j.energy.2013.03.011.</w:t>
      </w:r>
    </w:p>
    <w:p>
      <w:pPr>
        <w:pStyle w:val="Bibliography"/>
      </w:pPr>
      <w:r>
        <w:t xml:space="preserve">Norwegian Environment Agency (n.d.) Norskeutslipp – emissions from Gullfaks, Snorre and Statfjord, 2021–2024. https://www.norskeutslipp.no [accessed DATE].</w:t>
      </w:r>
    </w:p>
    <w:p>
      <w:pPr>
        <w:pStyle w:val="Bibliography"/>
      </w:pPr>
      <w:r>
        <w:t xml:space="preserve">Norwegian Ministry of Climate and Environment (2021) Meld. St. 13 (2020–2021) Klimaplan for 2021–2030 [Climate plan for 2021–2030]. Oslo.</w:t>
      </w:r>
    </w:p>
    <w:p>
      <w:pPr>
        <w:pStyle w:val="Bibliography"/>
      </w:pPr>
      <w:r>
        <w:t xml:space="preserve">Norwegian Ministry of Energy, Norwegian Offshore Directorate (n.d.) Emissions to air. Norskpetroleum.no. https://www.norskpetroleum.no/en/environment-and-technology/emissions-to-air/ [accessed DATE].</w:t>
      </w:r>
    </w:p>
    <w:p>
      <w:pPr>
        <w:pStyle w:val="Bibliography"/>
      </w:pPr>
      <w:r>
        <w:t xml:space="preserve">Norwegian Offshore Directorate (2025) New report about power from shore [news and report]. 2025. https://www.sodir.no/en/whats-new/news/general-news/2025/new-report-about-power-from-shore [accessed DATE].</w:t>
      </w:r>
    </w:p>
    <w:p>
      <w:pPr>
        <w:pStyle w:val="Bibliography"/>
      </w:pPr>
      <w:r>
        <w:t xml:space="preserve">Norwegian Offshore Directorate (n.d.a) FactPages – field production, yearly. https://factpages.sodir.no [accessed DATE].</w:t>
      </w:r>
    </w:p>
    <w:p>
      <w:pPr>
        <w:pStyle w:val="Bibliography"/>
      </w:pPr>
      <w:r>
        <w:t xml:space="preserve">Norwegian Offshore Directorate (n.d.b) Power from shore – summary. https://www.sodir.no/en/whats-new/publications/reports/power-from-shore/summary/ [accessed DATE].</w:t>
      </w:r>
    </w:p>
    <w:p>
      <w:pPr>
        <w:pStyle w:val="Bibliography"/>
      </w:pPr>
      <w:r>
        <w:t xml:space="preserve">Norwegian Offshore Wind (2025) Hywind Tampen capacity factor, first quarter 2025 [news item].</w:t>
      </w:r>
    </w:p>
    <w:p>
      <w:pPr>
        <w:pStyle w:val="Bibliography"/>
      </w:pPr>
      <w:r>
        <w:t xml:space="preserve">Norwegian Petroleum Directorate (n.d.) Estimating abatement cost curves for power from shore [conference abstract]. International Association for Energy Economics (IAEE) conference proceedings. https://iaee.org/en/publications/proceedingsabstractpdf.aspx?id=12947 [accessed DATE].</w:t>
      </w:r>
    </w:p>
    <w:p>
      <w:pPr>
        <w:pStyle w:val="Bibliography"/>
      </w:pPr>
      <w:r>
        <w:t xml:space="preserve">Norwegian Petroleum Directorate, Norwegian Water Resources and Energy Directorate, Petroleum Safety Authority Norway, Norwegian Environment Agency (2020) Kraft fra land til norsk sokkel [Power from shore to the Norwegian shelf]. Stavanger.</w:t>
      </w:r>
    </w:p>
    <w:p>
      <w:pPr>
        <w:pStyle w:val="Bibliography"/>
      </w:pPr>
      <w:r>
        <w:t xml:space="preserve">Offshore Norge (2024) Climate and environmental report 2024. Stavanger: Offshore Norge.</w:t>
      </w:r>
    </w:p>
    <w:p>
      <w:pPr>
        <w:pStyle w:val="Bibliography"/>
      </w:pPr>
      <w:r>
        <w:t xml:space="preserve">Riboldi L, Nord LO (2018) Offshore power plants integrating a wind farm: design optimisation and techno-economic assessment based on surrogate modelling. Processes 6(12):249. https://doi.org/10.3390/pr6120249.</w:t>
      </w:r>
    </w:p>
    <w:p>
      <w:pPr>
        <w:pStyle w:val="Bibliography"/>
      </w:pPr>
      <w:r>
        <w:t xml:space="preserve">Sharqawy MH, Lienhard JH, Zubair SM (2010) Thermophysical properties of seawater: a review of existing correlations and data. Desalin Water Treat 16:354–80. https://doi.org/10.5004/dwt.2010.1079.</w:t>
      </w:r>
    </w:p>
    <w:p>
      <w:pPr>
        <w:pStyle w:val="Bibliography"/>
      </w:pPr>
      <w:r>
        <w:t xml:space="preserve">Solar Turbines (n.d.) Mars 100 – oil and gas power generation package: ISO rating 11,350 kWe, heat rate 10,935 kJ/kWe-h. https://www.solarturbines.com/en_US/products/oil-and-gas-power-generation-packages/mars-100.html [accessed 27 October 2026].</w:t>
      </w:r>
    </w:p>
    <w:p>
      <w:pPr>
        <w:pStyle w:val="Bibliography"/>
      </w:pPr>
      <w:r>
        <w:t xml:space="preserve">Solbraa E (n.d.) NeqSim – Non-Equilibrium Simulator, an open-source library for thermodynamic and process calculations. https://github.com/equinor/neqsim.</w:t>
      </w:r>
    </w:p>
    <w:p>
      <w:pPr>
        <w:pStyle w:val="Bibliography"/>
      </w:pPr>
      <w:r>
        <w:t xml:space="preserve">Statoil (2017) Johan Castberg – plan for utbygging og drift, del II: konsekvensutredning [Plan for development and operation, part II: impact assessment]. Stavanger: Statoil.</w:t>
      </w:r>
    </w:p>
    <w:p>
      <w:pPr>
        <w:pStyle w:val="Bibliography"/>
      </w:pPr>
      <w:r>
        <w:t xml:space="preserve">Svendsen HG (2022) Optimised operation of low-emission offshore oil and gas platform integrated energy systems. arXiv:2202.05072 [preprint].</w:t>
      </w:r>
    </w:p>
    <w:p>
      <w:pPr>
        <w:pStyle w:val="Bibliography"/>
      </w:pPr>
      <w:r>
        <w:t xml:space="preserve">Svendsen HG, Vrana TK, Holdyk A, Schümann H (2023) The Low Emission Oil and Gas Open reference platform – an off-grid energy system for renewable integration studies. IET Energy Syst Integr 5(1):66–79. https://doi.org/10.1049/esi2.12085.</w:t>
      </w:r>
    </w:p>
    <w:p>
      <w:pPr>
        <w:pStyle w:val="Bibliography"/>
      </w:pPr>
      <w:r>
        <w:t xml:space="preserve">Voldsund M, Ertesvåg IS, He W, Kjelstrup S (2013) Exergy analysis of the oil and gas processing on a North Sea oil platform a real production day. Energy 55:716–27. https://doi.org/10.1016/j.energy.2013.02.038.</w:t>
      </w:r>
    </w:p>
    <w:p>
      <w:pPr>
        <w:pStyle w:val="Bibliography"/>
      </w:pPr>
      <w:r>
        <w:t xml:space="preserve">Voldsund M, Nguyen T-V, Elmegaard B, Ertesvåg IS, Røsjorde A, Jøssang K, et al. (2014) Exergy destruction and losses on four North Sea offshore platforms: a comparative study of the oil and gas processing plants. Energy 74:45–58. https://doi.org/10.1016/j.energy.2014.02.080.</w:t>
      </w:r>
    </w:p>
    <w:p>
      <w:pPr>
        <w:pStyle w:val="Bibliography"/>
      </w:pPr>
      <w:r>
        <w:t xml:space="preserve">Westwood Global Energy Group (2022) Analysis of electrification and emissions on the Norwegian continental shelf.</w:t>
      </w:r>
    </w:p>
    <w:p>
      <w:pPr>
        <w:pStyle w:val="Bibliography"/>
      </w:pPr>
      <w:r>
        <w:t xml:space="preserve">Zhang H, Tomasgard A, Knudsen BR, Svendsen HG, Bakker SJ, Grossmann IE (2022) Modelling and analysis of offshore energy hubs. Energy 261:125219.</w:t>
      </w:r>
    </w:p>
    <w:p>
      <w:pPr>
        <w:pStyle w:val="Bibliography"/>
      </w:pPr>
      <w:r>
        <w:t xml:space="preserve">Zhang Q, Grossmann IE (2016) Enterprise-wide optimization for industrial demand side management: fundamentals, advances, and perspectives. Chem Eng Res Des 116:114–31.</w:t>
      </w:r>
    </w:p>
    <w:bookmarkEnd w:id="80"/>
    <w:sectPr>
      <w:footerReference r:id="rId9" w:type="default"/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20" w:before="0" w:line="360" w:lineRule="auto"/>
      <w:jc w:val="both"/>
    </w:pPr>
    <w:rPr>
      <w:rFonts w:ascii="Times New Roman" w:cs="Times New Roman" w:eastAsia="Times New Roman" w:hAnsi="Times New Roman"/>
      <w:color w:val="000000"/>
      <w:sz w:val="20"/>
    </w:rPr>
  </w:style>
  <w:style w:styleId="BodyText" w:type="paragraph">
    <w:name w:val="Body Text"/>
    <w:basedOn w:val="Normal"/>
    <w:link w:val="BodyTextChar"/>
    <w:pPr>
      <w:spacing w:after="120" w:before="0" w:line="360" w:lineRule="auto"/>
      <w:jc w:val="both"/>
    </w:pPr>
    <w:qFormat/>
    <w:rPr>
      <w:rFonts w:ascii="Times New Roman" w:cs="Times New Roman" w:eastAsia="Times New Roman" w:hAnsi="Times New Roman"/>
      <w:color w:val="000000"/>
      <w:sz w:val="20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360" w:lineRule="auto"/>
      <w:jc w:val="both"/>
    </w:pPr>
    <w:rPr>
      <w:rFonts w:ascii="Times New Roman" w:cs="Times New Roman" w:eastAsia="Times New Roman" w:hAnsi="Times New Roman"/>
      <w:color w:val="000000"/>
      <w:sz w:val="20"/>
    </w:rPr>
  </w:style>
  <w:style w:customStyle="1" w:styleId="Compact" w:type="paragraph">
    <w:name w:val="Compact"/>
    <w:basedOn w:val="BodyText"/>
    <w:qFormat/>
    <w:pPr>
      <w:spacing w:after="40" w:before="0" w:line="360" w:lineRule="auto"/>
      <w:jc w:val="both"/>
    </w:pPr>
    <w:rPr>
      <w:rFonts w:ascii="Times New Roman" w:cs="Times New Roman" w:eastAsia="Times New Roman" w:hAnsi="Times New Roman"/>
      <w:color w:val="000000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0" w:line="360" w:lineRule="auto"/>
      <w:jc w:val="left"/>
    </w:pPr>
    <w:rPr>
      <w:rFonts w:ascii="Times New Roman" w:cs="Times New Roman" w:eastAsia="Times New Roman" w:hAnsi="Times New Roman"/>
      <w:b/>
      <w:bCs/>
      <w:color w:val="000000"/>
      <w:sz w:val="2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spacing w:after="120" w:before="120" w:line="360" w:lineRule="auto"/>
      <w:jc w:val="left"/>
    </w:pPr>
    <w:rPr>
      <w:rFonts w:ascii="Times New Roman" w:cs="Times New Roman" w:eastAsia="Times New Roman" w:hAnsi="Times New Roman"/>
      <w:color w:val="000000"/>
      <w:sz w:val="20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Times New Roman" w:cs="Times New Roman" w:eastAsia="Times New Roman" w:hAnsi="Times New Roman"/>
      <w:color w:val="000000"/>
      <w:sz w:val="20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Times New Roman" w:cs="Times New Roman" w:eastAsia="Times New Roman" w:hAnsi="Times New Roman"/>
      <w:color w:val="000000"/>
      <w:sz w:val="20"/>
      <w:szCs w:val="20"/>
    </w:rPr>
  </w:style>
  <w:style w:styleId="Bibliography" w:type="paragraph">
    <w:name w:val="Bibliography"/>
    <w:basedOn w:val="Normal"/>
    <w:next w:val="Bibliography"/>
    <w:qFormat/>
    <w:pPr>
      <w:spacing w:after="80" w:before="0" w:line="360" w:lineRule="auto"/>
      <w:ind w:hanging="454" w:left="454"/>
      <w:jc w:val="left"/>
    </w:pPr>
    <w:rPr>
      <w:rFonts w:ascii="Times New Roman" w:cs="Times New Roman" w:eastAsia="Times New Roman" w:hAnsi="Times New Roman"/>
      <w:color w:val="000000"/>
      <w:sz w:val="20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20" w:before="280" w:line="360" w:lineRule="auto"/>
      <w:jc w:val="left"/>
      <w:outlineLvl w:val="0"/>
    </w:pPr>
    <w:rPr>
      <w:rFonts w:ascii="Times New Roman" w:cs="Times New Roman" w:eastAsia="Times New Roman" w:hAnsi="Times New Roman"/>
      <w:b/>
      <w:bCs/>
      <w:i w:val="0"/>
      <w:color w:val="000000"/>
      <w:sz w:val="2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200" w:line="360" w:lineRule="auto"/>
      <w:jc w:val="left"/>
      <w:outlineLvl w:val="1"/>
    </w:pPr>
    <w:rPr>
      <w:rFonts w:ascii="Times New Roman" w:cs="Times New Roman" w:eastAsia="Times New Roman" w:hAnsi="Times New Roman"/>
      <w:b/>
      <w:bCs/>
      <w:i w:val="0"/>
      <w:color w:val="000000"/>
      <w:sz w:val="20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160" w:line="360" w:lineRule="auto"/>
      <w:jc w:val="left"/>
      <w:outlineLvl w:val="2"/>
    </w:pPr>
    <w:rPr>
      <w:rFonts w:ascii="Times New Roman" w:cs="Times New Roman" w:eastAsia="Times New Roman" w:hAnsi="Times New Roman"/>
      <w:b/>
      <w:bCs/>
      <w:i w:val="0"/>
      <w:color w:val="000000"/>
      <w:sz w:val="20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20" w:before="0" w:line="360" w:lineRule="auto"/>
      <w:ind w:left="480" w:right="480"/>
      <w:jc w:val="both"/>
    </w:pPr>
    <w:rPr>
      <w:rFonts w:ascii="Times New Roman" w:cs="Times New Roman" w:eastAsia="Times New Roman" w:hAnsi="Times New Roman"/>
      <w:color w:val="000000"/>
      <w:sz w:val="20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cs="Times New Roman" w:eastAsia="Times New Roman" w:hAnsi="Times New Roman"/>
      <w:color w:val="000000"/>
      <w:sz w:val="20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Times New Roman" w:cs="Times New Roman" w:eastAsia="Times New Roman" w:hAnsi="Times New Roman"/>
      <w:color w:val="000000"/>
      <w:sz w:val="20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  <w:rPr>
      <w:rFonts w:ascii="Times New Roman" w:cs="Times New Roman" w:eastAsia="Times New Roman" w:hAnsi="Times New Roman"/>
      <w:color w:val="000000"/>
      <w:sz w:val="20"/>
    </w:rPr>
  </w:style>
  <w:style w:customStyle="1" w:styleId="ImageCaption" w:type="paragraph">
    <w:name w:val="Image Caption"/>
    <w:basedOn w:val="Caption"/>
    <w:rPr>
      <w:rFonts w:ascii="Times New Roman" w:cs="Times New Roman" w:eastAsia="Times New Roman" w:hAnsi="Times New Roman"/>
      <w:color w:val="000000"/>
      <w:sz w:val="20"/>
    </w:rPr>
  </w:style>
  <w:style w:customStyle="1" w:styleId="Figure" w:type="paragraph">
    <w:name w:val="Figure"/>
    <w:basedOn w:val="Normal"/>
    <w:pPr>
      <w:keepNext/>
      <w:spacing w:after="0" w:before="120" w:line="240" w:lineRule="auto"/>
      <w:jc w:val="center"/>
    </w:pPr>
    <w:rPr>
      <w:rFonts w:ascii="Times New Roman" w:cs="Times New Roman" w:eastAsia="Times New Roman" w:hAnsi="Times New Roman"/>
      <w:color w:val="000000"/>
      <w:sz w:val="20"/>
    </w:rPr>
  </w:style>
  <w:style w:customStyle="1" w:styleId="CaptionedFigure" w:type="paragraph">
    <w:name w:val="Captioned Figure"/>
    <w:basedOn w:val="Figure"/>
    <w:pPr>
      <w:keepNext/>
    </w:pPr>
    <w:rPr>
      <w:rFonts w:ascii="Times New Roman" w:cs="Times New Roman" w:eastAsia="Times New Roman" w:hAnsi="Times New Roman"/>
      <w:color w:val="000000"/>
      <w:sz w:val="20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  <w:u w:val="non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Affiliation" w:type="paragraph">
    <w:name w:val="Affiliation"/>
    <w:basedOn w:val="Normal"/>
    <w:pPr>
      <w:spacing w:after="80" w:before="0" w:line="360" w:lineRule="auto"/>
      <w:jc w:val="left"/>
    </w:pPr>
    <w:rPr>
      <w:rFonts w:ascii="Times New Roman" w:cs="Times New Roman" w:eastAsia="Times New Roman" w:hAnsi="Times New Roman"/>
      <w:i/>
      <w:color w:val="000000"/>
      <w:sz w:val="20"/>
    </w:rPr>
  </w:style>
  <w:style w:customStyle="1" w:styleId="FigureCaption" w:type="paragraph">
    <w:name w:val="Figure Caption"/>
    <w:basedOn w:val="Normal"/>
    <w:pPr>
      <w:spacing w:after="200" w:before="80" w:line="360" w:lineRule="auto"/>
      <w:jc w:val="both"/>
    </w:pPr>
    <w:rPr>
      <w:rFonts w:ascii="Times New Roman" w:cs="Times New Roman" w:eastAsia="Times New Roman" w:hAnsi="Times New Roman"/>
      <w:color w:val="000000"/>
      <w:sz w:val="2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Relationship Id="rId21" Type="http://schemas.openxmlformats.org/officeDocument/2006/relationships/image" Target="media/rId21.png"/><Relationship Id="rId33" Type="http://schemas.openxmlformats.org/officeDocument/2006/relationships/image" Target="media/rId33.png"/><Relationship Id="rId37" Type="http://schemas.openxmlformats.org/officeDocument/2006/relationships/image" Target="media/rId37.png"/><Relationship Id="rId41" Type="http://schemas.openxmlformats.org/officeDocument/2006/relationships/image" Target="media/rId41.png"/><Relationship Id="rId44" Type="http://schemas.openxmlformats.org/officeDocument/2006/relationships/image" Target="media/rId44.png"/><Relationship Id="rId47" Type="http://schemas.openxmlformats.org/officeDocument/2006/relationships/image" Target="media/rId47.png"/><Relationship Id="rId51" Type="http://schemas.openxmlformats.org/officeDocument/2006/relationships/image" Target="media/rId51.png"/><Relationship Id="rId55" Type="http://schemas.openxmlformats.org/officeDocument/2006/relationships/image" Target="media/rId55.png"/><Relationship Id="rId60" Type="http://schemas.openxmlformats.org/officeDocument/2006/relationships/image" Target="media/rId6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Flexible topside load scheduling on a wind-powered offshore oil platform: effects on gas turbine fuel use and CO2 emissions</dc:title>
  <dc:creator/>
  <cp:keywords/>
  <dcterms:created xsi:type="dcterms:W3CDTF">2026-10-28T17:37:04Z</dcterms:created>
  <dcterms:modified xsi:type="dcterms:W3CDTF">2026-10-28T17:37:04Z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