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[Author 1]</w:t>
      </w:r>
      <w:r>
        <w:rPr>
          <w:vertAlign w:val="superscript"/>
        </w:rPr>
        <w:t xml:space="preserve">a</w:t>
      </w:r>
      <w:r>
        <w:t xml:space="preserve">, [Author 2]</w:t>
      </w:r>
      <w:r>
        <w:rPr>
          <w:vertAlign w:val="superscript"/>
        </w:rPr>
        <w:t xml:space="preserve">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[Affiliation a]</w:t>
      </w:r>
    </w:p>
    <w:p>
      <w:pPr>
        <w:pStyle w:val="Affiliation"/>
      </w:pPr>
      <w:r>
        <w:rPr>
          <w:vertAlign w:val="superscript"/>
        </w:rPr>
        <w:t xml:space="preserve">b</w:t>
      </w:r>
      <w:r>
        <w:t xml:space="preserve"> </w:t>
      </w:r>
      <w:r>
        <w:rPr>
          <w:iCs/>
          <w:i/>
        </w:rPr>
        <w:t xml:space="preserve">[Affiliation b]</w:t>
      </w:r>
    </w:p>
    <w:p>
      <w:pPr>
        <w:pStyle w:val="BodyText"/>
      </w:pPr>
      <w:r>
        <w:t xml:space="preserve">Corresponding author: [name, e-mail]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In this study, the electric demand</w:t>
      </w:r>
      <w:r>
        <w:t xml:space="preserve"> </w:t>
      </w:r>
      <w:r>
        <w:t xml:space="preserve">of a generic North Sea oil platform was mapped with a steady-state process</w:t>
      </w:r>
      <w:r>
        <w:t xml:space="preserve"> </w:t>
      </w:r>
      <w:r>
        <w:t xml:space="preserve">model, 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CO2 emissions by</w:t>
      </w:r>
      <w:r>
        <w:t xml:space="preserve"> </w:t>
      </w:r>
      <w:r>
        <w:t xml:space="preserve">49 %. Flexible scheduling cuts them by a further 11 % (7.2 kt/yr) without lost</w:t>
      </w:r>
      <w:r>
        <w:t xml:space="preserve"> </w:t>
      </w:r>
      <w:r>
        <w:t xml:space="preserve">production, mainly because the operation of a second gas turbine is avoided:</w:t>
      </w:r>
      <w:r>
        <w:t xml:space="preserve"> </w:t>
      </w:r>
      <w:r>
        <w:t xml:space="preserve">the hours with two turbines online fall from 1,702 to 28. Over ten weather</w:t>
      </w:r>
      <w:r>
        <w:t xml:space="preserve"> </w:t>
      </w:r>
      <w:r>
        <w:t xml:space="preserve">years the benefit ranges from 10.5 to 11.7 %. About 24 h of deferrable</w:t>
      </w:r>
      <w:r>
        <w:t xml:space="preserve"> </w:t>
      </w:r>
      <w:r>
        <w:t xml:space="preserve">injection captures it, and a small added gas turbine is complementary, whereas</w:t>
      </w:r>
      <w:r>
        <w:t xml:space="preserve"> </w:t>
      </w:r>
      <w:r>
        <w:t xml:space="preserve">operating rules that keep two gas turbines online remove most of the gain. The</w:t>
      </w:r>
      <w:r>
        <w:t xml:space="preserve"> </w:t>
      </w:r>
      <w:r>
        <w:t xml:space="preserve">model reproduces the CO2 avoided per MWh of wind reported for Hywind Tampen</w:t>
      </w:r>
      <w:r>
        <w:t xml:space="preserve"> </w:t>
      </w:r>
      <w:r>
        <w:t xml:space="preserve">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CO2 (Norwegian Petroleum Directorate et al. 2020), and the CO2 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optimised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CO2 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CO2 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optimisation. The</w:t>
      </w:r>
      <w:r>
        <w:t xml:space="preserve"> </w:t>
      </w:r>
      <w:r>
        <w:t xml:space="preserve">open-source tool Oogeso optimises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aluminium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To the authors’ knowledge, no study of wind-powered platforms has scheduled</w:t>
      </w:r>
      <w:r>
        <w:t xml:space="preserve"> </w:t>
      </w:r>
      <w:r>
        <w:t xml:space="preserve">the topside consumers together with the power plant. The goal of this study is</w:t>
      </w:r>
      <w:r>
        <w:t xml:space="preserve"> </w:t>
      </w:r>
      <w:r>
        <w:t xml:space="preserve">to help address this gap, by quantifying how much fuel and CO2 a wind-powered</w:t>
      </w:r>
      <w:r>
        <w:t xml:space="preserve"> </w:t>
      </w:r>
      <w:r>
        <w:t xml:space="preserve">oil platform can save by scheduling its flexible loads, which consumers</w:t>
      </w:r>
      <w:r>
        <w:t xml:space="preserve"> </w:t>
      </w:r>
      <w:r>
        <w:t xml:space="preserve">provide the saving and through which mechanism, and which assumptions</w:t>
      </w:r>
      <w:r>
        <w:t xml:space="preserve"> </w:t>
      </w:r>
      <w:r>
        <w:t xml:space="preserve">determine its magnitude.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[kt/yr]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CO2 cost [MNOK/yr]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summarised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CO2 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CO2 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CO2 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CO2,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Results indicate that the saving is obtained almost entirely by avoiding the</w:t>
      </w:r>
      <w:r>
        <w:t xml:space="preserve"> </w:t>
      </w:r>
      <w:r>
        <w:t xml:space="preserve">operation of a second GT. With fixed demand, a second turbine must be started</w:t>
      </w:r>
      <w:r>
        <w:t xml:space="preserve"> </w:t>
      </w:r>
      <w:r>
        <w:t xml:space="preserve">whenever the wind drops and one GT cannot carry the load while holding 5 MW in</w:t>
      </w:r>
      <w:r>
        <w:t xml:space="preserve"> </w:t>
      </w:r>
      <w:r>
        <w:t xml:space="preserve">reserve, i.e. whenever the wind supplies less than about 2 MW at the average</w:t>
      </w:r>
      <w:r>
        <w:t xml:space="preserve"> </w:t>
      </w:r>
      <w:r>
        <w:t xml:space="preserve">demand of 18.8 MW. Each such hour costs the no-load fuel of a whole additional</w:t>
      </w:r>
      <w:r>
        <w:t xml:space="preserve"> </w:t>
      </w:r>
      <w:r>
        <w:t xml:space="preserve">turbine, which amounts to 18.4 % of its full-load fuel. In Case 3 the</w:t>
      </w:r>
      <w:r>
        <w:t xml:space="preserve"> </w:t>
      </w:r>
      <w:r>
        <w:t xml:space="preserve">optimiser postpones water injection in exactly these hours, so that a second</w:t>
      </w:r>
      <w:r>
        <w:t xml:space="preserve"> </w:t>
      </w:r>
      <w:r>
        <w:t xml:space="preserve">GT runs in only 28 h of the year instead of 1,702 h (Figure 4, Figure 5). The</w:t>
      </w:r>
      <w:r>
        <w:t xml:space="preserve"> </w:t>
      </w:r>
      <w:r>
        <w:t xml:space="preserve">1,674 avoided hours account for most of the 3.0 MSm³ of fuel saved.</w:t>
      </w:r>
    </w:p>
    <w:p>
      <w:pPr>
        <w:pStyle w:val="Figure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25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Left: duration curves of GT load per running unit (shaded: below 50 %). Right: hours per year with two and with one GT running.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CO2 saved in</w:t>
      </w:r>
      <w:r>
        <w:t xml:space="preserve"> </w:t>
      </w:r>
      <w:r>
        <w:t xml:space="preserve">that hour are worth a few thousand NOK, and the optimiser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price [NOK/kg]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3 and Figure 7. Several</w:t>
      </w:r>
      <w:r>
        <w:t xml:space="preserve"> </w:t>
      </w:r>
      <w:r>
        <w:t xml:space="preserve">inputs have little effect. Across CO2 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avoided per MWh wind, two GTs kept online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intensity, Norwegian shelf 2023 (Offshore Norge 2024)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4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CO2 avoided per MWh of wind is the most demanding check, as it tests the</w:t>
      </w:r>
      <w:r>
        <w:t xml:space="preserve"> </w:t>
      </w:r>
      <w:r>
        <w:t xml:space="preserve">wind model, the part-load fuel model, the CO2 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difference shows to what extent the benefit of wind depends</w:t>
      </w:r>
      <w:r>
        <w:t xml:space="preserve"> </w:t>
      </w:r>
      <w:r>
        <w:t xml:space="preserve">on 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emitted 2.32–2.40 kg CO2 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CO2 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CO2 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CO2 avoided [kt/yr]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5. With an investment of 2.5</w:t>
      </w:r>
      <w:r>
        <w:t xml:space="preserve"> </w:t>
      </w:r>
      <w:r>
        <w:t xml:space="preserve">billion NOK for 30 MW, the wind farm with fixed demand avoids CO2 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CO2 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CO2 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CO2 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CO2 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2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3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summarised in Table 6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the unit commitment of the GTs rather than</w:t>
      </w:r>
      <w:r>
        <w:t xml:space="preserve"> </w:t>
      </w:r>
      <w:r>
        <w:t xml:space="preserve">through energy shifting. A GT held at low load for reserve still burns a large</w:t>
      </w:r>
      <w:r>
        <w:t xml:space="preserve"> </w:t>
      </w:r>
      <w:r>
        <w:t xml:space="preserve">share of its full-load fuel, and the costly hours are therefore those in which</w:t>
      </w:r>
      <w:r>
        <w:t xml:space="preserve"> </w:t>
      </w:r>
      <w:r>
        <w:t xml:space="preserve">the wind is just too weak for one turbine to carry the load with 5 MW in</w:t>
      </w:r>
      <w:r>
        <w:t xml:space="preserve"> </w:t>
      </w:r>
      <w:r>
        <w:t xml:space="preserve">reserve. Deferring injection in these hours keeps the second turbine off.</w:t>
      </w:r>
      <w:r>
        <w:t xml:space="preserve"> </w:t>
      </w:r>
      <w:r>
        <w:t xml:space="preserve">Three of the results of Section 3 follow from this mechanism: most of the</w:t>
      </w:r>
      <w:r>
        <w:t xml:space="preserve"> </w:t>
      </w:r>
      <w:r>
        <w:t xml:space="preserve">saving comes from the 1,674 avoided hours with two GTs online; about one day</w:t>
      </w:r>
      <w:r>
        <w:t xml:space="preserve"> </w:t>
      </w:r>
      <w:r>
        <w:t xml:space="preserve">of deficit capacity captures almost all of it, since these hours occur in</w:t>
      </w:r>
      <w:r>
        <w:t xml:space="preserve"> </w:t>
      </w:r>
      <w:r>
        <w:t xml:space="preserve">short spells between windy periods; and the saving largely disappears under</w:t>
      </w:r>
      <w:r>
        <w:t xml:space="preserve"> </w:t>
      </w:r>
      <w:r>
        <w:t xml:space="preserve">operating rules that keep two GTs online in any case.</w:t>
      </w:r>
    </w:p>
    <w:p>
      <w:pPr>
        <w:pStyle w:val="BodyText"/>
      </w:pPr>
      <w:r>
        <w:t xml:space="preserve">Energy shifting alone has a small effect. The curtailment decreases by only 13</w:t>
      </w:r>
      <w:r>
        <w:t xml:space="preserve"> </w:t>
      </w:r>
      <w:r>
        <w:t xml:space="preserve">%, since one GT must remain online and a 30 MW farm often produces more power</w:t>
      </w:r>
      <w:r>
        <w:t xml:space="preserve"> </w:t>
      </w:r>
      <w:r>
        <w:t xml:space="preserve">than the platform can use, even with injection at full rate. For the same</w:t>
      </w:r>
      <w:r>
        <w:t xml:space="preserve"> </w:t>
      </w:r>
      <w:r>
        <w:t xml:space="preserve">reason, the value of flexibility does not increase with the size of the wind</w:t>
      </w:r>
      <w:r>
        <w:t xml:space="preserve"> </w:t>
      </w:r>
      <w:r>
        <w:t xml:space="preserve">farm: a larger farm covers the demand more often, so that a second GT is</w:t>
      </w:r>
      <w:r>
        <w:t xml:space="preserve"> </w:t>
      </w:r>
      <w:r>
        <w:t xml:space="preserve">needed in fewer hours, and the additional wind in windy hours cannot be</w:t>
      </w:r>
      <w:r>
        <w:t xml:space="preserve"> </w:t>
      </w:r>
      <w:r>
        <w:t xml:space="preserve">absorbed. Flexibility is thus most valuable when the wind farm capacity is of</w:t>
      </w:r>
      <w:r>
        <w:t xml:space="preserve"> </w:t>
      </w:r>
      <w:r>
        <w:t xml:space="preserve">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CO2 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favourable gas and CO2 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penalised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behaviour, the start-up times of pumps and GTs beyond a start cost, and the</w:t>
      </w:r>
      <w:r>
        <w:t xml:space="preserve"> </w:t>
      </w:r>
      <w:r>
        <w:t xml:space="preserve">reservoir response to deferred injection are not modelled.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decarbonised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validated against</w:t>
      </w:r>
      <w:r>
        <w:t xml:space="preserve"> </w:t>
      </w:r>
      <w:r>
        <w:t xml:space="preserve">published data for Hywind Tampen and three North Sea field centres.</w:t>
      </w:r>
    </w:p>
    <w:p>
      <w:pPr>
        <w:pStyle w:val="BodyTex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The model reproduces the CO2 avoided per MWh</w:t>
      </w:r>
      <w:r>
        <w:t xml:space="preserve"> </w:t>
      </w:r>
      <w:r>
        <w:t xml:space="preserve">of wind reported for Hywind Tampen within 2 %, as well as the fuel gas</w:t>
      </w:r>
      <w:r>
        <w:t xml:space="preserve"> </w:t>
      </w:r>
      <w:r>
        <w:t xml:space="preserve">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topside load scheduling on a wind-powered offshore oil platform: effects on gas turbine fuel use and CO2 emissions</dc:title>
  <dc:creator/>
  <cp:keywords/>
  <dcterms:created xsi:type="dcterms:W3CDTF">2026-10-28T18:22:39Z</dcterms:created>
  <dcterms:modified xsi:type="dcterms:W3CDTF">2026-10-28T18:22:39Z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