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</w:t>
      </w:r>
      <w:r>
        <w:t xml:space="preserve"> </w:t>
      </w:r>
      <w:r>
        <w:t xml:space="preserve">material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Flexible topside load scheduling on a wind-powered offshore oil platform: effects on gas turbine fuel use and CO2 emissions</w:t>
      </w:r>
    </w:p>
    <w:bookmarkStart w:id="23" w:name="s1.-wind-resource"/>
    <w:p>
      <w:pPr>
        <w:pStyle w:val="Heading1"/>
      </w:pPr>
      <w:r>
        <w:t xml:space="preserve">S1. Wind resource</w:t>
      </w:r>
    </w:p>
    <w:p>
      <w:pPr>
        <w:pStyle w:val="Figure"/>
      </w:pPr>
      <w:r>
        <w:drawing>
          <wp:inline>
            <wp:extent cx="5759999" cy="208584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results/paper/fig01_wind_resourc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085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Cs/>
          <w:b/>
        </w:rPr>
        <w:t xml:space="preserve">Figure S1.</w:t>
      </w:r>
      <w:r>
        <w:t xml:space="preserve"> </w:t>
      </w:r>
      <w:r>
        <w:t xml:space="preserve">Wind resource at 61° N, 2° E in 2023 (ERA5). Left: monthly capacity factor of the 30 MW wind farm (dashed: annual mean). Right: duration curve of wind farm power.</w:t>
      </w:r>
    </w:p>
    <w:bookmarkEnd w:id="23"/>
    <w:bookmarkStart w:id="27" w:name="s2.-gas-turbine-part-load-performance"/>
    <w:p>
      <w:pPr>
        <w:pStyle w:val="Heading1"/>
      </w:pPr>
      <w:r>
        <w:t xml:space="preserve">S2. Gas turbine part-load performance</w:t>
      </w:r>
    </w:p>
    <w:p>
      <w:pPr>
        <w:pStyle w:val="Figure"/>
      </w:pPr>
      <w:r>
        <w:drawing>
          <wp:inline>
            <wp:extent cx="5759999" cy="231548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results/paper/fig03_gt_part_loa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15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Cs/>
          <w:b/>
        </w:rPr>
        <w:t xml:space="preserve">Figure S2.</w:t>
      </w:r>
      <w:r>
        <w:t xml:space="preserve"> </w:t>
      </w:r>
      <w:r>
        <w:t xml:space="preserve">Part-load electric efficiency (left) and specific CO2 emission (right) of the gas turbines. Shaded: below minimum stable load. The main units follow the LEOGO reference turbine. The small unit (Solar Turbines Mars 100, 11.35 MW, 32.9 % ISO efficiency) is used only in the GT fleet sensitivity; its part-load shape is assumed equal to that of the main units.</w:t>
      </w:r>
    </w:p>
    <w:bookmarkEnd w:id="27"/>
    <w:bookmarkStart w:id="31" w:name="s3.-seasonal-pattern"/>
    <w:p>
      <w:pPr>
        <w:pStyle w:val="Heading1"/>
      </w:pPr>
      <w:r>
        <w:t xml:space="preserve">S3. Seasonal pattern</w:t>
      </w:r>
    </w:p>
    <w:p>
      <w:pPr>
        <w:pStyle w:val="FirstParagraph"/>
      </w:pPr>
      <w:r>
        <w:t xml:space="preserve">Monthly emissions follow the wind. With fixed demand (Case 2) they range</w:t>
      </w:r>
      <w:r>
        <w:t xml:space="preserve"> </w:t>
      </w:r>
      <w:r>
        <w:t xml:space="preserve">from 3.8 kt in February to 6.4 kt in June and July. The saving from</w:t>
      </w:r>
      <w:r>
        <w:t xml:space="preserve"> </w:t>
      </w:r>
      <w:r>
        <w:t xml:space="preserve">flexibility (Case 2 − Case 3) is present in every month (0.43–0.77 kt). It</w:t>
      </w:r>
      <w:r>
        <w:t xml:space="preserve"> </w:t>
      </w:r>
      <w:r>
        <w:t xml:space="preserve">is largest in June, December and July, months in which the wind often falls</w:t>
      </w:r>
      <w:r>
        <w:t xml:space="preserve"> </w:t>
      </w:r>
      <w:r>
        <w:t xml:space="preserve">just below the demand and a second GT would otherwise be needed.</w:t>
      </w:r>
    </w:p>
    <w:p>
      <w:pPr>
        <w:pStyle w:val="Figure"/>
      </w:pPr>
      <w:r>
        <w:drawing>
          <wp:inline>
            <wp:extent cx="5759999" cy="275093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results/paper/fig08_monthly_co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50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Cs/>
          <w:b/>
        </w:rPr>
        <w:t xml:space="preserve">Figure S3.</w:t>
      </w:r>
      <w:r>
        <w:t xml:space="preserve"> </w:t>
      </w:r>
      <w:r>
        <w:t xml:space="preserve">Monthly CO2 emissions for Cases 1–4.</w:t>
      </w:r>
    </w:p>
    <w:bookmarkEnd w:id="31"/>
    <w:bookmarkStart w:id="32" w:name="s4.-model-parameters"/>
    <w:p>
      <w:pPr>
        <w:pStyle w:val="Heading1"/>
      </w:pPr>
      <w:r>
        <w:t xml:space="preserve">S4. Model parameters</w:t>
      </w:r>
    </w:p>
    <w:p>
      <w:pPr>
        <w:pStyle w:val="FirstParagraph"/>
      </w:pPr>
      <w:r>
        <w:t xml:space="preserve">Table S1 lists every model parameter with its value, unit and source, as</w:t>
      </w:r>
      <w:r>
        <w:t xml:space="preserve"> </w:t>
      </w:r>
      <w:r>
        <w:t xml:space="preserve">stored in the configuration file of the model code. Entries whose source</w:t>
      </w:r>
      <w:r>
        <w:t xml:space="preserve"> </w:t>
      </w:r>
      <w:r>
        <w:t xml:space="preserve">begins with</w:t>
      </w:r>
      <w:r>
        <w:t xml:space="preserve"> </w:t>
      </w:r>
      <w:r>
        <w:t xml:space="preserve">“</w:t>
      </w:r>
      <w:r>
        <w:t xml:space="preserve">ASSUMPTION</w:t>
      </w:r>
      <w:r>
        <w:t xml:space="preserve">”</w:t>
      </w:r>
      <w:r>
        <w:t xml:space="preserve"> </w:t>
      </w:r>
      <w:r>
        <w:t xml:space="preserve">are not verified against a published source.</w:t>
      </w:r>
    </w:p>
    <w:p>
      <w:pPr>
        <w:pStyle w:val="BodyText"/>
      </w:pPr>
      <w:r>
        <w:rPr>
          <w:bCs/>
          <w:b/>
        </w:rPr>
        <w:t xml:space="preserve">Table S1.</w:t>
      </w:r>
      <w:r>
        <w:t xml:space="preserve"> </w:t>
      </w:r>
      <w:r>
        <w:t xml:space="preserve">Model parameters.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bottom w:val="single" w:sz="4" w:space="0" w:color="000000"/>
          <w:left w:val="nil" w:sz="4" w:space="0" w:color="000000"/>
          <w:right w:val="nil" w:sz="4" w:space="0" w:color="000000"/>
          <w:insideH w:val="nil" w:sz="4" w:space="0" w:color="000000"/>
          <w:insideV w:val="nil" w:sz="4" w:space="0" w:color="000000"/>
        </w:tblBorders>
      </w:tblPr>
      <w:tblGrid>
        <w:gridCol w:w="746"/>
        <w:gridCol w:w="2100"/>
        <w:gridCol w:w="417"/>
        <w:gridCol w:w="4655"/>
      </w:tblGrid>
      <w:tr>
        <w:trPr>
          <w:tblHeader w:val="true"/>
        </w:trPr>
        <w:tc>
          <w:tcPr>
            <w:tcBorders>
              <w:bottom w:val="single" w:sz="4" w:space="0" w:color="000000"/>
            </w:tcBorders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b/>
                <w:sz w:val="20"/>
              </w:rPr>
              <w:t xml:space="preserve">parameter</w:t>
            </w:r>
          </w:p>
        </w:tc>
        <w:tc>
          <w:tcPr>
            <w:tcBorders>
              <w:bottom w:val="single" w:sz="4" w:space="0" w:color="000000"/>
            </w:tcBorders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b/>
                <w:sz w:val="20"/>
              </w:rPr>
              <w:t xml:space="preserve">value</w:t>
            </w:r>
          </w:p>
        </w:tc>
        <w:tc>
          <w:tcPr>
            <w:tcBorders>
              <w:bottom w:val="single" w:sz="4" w:space="0" w:color="000000"/>
            </w:tcBorders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b/>
                <w:sz w:val="20"/>
              </w:rPr>
              <w:t xml:space="preserve">unit</w:t>
            </w:r>
          </w:p>
        </w:tc>
        <w:tc>
          <w:tcPr>
            <w:tcBorders>
              <w:bottom w:val="single" w:sz="4" w:space="0" w:color="000000"/>
            </w:tcBorders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b/>
                <w:sz w:val="20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site.latitude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61.0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deg_N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Project definition; near Snorre/Gullfaks and Hywind Tampen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site.longitude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2.0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deg_E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Project definition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site.year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2023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Project definition; one full calendar year of hourly data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wind.era5.reference_height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100.0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ERA5 100 m wind components (Hersbach et al., 2020, QJRMS 146:1999-2049)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wind.height_correction.hub_height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150.0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m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IEA-15-240-RWT hub height (Gaertner et al., 2020, NREL/TP-5000-75698)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wind.height_correction.shear_exponent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0.11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Hsu, Meindl &amp; Gilhousen (1994), J. Appl. Meteorol. 33:757-765, near-neutral conditions at sea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wind.turbine.rated_power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15.0e6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W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Gaertner et al. (2020)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wind.turbine.cut_in_speed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3.0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m/s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Gaertner et al. (2020)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wind.turbine.cut_out_speed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25.0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m/s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Gaertner et al. (2020)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wind.farm.n_turbines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Base case choice: 30 MW installed, same order as the 32 MW wind farm of the LEOGO reference platform (Svendsen et al. (2023), LEOGO reference platform, IET Energy Syst. Integr., doi:10.1049/esi2.12085; dataset Zenodo 7373223 (values read from oogeso/tests/test_data/leogo_reference_platform.yaml)); varied in sensitivity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wind.farm.n_turbines_sensitivity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[1, 2, 3, 4]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Sensitivity range, 15-60 MW installed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wind.farm.wake_loss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0.05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small cluster of 2 turbines; verify against literature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wind.farm.electrical_loss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0.02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short subsea cable to platform; verify against literature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wind.farm.availability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0.95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typical offshore availability; verify against literature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fuel_gas.standard_temperature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288.15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K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ISO 13443 standard reference conditions (15 degC)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fuel_gas.standard_pressure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101325.0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Pa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ISO 13443 standard reference conditions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fuel_gas.composition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{</w:t>
            </w:r>
            <w:r>
              <w:rPr>
                <w:sz w:val="20"/>
              </w:rPr>
              <w:t xml:space="preserve">‘</w:t>
            </w:r>
            <w:r>
              <w:rPr>
                <w:sz w:val="20"/>
              </w:rPr>
              <w:t xml:space="preserve">nitrogen</w:t>
            </w:r>
            <w:r>
              <w:rPr>
                <w:sz w:val="20"/>
              </w:rPr>
              <w:t xml:space="preserve">’</w:t>
            </w:r>
            <w:r>
              <w:rPr>
                <w:sz w:val="20"/>
              </w:rPr>
              <w:t xml:space="preserve">: 0.01,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‘</w:t>
            </w:r>
            <w:r>
              <w:rPr>
                <w:sz w:val="20"/>
              </w:rPr>
              <w:t xml:space="preserve">CO2</w:t>
            </w:r>
            <w:r>
              <w:rPr>
                <w:sz w:val="20"/>
              </w:rPr>
              <w:t xml:space="preserve">’</w:t>
            </w:r>
            <w:r>
              <w:rPr>
                <w:sz w:val="20"/>
              </w:rPr>
              <w:t xml:space="preserve">: 0.02,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‘</w:t>
            </w:r>
            <w:r>
              <w:rPr>
                <w:sz w:val="20"/>
              </w:rPr>
              <w:t xml:space="preserve">methane</w:t>
            </w:r>
            <w:r>
              <w:rPr>
                <w:sz w:val="20"/>
              </w:rPr>
              <w:t xml:space="preserve">’</w:t>
            </w:r>
            <w:r>
              <w:rPr>
                <w:sz w:val="20"/>
              </w:rPr>
              <w:t xml:space="preserve">: 0.84,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‘</w:t>
            </w:r>
            <w:r>
              <w:rPr>
                <w:sz w:val="20"/>
              </w:rPr>
              <w:t xml:space="preserve">ethane</w:t>
            </w:r>
            <w:r>
              <w:rPr>
                <w:sz w:val="20"/>
              </w:rPr>
              <w:t xml:space="preserve">’</w:t>
            </w:r>
            <w:r>
              <w:rPr>
                <w:sz w:val="20"/>
              </w:rPr>
              <w:t xml:space="preserve">: 0.07,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‘</w:t>
            </w:r>
            <w:r>
              <w:rPr>
                <w:sz w:val="20"/>
              </w:rPr>
              <w:t xml:space="preserve">propane</w:t>
            </w:r>
            <w:r>
              <w:rPr>
                <w:sz w:val="20"/>
              </w:rPr>
              <w:t xml:space="preserve">’</w:t>
            </w:r>
            <w:r>
              <w:rPr>
                <w:sz w:val="20"/>
              </w:rPr>
              <w:t xml:space="preserve">: 0.035,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‘</w:t>
            </w:r>
            <w:r>
              <w:rPr>
                <w:sz w:val="20"/>
              </w:rPr>
              <w:t xml:space="preserve">i-butane</w:t>
            </w:r>
            <w:r>
              <w:rPr>
                <w:sz w:val="20"/>
              </w:rPr>
              <w:t xml:space="preserve">’</w:t>
            </w:r>
            <w:r>
              <w:rPr>
                <w:sz w:val="20"/>
              </w:rPr>
              <w:t xml:space="preserve">: 0.007,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‘</w:t>
            </w:r>
            <w:r>
              <w:rPr>
                <w:sz w:val="20"/>
              </w:rPr>
              <w:t xml:space="preserve">n-butane</w:t>
            </w:r>
            <w:r>
              <w:rPr>
                <w:sz w:val="20"/>
              </w:rPr>
              <w:t xml:space="preserve">’</w:t>
            </w:r>
            <w:r>
              <w:rPr>
                <w:sz w:val="20"/>
              </w:rPr>
              <w:t xml:space="preserve">: 0.008,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‘</w:t>
            </w:r>
            <w:r>
              <w:rPr>
                <w:sz w:val="20"/>
              </w:rPr>
              <w:t xml:space="preserve">i-pentane</w:t>
            </w:r>
            <w:r>
              <w:rPr>
                <w:sz w:val="20"/>
              </w:rPr>
              <w:t xml:space="preserve">’</w:t>
            </w:r>
            <w:r>
              <w:rPr>
                <w:sz w:val="20"/>
              </w:rPr>
              <w:t xml:space="preserve">: 0.005,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‘</w:t>
            </w:r>
            <w:r>
              <w:rPr>
                <w:sz w:val="20"/>
              </w:rPr>
              <w:t xml:space="preserve">n-pentane</w:t>
            </w:r>
            <w:r>
              <w:rPr>
                <w:sz w:val="20"/>
              </w:rPr>
              <w:t xml:space="preserve">’</w:t>
            </w:r>
            <w:r>
              <w:rPr>
                <w:sz w:val="20"/>
              </w:rPr>
              <w:t xml:space="preserve">: 0.005}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mol/mol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generic lean North Sea fuel gas; gives LHV 39.0 MJ/Sm3 vs 40 MJ/Sm3 used in LEOGO (Svendsen et al., 2023). No public field composition found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fuel_gas.co2_emission_factor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2.34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kg_CO2/Sm3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LEOGO reference platform gas carrier co2_content = 2.34 kg/Sm3, citing Statistics Norway (SSB) 2016 (Svendsen et al. (2023), LEOGO reference platform, IET Energy Syst. Integr., doi:10.1049/esi2.12085; dataset Zenodo 7373223 (values read from oogeso/tests/test_data/leogo_reference_platform.yaml)). Cross-checked in code against the carbon balance of the composition.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gas_turbine.units.main.rated_power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21800000.0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W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Svendsen et al. (2023), LEOGO reference platform, IET Energy Syst. Integr., doi:10.1049/esi2.12085; dataset Zenodo 7373223 (values read from oogeso/tests/test_data/leogo_reference_platform.yaml)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gas_turbine.units.main.rated_efficiency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0.3472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1/(A+B) with A = 2.35, B = 0.53 from Svendsen et al. (2023), LEOGO reference platform, IET Energy Syst. Integr., doi:10.1049/esi2.12085; dataset Zenodo 7373223 (values read from oogeso/tests/test_data/leogo_reference_platform.yaml)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gas_turbine.units.main.no_load_fuel_fraction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0.184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B/(A+B) with A = 2.35, B = 0.53 from Svendsen et al. (2023), LEOGO reference platform, IET Energy Syst. Integr., doi:10.1049/esi2.12085; dataset Zenodo 7373223 (values read from oogeso/tests/test_data/leogo_reference_platform.yaml)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gas_turbine.units.main.min_load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0.161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3.5 MW minimum of 21.8 MW, Svendsen et al. (2023), LEOGO reference platform, IET Energy Syst. Integr., doi:10.1049/esi2.12085; dataset Zenodo 7373223 (values read from oogeso/tests/test_data/leogo_reference_platform.yaml)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gas_turbine.units.main.n_installed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Svendsen et al. (2023), LEOGO reference platform, IET Energy Syst. Integr., doi:10.1049/esi2.12085; dataset Zenodo 7373223 (values read from oogeso/tests/test_data/leogo_reference_platform.yaml)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gas_turbine.units.main.heat_recovery_efficiency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0.5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Share of (fuel - electricity) recovered as useful heat, eta_heat in Svendsen et al. (2023), LEOGO reference platform, IET Energy Syst. Integr., doi:10.1049/esi2.12085; dataset Zenodo 7373223 (values read from oogeso/tests/test_data/leogo_reference_platform.yaml)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gas_turbine.units.small.rated_power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11350000.0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W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Solar Turbines, Mars 100 oil and gas power generation package: 11,350 kWe at ISO conditions (https://www.solarturbines.com/en_US/products/oil-and-gas-power-generation-packages/mars-100.html, accessed 27 October 2026)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gas_turbine.units.small.rated_efficiency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0.3292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3600/10935 from the ISO heat rate of 10,935 kJ/kWe-h (10,365 Btu/kWe-h) at the generator terminals, Solar Turbines Mars 100 product page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gas_turbine.units.small.no_load_fuel_fraction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0.184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same relative part-load shape as the LEOGO turbine (Svendsen et al., 2023); no OEM part-load curve published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gas_turbine.units.small.min_load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0.161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same minimum-load fraction as the LEOGO turbine (Svendsen et al., 2023), i.e. 1.8 MW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gas_turbine.units.small.n_installed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Fleet sensitivity: one small unit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gas_turbine.units.small.heat_recovery_efficiency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0.5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Same as LEOGO turbine (Svendsen et al., 2023)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gas_turbine.low_load_threshold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0.5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load fraction below which a GT hour is counted as low-load (inefficient)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gas_turbine.min_units_running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N+1 redundancy common on Norwegian platforms; fixed per case later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gas_turbine.spinning_reserve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5000000.0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W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el_reserve_margin = 5 MW in Svendsen et al. (2023), LEOGO reference platform, IET Energy Syst. Integr., doi:10.1049/esi2.12085; dataset Zenodo 7373223 (values read from oogeso/tests/test_data/leogo_reference_platform.yaml)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process.reservoir_fluid.components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{</w:t>
            </w:r>
            <w:r>
              <w:rPr>
                <w:sz w:val="20"/>
              </w:rPr>
              <w:t xml:space="preserve">‘</w:t>
            </w:r>
            <w:r>
              <w:rPr>
                <w:sz w:val="20"/>
              </w:rPr>
              <w:t xml:space="preserve">nitrogen</w:t>
            </w:r>
            <w:r>
              <w:rPr>
                <w:sz w:val="20"/>
              </w:rPr>
              <w:t xml:space="preserve">’</w:t>
            </w:r>
            <w:r>
              <w:rPr>
                <w:sz w:val="20"/>
              </w:rPr>
              <w:t xml:space="preserve">: 0.5,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‘</w:t>
            </w:r>
            <w:r>
              <w:rPr>
                <w:sz w:val="20"/>
              </w:rPr>
              <w:t xml:space="preserve">CO2</w:t>
            </w:r>
            <w:r>
              <w:rPr>
                <w:sz w:val="20"/>
              </w:rPr>
              <w:t xml:space="preserve">’</w:t>
            </w:r>
            <w:r>
              <w:rPr>
                <w:sz w:val="20"/>
              </w:rPr>
              <w:t xml:space="preserve">: 1.5,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‘</w:t>
            </w:r>
            <w:r>
              <w:rPr>
                <w:sz w:val="20"/>
              </w:rPr>
              <w:t xml:space="preserve">methane</w:t>
            </w:r>
            <w:r>
              <w:rPr>
                <w:sz w:val="20"/>
              </w:rPr>
              <w:t xml:space="preserve">’</w:t>
            </w:r>
            <w:r>
              <w:rPr>
                <w:sz w:val="20"/>
              </w:rPr>
              <w:t xml:space="preserve">: 45.0,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‘</w:t>
            </w:r>
            <w:r>
              <w:rPr>
                <w:sz w:val="20"/>
              </w:rPr>
              <w:t xml:space="preserve">ethane</w:t>
            </w:r>
            <w:r>
              <w:rPr>
                <w:sz w:val="20"/>
              </w:rPr>
              <w:t xml:space="preserve">’</w:t>
            </w:r>
            <w:r>
              <w:rPr>
                <w:sz w:val="20"/>
              </w:rPr>
              <w:t xml:space="preserve">: 6.0,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‘</w:t>
            </w:r>
            <w:r>
              <w:rPr>
                <w:sz w:val="20"/>
              </w:rPr>
              <w:t xml:space="preserve">propane</w:t>
            </w:r>
            <w:r>
              <w:rPr>
                <w:sz w:val="20"/>
              </w:rPr>
              <w:t xml:space="preserve">’</w:t>
            </w:r>
            <w:r>
              <w:rPr>
                <w:sz w:val="20"/>
              </w:rPr>
              <w:t xml:space="preserve">: 4.0,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‘</w:t>
            </w:r>
            <w:r>
              <w:rPr>
                <w:sz w:val="20"/>
              </w:rPr>
              <w:t xml:space="preserve">i-butane</w:t>
            </w:r>
            <w:r>
              <w:rPr>
                <w:sz w:val="20"/>
              </w:rPr>
              <w:t xml:space="preserve">’</w:t>
            </w:r>
            <w:r>
              <w:rPr>
                <w:sz w:val="20"/>
              </w:rPr>
              <w:t xml:space="preserve">: 0.8,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‘</w:t>
            </w:r>
            <w:r>
              <w:rPr>
                <w:sz w:val="20"/>
              </w:rPr>
              <w:t xml:space="preserve">n-butane</w:t>
            </w:r>
            <w:r>
              <w:rPr>
                <w:sz w:val="20"/>
              </w:rPr>
              <w:t xml:space="preserve">’</w:t>
            </w:r>
            <w:r>
              <w:rPr>
                <w:sz w:val="20"/>
              </w:rPr>
              <w:t xml:space="preserve">: 1.8,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‘</w:t>
            </w:r>
            <w:r>
              <w:rPr>
                <w:sz w:val="20"/>
              </w:rPr>
              <w:t xml:space="preserve">i-pentane</w:t>
            </w:r>
            <w:r>
              <w:rPr>
                <w:sz w:val="20"/>
              </w:rPr>
              <w:t xml:space="preserve">’</w:t>
            </w:r>
            <w:r>
              <w:rPr>
                <w:sz w:val="20"/>
              </w:rPr>
              <w:t xml:space="preserve">: 0.7,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‘</w:t>
            </w:r>
            <w:r>
              <w:rPr>
                <w:sz w:val="20"/>
              </w:rPr>
              <w:t xml:space="preserve">n-pentane</w:t>
            </w:r>
            <w:r>
              <w:rPr>
                <w:sz w:val="20"/>
              </w:rPr>
              <w:t xml:space="preserve">’</w:t>
            </w:r>
            <w:r>
              <w:rPr>
                <w:sz w:val="20"/>
              </w:rPr>
              <w:t xml:space="preserve">: 0.9,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‘</w:t>
            </w:r>
            <w:r>
              <w:rPr>
                <w:sz w:val="20"/>
              </w:rPr>
              <w:t xml:space="preserve">n-hexane</w:t>
            </w:r>
            <w:r>
              <w:rPr>
                <w:sz w:val="20"/>
              </w:rPr>
              <w:t xml:space="preserve">’</w:t>
            </w:r>
            <w:r>
              <w:rPr>
                <w:sz w:val="20"/>
              </w:rPr>
              <w:t xml:space="preserve">: 1.0}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mol (relative)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generic North Sea black oil, GOR about 180 Sm3/Sm3; replace with a published field fluid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process.reservoir_fluid.tbp_fractions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{</w:t>
            </w:r>
            <w:r>
              <w:rPr>
                <w:sz w:val="20"/>
              </w:rPr>
              <w:t xml:space="preserve">‘</w:t>
            </w:r>
            <w:r>
              <w:rPr>
                <w:sz w:val="20"/>
              </w:rPr>
              <w:t xml:space="preserve">C7</w:t>
            </w:r>
            <w:r>
              <w:rPr>
                <w:sz w:val="20"/>
              </w:rPr>
              <w:t xml:space="preserve">’</w:t>
            </w:r>
            <w:r>
              <w:rPr>
                <w:sz w:val="20"/>
              </w:rPr>
              <w:t xml:space="preserve">: [2.5, 0.0913, 0.746],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‘</w:t>
            </w:r>
            <w:r>
              <w:rPr>
                <w:sz w:val="20"/>
              </w:rPr>
              <w:t xml:space="preserve">C8</w:t>
            </w:r>
            <w:r>
              <w:rPr>
                <w:sz w:val="20"/>
              </w:rPr>
              <w:t xml:space="preserve">’</w:t>
            </w:r>
            <w:r>
              <w:rPr>
                <w:sz w:val="20"/>
              </w:rPr>
              <w:t xml:space="preserve">: [2.5, 0.1041, 0.768],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‘</w:t>
            </w:r>
            <w:r>
              <w:rPr>
                <w:sz w:val="20"/>
              </w:rPr>
              <w:t xml:space="preserve">C10</w:t>
            </w:r>
            <w:r>
              <w:rPr>
                <w:sz w:val="20"/>
              </w:rPr>
              <w:t xml:space="preserve">’</w:t>
            </w:r>
            <w:r>
              <w:rPr>
                <w:sz w:val="20"/>
              </w:rPr>
              <w:t xml:space="preserve">: [4.0, 0.135, 0.79],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‘</w:t>
            </w:r>
            <w:r>
              <w:rPr>
                <w:sz w:val="20"/>
              </w:rPr>
              <w:t xml:space="preserve">C15</w:t>
            </w:r>
            <w:r>
              <w:rPr>
                <w:sz w:val="20"/>
              </w:rPr>
              <w:t xml:space="preserve">’</w:t>
            </w:r>
            <w:r>
              <w:rPr>
                <w:sz w:val="20"/>
              </w:rPr>
              <w:t xml:space="preserve">: [6.0, 0.206, 0.832],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‘</w:t>
            </w:r>
            <w:r>
              <w:rPr>
                <w:sz w:val="20"/>
              </w:rPr>
              <w:t xml:space="preserve">C20</w:t>
            </w:r>
            <w:r>
              <w:rPr>
                <w:sz w:val="20"/>
              </w:rPr>
              <w:t xml:space="preserve">’</w:t>
            </w:r>
            <w:r>
              <w:rPr>
                <w:sz w:val="20"/>
              </w:rPr>
              <w:t xml:space="preserve">: [5.0, 0.282, 0.856],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‘</w:t>
            </w:r>
            <w:r>
              <w:rPr>
                <w:sz w:val="20"/>
              </w:rPr>
              <w:t xml:space="preserve">C30</w:t>
            </w:r>
            <w:r>
              <w:rPr>
                <w:sz w:val="20"/>
              </w:rPr>
              <w:t xml:space="preserve">’</w:t>
            </w:r>
            <w:r>
              <w:rPr>
                <w:sz w:val="20"/>
              </w:rPr>
              <w:t xml:space="preserve">: [6.0, 0.4, 0.88]}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[mol (relative), kg/mol, g/cm3]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generic heavy-end split; replace with a published field fluid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process.design.oil_rate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15000.0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Sm3/d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mid-size North Sea platform, plateau rate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process.design.water_cut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0.4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water fraction of produced liquid at standard conditions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process.design.water_injection_rate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25000.0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Sm3/d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roughly voidage replacement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process.design.well_temperature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70.0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degC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arrival temperature at the inlet separator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process.pressures.separators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[70.0, 29.0, 7.2, 1.8]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bara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Nguyen et al. (2013), Energy 62:23-36, Table 1: separation train at 7 / 2.9 / 0.72 / 0.18 MPa (generic North Sea platform). Last stage 1.7-2.8 bar on four real North Sea platforms (Voldsund et al. (2014), Energy 74:45-58, Table 2)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process.pressures.gas_export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180.0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bara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Voldsund et al. (2014), Energy 74:45-58, Table 2: treated gas at 179 bar on platform D (236, 118 and 184 bar on A-C); Nguyen et al. (2013), Table 1: gas export 18.5 MPa. LEOGO uses 200 bar (sensitivity)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process.pressures.oil_export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50.0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bara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5 MPa oil export pressure, Svendsen et al. (2023), LEOGO reference platform, IET Energy Syst. Integr., doi:10.1049/esi2.12085; dataset Zenodo 7373223 (values read from oogeso/tests/test_data/leogo_reference_platform.yaml)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process.pressures.water_injection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250.0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bara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25 MPa injection pressure, Svendsen et al. (2023), LEOGO reference platform, IET Energy Syst. Integr., doi:10.1049/esi2.12085; dataset Zenodo 7373223 (values read from oogeso/tests/test_data/leogo_reference_platform.yaml)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process.pressures.wi_suction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7.0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bara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0.7 MPa water deck pressure, Svendsen et al. (2023), LEOGO reference platform, IET Energy Syst. Integr., doi:10.1049/esi2.12085; dataset Zenodo 7373223 (values read from oogeso/tests/test_data/leogo_reference_platform.yaml)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process.pressures.seawater_lift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10.4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bar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0.1 -&gt; 1.14 MPa incl. 40 m lift, Svendsen et al. (2023), LEOGO reference platform, IET Energy Syst. Integr., doi:10.1049/esi2.12085; dataset Zenodo 7373223 (values read from oogeso/tests/test_data/leogo_reference_platform.yaml)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process.cooling.gas_cooler_outlet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30.0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degC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scrubber inlet temperature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process.cooling.seawater_temperature_rise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10.0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K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typical cooling-water design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process.cooling.seawater_cp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3.99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kJ/kg/K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Sharqawy, Lienhard &amp; Zubair (2010), Desalin. Water Treat. 16:354-380; salinity 35 g/kg, 10-20 degC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process.cooling.seawater_density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1026.0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kg/m3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Sharqawy, Lienhard &amp; Zubair (2010); salinity 35 g/kg, about 15 degC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process.efficiencies.compressor_isentropic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0.75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Isentropic efficiency of export and re-compressors, Svendsen et al. (2023), LEOGO reference platform, IET Energy Syst. Integr., doi:10.1049/esi2.12085; dataset Zenodo 7373223 (values read from oogeso/tests/test_data/leogo_reference_platform.yaml)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process.efficiencies.water_pump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0.75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Water injection and seawater lift pumps, Svendsen et al. (2023), LEOGO reference platform, IET Energy Syst. Integr., doi:10.1049/esi2.12085; dataset Zenodo 7373223 (values read from oogeso/tests/test_data/leogo_reference_platform.yaml)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process.efficiencies.oil_export_pump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0.6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Oil export pump, Svendsen et al. (2023), LEOGO reference platform, IET Energy Syst. Integr., doi:10.1049/esi2.12085; dataset Zenodo 7373223 (values read from oogeso/tests/test_data/leogo_reference_platform.yaml)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process.efficiencies.motor_and_drive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Included in the LEOGO efficiencies above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process.consumers.recompression.min_flow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0.7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surge margin; no public value found; verify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process.consumers.export_compressor.min_flow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0.7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surge margin; no public value found; verify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process.consumers.oil_export_pump.min_flow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0.3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pump minimum continuous flow; no public value found; verify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process.consumers.water_injection_pump.min_flow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0.3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pump minimum continuous flow; no public value found; verify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process.consumers.seawater_lift_pump.min_flow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0.3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pump minimum continuous flow; no public value found; verify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process.base_load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3.5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MW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2.5 MW general electric load + 1.0 MW air compressors, Svendsen et al. (2023), LEOGO reference platform, IET Energy Syst. Integr., doi:10.1049/esi2.12085; dataset Zenodo 7373223 (values read from oogeso/tests/test_data/leogo_reference_platform.yaml)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process.heat_demand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3.0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MW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Process/utility heat demand (thermal), Svendsen et al. (2023), LEOGO reference platform, IET Energy Syst. Integr., doi:10.1049/esi2.12085; dataset Zenodo 7373223 (values read from oogeso/tests/test_data/leogo_reference_platform.yaml); met by GT waste heat or an electric heater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flexibility.production.min_fraction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0.5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lowest stable production turndown (separator / well limits); verify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flexibility.production.max_fraction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Design rate; no over-production to catch up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flexibility.production.ramp_rate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0.1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1/h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max change in production fraction per hour (well choke / process stability); verify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flexibility.water_injection.min_fraction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all injection pumps may stop for short periods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flexibility.water_injection.max_fraction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Installed pump capacity (design point)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flexibility.water_injection.target_fraction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0.85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average injection needed for voidage replacement, as fraction of pump capacity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flexibility.water_injection.ramp_rate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0.34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1/h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about one of three pumps started/stopped per hour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flexibility.water_injection.max_deficit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72.0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h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up to 3 days of full-rate injection may be postponed without significant reservoir pressure loss; key sensitivity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economics.oil_price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4190.0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NOK/Sm3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Oil export price in Svendsen et al. (2023), LEOGO reference platform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economics.gas_price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4.19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NOK/Sm3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Gas export price in Svendsen et al. (2023), LEOGO; also the value of fuel gas burned instead of exported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economics.co2_price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2.0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NOK/kg_CO2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NOK 2000/t: Norwegian target total CO2 price (tax + EU ETS) by 2030, Meld. St. 13 (2020-2021) Klimaplan 2021-2030; varied in sensitivity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economics.gt_start_cost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2000.0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NOK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penalty_start in Svendsen et al. (2023), LEOGO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economics.unserved_energy_cost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1000000.0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NOK/MWh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Modelling choice: feasibility penalty, high enough that the 0.5 % MIP gap cannot leave demand unserved (LEOGO uses 36000 NOK/MWh for load shedding); should never be used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economics.reserve_shortfall_cost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1000000.0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NOK/MWh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Modelling choice: same feasibility penalty as unserved energy; should never be used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economics.gas_per_oil_equivalent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1000.0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Sm3_gas/Sm3_oe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Norwegian Offshore Directorate (Sodir) convention: 1000 Sm3 gas = 1 Sm3 oil equivalent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investment.discount_rate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0.07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Real discount rate; 4 % and 7 % are both used in the Norwegian Petroleum Directorate’s abatement-cost curves for power from shore (NPD conference abstract, IAEE); 4 % shown as sensitivity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investment.discount_rate_low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0.04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Lower real discount rate used in the same NPD abatement-cost curves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investment.lifetime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20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yr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economic life of a retrofit wind farm on a producing field (remaining field life)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investment.wind_capex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84.1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NOK/W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Hywind Tampen: investment forecast of about NOK 7.4 billion for 88 MW at opening (Equinor, 23 Aug 2023), i.e. 84.1 MNOK/MW before Enova and NOx Fund support; first-of-a-kind floating farm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investment.wind_om_low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35.0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EUR/kW/yr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Floating wind O&amp;M with self-hoisting crane strategy, up to 64 % below the tow-to-port cost (Dighe et al., J. Mar. Sci. Eng. 2024, 12(11):1948, Marram Wind and Celtic Sea C case study)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investment.wind_om_high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97.0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EUR/kW/yr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Floating wind O&amp;M with tow-to-port repair strategy, 94-97 kEUR/MW/yr (Dighe et al., J. Mar. Sci. Eng. 2024, 12(11):1948)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investment.eur_nok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11.5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NOK/EUR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approximate 2024-2025 exchange rate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investment.power_from_shore_abatement_cost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2000.0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NOK/t_CO2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Norwegian Offshore Directorate (2025): operators’ estimated abatement cost of the most recently approved power-from-shore projects (Melkøya, Njord/Draugen) just under NOK 2000 per tonne CO2 (2025-NOK); taken from a search summary, verify in the report. The 2020 report gave below NOK 1500/t for the then-planned projects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scheduler.window_hours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168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h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Modelling choice: one week committed per solve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scheduler.lookahead_hours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24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h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Modelling choice: extra day solved but not committed, so end-of-week decisions are sensible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scheduler.mip_gap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0.005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Modelling choice: solver stops within 0.5 % of the proven optimum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scheduler.time_limit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120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Modelling choice: per weekly solve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scheduler.min_gt_online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wind turbines are grid-following; at least one GT online for frequency/voltage control (as on Hywind Tampen platforms)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scheduler.electric_heater_efficiency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0.99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ASSUMPTION: resistive electric heater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scheduler.heater_tiebreak_cost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0.1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NOK/MWh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Modelling choice: tiny cost so surplus wind is curtailed rather than dumped in the heater; does not change real decisions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scheduler.battery.power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W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Set per case; LEOGO option is 4 MW / 4 MWh (Svendsen et al., 2023)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scheduler.battery.energy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J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Set per case; LEOGO option is 4 MW / 4 MWh (Svendsen et al., 2023)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scheduler.battery.round_trip_efficiency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0.9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eta = 0.9 in Svendsen et al. (2023), LEOGO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scheduler.battery.reserve_duration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1800.0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reserve_storage_minutes = 30 in Svendsen et al. (2023), LEOGO: stored energy must sustain the reserve for 30 min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cases.battery_size.power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4.0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MW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LEOGO battery option 4 MW / 4 MWh (Svendsen et al., 2023)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cases.battery_size.energy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4.0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MWh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LEOGO battery option 4 MW / 4 MWh (Svendsen et al., 2023)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validation.tolerance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0.2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Modelling choice: +/-20 % counts as agreement for single published values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validation.bbl_per_Sm3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6.2898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bbl/Sm3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Standard conversion, 1 Sm3 = 6.2898 bbl (Norwegian Offshore Directorate)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validation.benchmarks.platform_power_voldsund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[17.0, 30.0]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MW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Voldsund et al. (2014), Energy 74:45-58, Table 5: power input to the processing plants of three real North Sea oil platforms, 25 / 30 / 17 MW (A, C, D; B is a gas-condensate platform, 5.5 MW). Platform A is the platform of Voldsund et al. (2013), Energy 55:716-727: about 24 MW for processing and about 34 MW for the whole platform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validation.benchmarks.platform_power_nguyen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[22.6, 31.1]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MW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Nguyen et al. (2013), Energy 62:23-36, Table 6 and text: platform power consumption 22.6-31.1 MW over six North Sea reservoir-fluid cases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validation.benchmarks.platform_power_castberg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25.0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MW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Johan Castberg PDO part II impact assessment: about 25 MW average, 50 MW peak (via search summary; verify)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validation.benchmarks.platform_power_hywind_tampen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25.1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MW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Implied: 384 GWh/yr expected from Hywind Tampen covers about 35 % of the electricity of 5 platforms (Snorre A/B, Gullfaks A/B/C) -&gt; 384/0.35/8760/5 = 25.1 MW per platform (SNL; Equinor)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validation.benchmarks.wind_capacity_factor_tampen_design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0.498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Hywind Tampen expected 384 GWh/yr from 88 MW (SNL, Hywind Tampen) -&gt; 0.498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validation.benchmarks.wind_capacity_factor_tampen_q1_2025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0.584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Equinor via Norwegian Offshore Wind: 58.4 % capacity factor in Q1 2025 (winter quarter)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validation.benchmarks.co2_avoided_per_wind_mwh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0.52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t/MWh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Hywind Tampen: about 200 kt CO2/yr avoided (Equinor FID) for 384 GWh/yr expected (SNL) -&gt; 0.52 t/MWh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validation.benchmarks.co2_avoided_per_wind_mwh_2gt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0.52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t/MWh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Same Hywind Tampen benchmark (200 kt / 384 GWh), compared with the model run that keeps 2 GTs online (sensitivity gt_operation_practice)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validation.benchmarks.co2_intensity_ncs_2023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7.3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kg/boe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Offshore Norge climate and environmental report 2024: NCS average 7.3 kg CO2/boe in 2023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validation.benchmarks.co2_intensity_non_electrified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10.5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kg/boe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Westwood Global Energy (2022 estimate): about 10.5 kg CO2/boe for non-electrified NCS hubs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validation.benchmarks.leogo_water_injection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8.99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kWh/m3</w:t>
            </w:r>
          </w:p>
        </w:tc>
        <w:tc>
          <w:tcPr/>
          <w:p>
            <w:pPr>
              <w:pStyle w:val="Compact"/>
              <w:spacing w:line="240" w:lineRule="auto" w:after="20"/>
              <w:jc w:val="left"/>
            </w:pPr>
            <w:r>
              <w:rPr>
                <w:sz w:val="20"/>
              </w:rPr>
              <w:t xml:space="preserve">LEOGO: 8.97 MW for 0.277 m3/s at 0.7 -&gt; 25 MPa, eta 0.75 (Svendsen et al., 2023; leogo_resultobject.json in Oogeso)</w:t>
            </w:r>
          </w:p>
        </w:tc>
      </w:tr>
    </w:tbl>
    <w:bookmarkEnd w:id="32"/>
    <w:sectPr>
      <w:footerReference r:id="rId9" w:type="default"/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  <w:jc w:val="both"/>
    </w:pPr>
    <w:rPr>
      <w:rFonts w:ascii="Times New Roman" w:cs="Times New Roman" w:eastAsia="Times New Roman" w:hAnsi="Times New Roman"/>
      <w:color w:val="000000"/>
      <w:sz w:val="20"/>
    </w:rPr>
  </w:style>
  <w:style w:styleId="BodyText" w:type="paragraph">
    <w:name w:val="Body Text"/>
    <w:basedOn w:val="Normal"/>
    <w:link w:val="BodyTextChar"/>
    <w:pPr>
      <w:spacing w:after="120" w:before="0" w:line="360" w:lineRule="auto"/>
      <w:jc w:val="both"/>
    </w:pPr>
    <w:qFormat/>
    <w:rPr>
      <w:rFonts w:ascii="Times New Roman" w:cs="Times New Roman" w:eastAsia="Times New Roman" w:hAnsi="Times New Roman"/>
      <w:color w:val="000000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jc w:val="both"/>
    </w:pPr>
    <w:rPr>
      <w:rFonts w:ascii="Times New Roman" w:cs="Times New Roman" w:eastAsia="Times New Roman" w:hAnsi="Times New Roman"/>
      <w:color w:val="000000"/>
      <w:sz w:val="20"/>
    </w:rPr>
  </w:style>
  <w:style w:customStyle="1" w:styleId="Compact" w:type="paragraph">
    <w:name w:val="Compact"/>
    <w:basedOn w:val="BodyText"/>
    <w:qFormat/>
    <w:pPr>
      <w:spacing w:after="40" w:before="0" w:line="360" w:lineRule="auto"/>
      <w:jc w:val="both"/>
    </w:pPr>
    <w:rPr>
      <w:rFonts w:ascii="Times New Roman" w:cs="Times New Roman" w:eastAsia="Times New Roman" w:hAnsi="Times New Roman"/>
      <w:color w:val="000000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0" w:line="360" w:lineRule="auto"/>
      <w:jc w:val="left"/>
    </w:pPr>
    <w:rPr>
      <w:rFonts w:ascii="Times New Roman" w:cs="Times New Roman" w:eastAsia="Times New Roman" w:hAnsi="Times New Roman"/>
      <w:b/>
      <w:bCs/>
      <w:color w:val="000000"/>
      <w:sz w:val="2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120" w:before="120" w:line="360" w:lineRule="auto"/>
      <w:jc w:val="left"/>
    </w:pPr>
    <w:rPr>
      <w:rFonts w:ascii="Times New Roman" w:cs="Times New Roman" w:eastAsia="Times New Roman" w:hAnsi="Times New Roman"/>
      <w:color w:val="000000"/>
      <w:sz w:val="2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80" w:before="0" w:line="360" w:lineRule="auto"/>
      <w:ind w:hanging="454" w:left="454"/>
      <w:jc w:val="left"/>
    </w:pPr>
    <w:rPr>
      <w:rFonts w:ascii="Times New Roman" w:cs="Times New Roman" w:eastAsia="Times New Roman" w:hAnsi="Times New Roman"/>
      <w:color w:val="000000"/>
      <w:sz w:val="2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 w:line="360" w:lineRule="auto"/>
      <w:jc w:val="left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2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 w:line="360" w:lineRule="auto"/>
      <w:jc w:val="left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2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160" w:line="360" w:lineRule="auto"/>
      <w:jc w:val="left"/>
      <w:outlineLvl w:val="2"/>
    </w:pPr>
    <w:rPr>
      <w:rFonts w:ascii="Times New Roman" w:cs="Times New Roman" w:eastAsia="Times New Roman" w:hAnsi="Times New Roman"/>
      <w:b/>
      <w:bCs/>
      <w:i w:val="0"/>
      <w:color w:val="000000"/>
      <w:sz w:val="20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0" w:line="360" w:lineRule="auto"/>
      <w:ind w:left="480" w:right="480"/>
      <w:jc w:val="both"/>
    </w:pPr>
    <w:rPr>
      <w:rFonts w:ascii="Times New Roman" w:cs="Times New Roman" w:eastAsia="Times New Roman" w:hAnsi="Times New Roman"/>
      <w:color w:val="00000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  <w:sz w:val="2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  <w:color w:val="000000"/>
      <w:sz w:val="20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color w:val="000000"/>
      <w:sz w:val="20"/>
    </w:rPr>
  </w:style>
  <w:style w:customStyle="1" w:styleId="Figure" w:type="paragraph">
    <w:name w:val="Figure"/>
    <w:basedOn w:val="Normal"/>
    <w:pPr>
      <w:keepNext/>
      <w:spacing w:after="0" w:before="120" w:line="240" w:lineRule="auto"/>
      <w:jc w:val="center"/>
    </w:pPr>
    <w:rPr>
      <w:rFonts w:ascii="Times New Roman" w:cs="Times New Roman" w:eastAsia="Times New Roman" w:hAnsi="Times New Roman"/>
      <w:color w:val="000000"/>
      <w:sz w:val="2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  <w:color w:val="000000"/>
      <w:sz w:val="2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Affiliation" w:type="paragraph">
    <w:name w:val="Affiliation"/>
    <w:basedOn w:val="Normal"/>
    <w:pPr>
      <w:spacing w:after="80" w:before="0" w:line="360" w:lineRule="auto"/>
      <w:jc w:val="left"/>
    </w:pPr>
    <w:rPr>
      <w:rFonts w:ascii="Times New Roman" w:cs="Times New Roman" w:eastAsia="Times New Roman" w:hAnsi="Times New Roman"/>
      <w:i/>
      <w:color w:val="000000"/>
      <w:sz w:val="20"/>
    </w:rPr>
  </w:style>
  <w:style w:customStyle="1" w:styleId="FigureCaption" w:type="paragraph">
    <w:name w:val="Figure Caption"/>
    <w:basedOn w:val="Normal"/>
    <w:pPr>
      <w:spacing w:after="200" w:before="80" w:line="360" w:lineRule="auto"/>
      <w:jc w:val="both"/>
    </w:pPr>
    <w:rPr>
      <w:rFonts w:ascii="Times New Roman" w:cs="Times New Roman" w:eastAsia="Times New Roman" w:hAnsi="Times New Roman"/>
      <w:color w:val="00000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20" Type="http://schemas.openxmlformats.org/officeDocument/2006/relationships/image" Target="media/rId20.png"/><Relationship Id="rId24" Type="http://schemas.openxmlformats.org/officeDocument/2006/relationships/image" Target="media/rId24.png"/><Relationship Id="rId28" Type="http://schemas.openxmlformats.org/officeDocument/2006/relationships/image" Target="media/rId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</dc:title>
  <dc:creator/>
  <cp:keywords/>
  <dcterms:created xsi:type="dcterms:W3CDTF">2026-10-28T18:22:40Z</dcterms:created>
  <dcterms:modified xsi:type="dcterms:W3CDTF">2026-10-28T18:22:40Z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