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Flexible top-side load scheduling on a wind-powered offshore oil platform: effects on gas turbine fuel use and 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emissions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759999" cy="20858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8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759999" cy="231548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759999" cy="275093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5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60"/>
        <w:gridCol w:w="1656"/>
        <w:gridCol w:w="1283"/>
        <w:gridCol w:w="4058"/>
      </w:tblGrid>
      <w:tr>
        <w:trPr>
          <w:tblHeader w:val="true"/>
        </w:trPr>
        <w:tc>
          <w:tcPr>
            <w:tcW w:type="dxa" w:w="236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W w:type="dxa" w:w="1656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W w:type="dxa" w:w="1283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W w:type="dxa" w:w="405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Start w:id="33" w:name="s5.-model-verification"/>
    <w:p>
      <w:pPr>
        <w:pStyle w:val="Heading1"/>
      </w:pPr>
      <w:r>
        <w:t xml:space="preserve">S5. Model verification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bookmarkEnd w:id="33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2026-10-28T21:58:39Z</dcterms:created>
  <dcterms:modified xsi:type="dcterms:W3CDTF">2026-10-28T21:58:39Z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