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data. Postponed water injection is represented as a virtual storage</w:t>
      </w:r>
      <w:r>
        <w:t xml:space="preserve"> </w:t>
      </w:r>
      <w:r>
        <w:t xml:space="preserve">that must be caught up.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(7.1 kt/yr) without any loss of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30. About 24 h of deferrable injection</w:t>
      </w:r>
      <w:r>
        <w:t xml:space="preserve"> </w:t>
      </w:r>
      <w:r>
        <w:t xml:space="preserve">captures the full benefit; prices do not change the schedule.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the CO2 avoided per MWh of wind reported for Hywind Tampen within</w:t>
      </w:r>
      <w:r>
        <w:t xml:space="preserve"> </w:t>
      </w:r>
      <w:r>
        <w:t xml:space="preserve">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</w:t>
      </w:r>
      <w:r>
        <w:t xml:space="preserve"> </w:t>
      </w:r>
      <w:r>
        <w:t xml:space="preserve">gas emissions [1], and most of these emissions come from</w:t>
      </w:r>
      <w:r>
        <w:t xml:space="preserve"> </w:t>
      </w:r>
      <w:r>
        <w:t xml:space="preserve">gas turbines (GTs) that generate power and drive compressors on the offshore</w:t>
      </w:r>
      <w:r>
        <w:t xml:space="preserve"> </w:t>
      </w:r>
      <w:r>
        <w:t xml:space="preserve">installations [2]. Power from shore removes them</w:t>
      </w:r>
      <w:r>
        <w:t xml:space="preserve"> </w:t>
      </w:r>
      <w:r>
        <w:t xml:space="preserve">where a grid connection is feasible. A Norwegian government study found that</w:t>
      </w:r>
      <w:r>
        <w:t xml:space="preserve"> </w:t>
      </w:r>
      <w:r>
        <w:t xml:space="preserve">the electrification projects then planned would cut emissions at less than</w:t>
      </w:r>
      <w:r>
        <w:t xml:space="preserve"> </w:t>
      </w:r>
      <w:r>
        <w:t xml:space="preserve">NOK 1,500 per tonne of CO2 [3], and the CO2 cost faced by operators</w:t>
      </w:r>
      <w:r>
        <w:t xml:space="preserve"> </w:t>
      </w:r>
      <w:r>
        <w:t xml:space="preserve">has since risen from about NOK 860 per tonne in 2020 to NOK 1,860 in 2025</w:t>
      </w:r>
      <w:r>
        <w:t xml:space="preserve"> </w:t>
      </w:r>
      <w:r>
        <w:t xml:space="preserve">[4]. Many installations, however, are far from shore, too small to</w:t>
      </w:r>
      <w:r>
        <w:t xml:space="preserve"> </w:t>
      </w:r>
      <w:r>
        <w:t xml:space="preserve">justify a cable, or connected to a grid whose capacity is needed onshore.</w:t>
      </w:r>
      <w:r>
        <w:t xml:space="preserve"> </w:t>
      </w:r>
      <w:r>
        <w:t xml:space="preserve">The operators’ own assessments found the alternatives to power from shore</w:t>
      </w:r>
      <w:r>
        <w:t xml:space="preserve"> </w:t>
      </w:r>
      <w:r>
        <w:t xml:space="preserve">more costly or less effective [4], which is why improving the</w:t>
      </w:r>
      <w:r>
        <w:t xml:space="preserve"> </w:t>
      </w:r>
      <w:r>
        <w:t xml:space="preserve">efficiency of the remaining offshore power plants matters.</w:t>
      </w:r>
    </w:p>
    <w:p>
      <w:pPr>
        <w:pStyle w:val="BodyText"/>
      </w:pPr>
      <w:r>
        <w:t xml:space="preserve">Offshore wind connected directly to a platform’s power system is the most</w:t>
      </w:r>
      <w:r>
        <w:t xml:space="preserve"> </w:t>
      </w:r>
      <w:r>
        <w:t xml:space="preserve">studied alternative. He et al. [5] showed more than a decade ago that</w:t>
      </w:r>
      <w:r>
        <w:t xml:space="preserve"> </w:t>
      </w:r>
      <w:r>
        <w:t xml:space="preserve">wind could supply part of the demand of North Sea platforms and reduce</w:t>
      </w:r>
      <w:r>
        <w:t xml:space="preserve"> </w:t>
      </w:r>
      <w:r>
        <w:t xml:space="preserve">their emissions, and Marvik et al. [6] found that a cluster of</w:t>
      </w:r>
      <w:r>
        <w:t xml:space="preserve"> </w:t>
      </w:r>
      <w:r>
        <w:t xml:space="preserve">platforms with an integrated wind farm can be operated with acceptable</w:t>
      </w:r>
      <w:r>
        <w:t xml:space="preserve"> </w:t>
      </w:r>
      <w:r>
        <w:t xml:space="preserve">transient stability. Riboldi and Nord [7] optimised the design of</w:t>
      </w:r>
      <w:r>
        <w:t xml:space="preserve"> </w:t>
      </w:r>
      <w:r>
        <w:t xml:space="preserve">an offshore combined-cycle plant with a wind farm and concluded that the</w:t>
      </w:r>
      <w:r>
        <w:t xml:space="preserve"> </w:t>
      </w:r>
      <w:r>
        <w:t xml:space="preserve">economic case depends on favourable gas and CO2 prices. The concept has now</w:t>
      </w:r>
      <w:r>
        <w:t xml:space="preserve"> </w:t>
      </w:r>
      <w:r>
        <w:t xml:space="preserve">been realised: Hywind Tampen, an 88 MW floating wind farm supplying five</w:t>
      </w:r>
      <w:r>
        <w:t xml:space="preserve"> </w:t>
      </w:r>
      <w:r>
        <w:t xml:space="preserve">platforms in the Norwegian North Sea, has operated since 2023 and is</w:t>
      </w:r>
      <w:r>
        <w:t xml:space="preserve"> </w:t>
      </w:r>
      <w:r>
        <w:t xml:space="preserve">expected to cover about 35 % of their electricity demand and avoid about</w:t>
      </w:r>
      <w:r>
        <w:t xml:space="preserve"> </w:t>
      </w:r>
      <w:r>
        <w:t xml:space="preserve">200 kt of CO2 per year [8].</w:t>
      </w:r>
    </w:p>
    <w:p>
      <w:pPr>
        <w:pStyle w:val="BodyText"/>
      </w:pPr>
      <w:r>
        <w:t xml:space="preserve">On an off-grid platform, wind power saves less fuel than its energy</w:t>
      </w:r>
      <w:r>
        <w:t xml:space="preserve"> </w:t>
      </w:r>
      <w:r>
        <w:t xml:space="preserve">suggests. The wind turbines are usually grid-following, so at least one GT</w:t>
      </w:r>
      <w:r>
        <w:t xml:space="preserve"> </w:t>
      </w:r>
      <w:r>
        <w:t xml:space="preserve">must stay online for frequency and voltage control, and enough GT capacity</w:t>
      </w:r>
      <w:r>
        <w:t xml:space="preserve"> </w:t>
      </w:r>
      <w:r>
        <w:t xml:space="preserve">must run to cover a sudden loss of wind or of a generator. When wind</w:t>
      </w:r>
      <w:r>
        <w:t xml:space="preserve"> </w:t>
      </w:r>
      <w:r>
        <w:t xml:space="preserve">supplies part of the demand, the GTs therefore run at low load, where their</w:t>
      </w:r>
      <w:r>
        <w:t xml:space="preserve"> </w:t>
      </w:r>
      <w:r>
        <w:t xml:space="preserve">efficiency falls steeply: the reference turbine of the LEOGO platform drops</w:t>
      </w:r>
      <w:r>
        <w:t xml:space="preserve"> </w:t>
      </w:r>
      <w:r>
        <w:t xml:space="preserve">from about 35 % electric efficiency at full load to below 20 % near minimum</w:t>
      </w:r>
      <w:r>
        <w:t xml:space="preserve"> </w:t>
      </w:r>
      <w:r>
        <w:t xml:space="preserve">stable load [9]. Exergy analyses of North Sea platforms have</w:t>
      </w:r>
      <w:r>
        <w:t xml:space="preserve"> </w:t>
      </w:r>
      <w:r>
        <w:t xml:space="preserve">found that the gas turbines account for 62–65 % of the exergy destroyed on a</w:t>
      </w:r>
      <w:r>
        <w:t xml:space="preserve"> </w:t>
      </w:r>
      <w:r>
        <w:t xml:space="preserve">platform, more than the whole processing plant [10]. The fuel saved</w:t>
      </w:r>
      <w:r>
        <w:t xml:space="preserve"> </w:t>
      </w:r>
      <w:r>
        <w:t xml:space="preserve">per MWh of wind is thus limited by how the remaining GT capacity must be</w:t>
      </w:r>
      <w:r>
        <w:t xml:space="preserve"> </w:t>
      </w:r>
      <w:r>
        <w:t xml:space="preserve">operated, and a large part of the wind energy is curtailed when it exceeds</w:t>
      </w:r>
      <w:r>
        <w:t xml:space="preserve"> </w:t>
      </w:r>
      <w:r>
        <w:t xml:space="preserve">what the platform can absorb.</w:t>
      </w:r>
    </w:p>
    <w:p>
      <w:pPr>
        <w:pStyle w:val="BodyText"/>
      </w:pPr>
      <w:r>
        <w:t xml:space="preserve">Operational optimisation can recover part of this loss. The open-source</w:t>
      </w:r>
      <w:r>
        <w:t xml:space="preserve"> </w:t>
      </w:r>
      <w:r>
        <w:t xml:space="preserve">tool Oogeso optimises GT commitment, wind use and storage on platforms, and</w:t>
      </w:r>
      <w:r>
        <w:t xml:space="preserve"> </w:t>
      </w:r>
      <w:r>
        <w:t xml:space="preserve">shows that a battery that provides reserve lets one turbine be switched off</w:t>
      </w:r>
      <w:r>
        <w:t xml:space="preserve"> </w:t>
      </w:r>
      <w:r>
        <w:t xml:space="preserve">and the remaining turbines run more efficiently [11]. The Low</w:t>
      </w:r>
      <w:r>
        <w:t xml:space="preserve"> </w:t>
      </w:r>
      <w:r>
        <w:t xml:space="preserve">Emission Oil and Gas Open (LEOGO) reference platform provides a common data</w:t>
      </w:r>
      <w:r>
        <w:t xml:space="preserve"> </w:t>
      </w:r>
      <w:r>
        <w:t xml:space="preserve">set for such studies [9]. Planning models for offshore energy</w:t>
      </w:r>
      <w:r>
        <w:t xml:space="preserve"> </w:t>
      </w:r>
      <w:r>
        <w:t xml:space="preserve">hubs choose investments in wind, storage and cables to meet emission targets</w:t>
      </w:r>
      <w:r>
        <w:t xml:space="preserve"> </w:t>
      </w:r>
      <w:r>
        <w:t xml:space="preserve">[12], and power-system studies have examined how relaxing GT</w:t>
      </w:r>
      <w:r>
        <w:t xml:space="preserve"> </w:t>
      </w:r>
      <w:r>
        <w:t xml:space="preserve">operating constraints lets the platform absorb more wind [13].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[11]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Demand-side flexibility is well established in onshore process industries.</w:t>
      </w:r>
      <w:r>
        <w:t xml:space="preserve"> </w:t>
      </w:r>
      <w:r>
        <w:t xml:space="preserve">Scheduling of energy-intensive production, such as steel, cement, aluminium</w:t>
      </w:r>
      <w:r>
        <w:t xml:space="preserve"> </w:t>
      </w:r>
      <w:r>
        <w:t xml:space="preserve">or air separation, around electricity prices has been studied extensively</w:t>
      </w:r>
      <w:r>
        <w:t xml:space="preserve"> </w:t>
      </w:r>
      <w:r>
        <w:t xml:space="preserve">[14,15]. Those studies exploit time-varying</w:t>
      </w:r>
      <w:r>
        <w:t xml:space="preserve"> </w:t>
      </w:r>
      <w:r>
        <w:t xml:space="preserve">prices in a large grid. An off-grid platform is different: there is no</w:t>
      </w:r>
      <w:r>
        <w:t xml:space="preserve"> </w:t>
      </w:r>
      <w:r>
        <w:t xml:space="preserve">price signal, and the value of moving a load lies in the fuel and emissions</w:t>
      </w:r>
      <w:r>
        <w:t xml:space="preserve"> </w:t>
      </w:r>
      <w:r>
        <w:t xml:space="preserve">of its own power plant. That value is strongly non-linear, because it</w:t>
      </w:r>
      <w:r>
        <w:t xml:space="preserve"> </w:t>
      </w:r>
      <w:r>
        <w:t xml:space="preserve">depends on whether a load change allows a GT to be stopped or avoids</w:t>
      </w:r>
      <w:r>
        <w:t xml:space="preserve"> </w:t>
      </w:r>
      <w:r>
        <w:t xml:space="preserve">starting one, and it is limited by process constraints that are specific</w:t>
      </w:r>
      <w:r>
        <w:t xml:space="preserve"> </w:t>
      </w:r>
      <w:r>
        <w:t xml:space="preserve">to oil and gas production.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[10].</w:t>
      </w:r>
      <w:r>
        <w:t xml:space="preserve"> </w:t>
      </w:r>
      <w:r>
        <w:t xml:space="preserve">It can be postponed for hours as long as the cumulative injection meets the</w:t>
      </w:r>
      <w:r>
        <w:t xml:space="preserve"> </w:t>
      </w:r>
      <w:r>
        <w:t xml:space="preserve">reservoir’s needs, because reservoir pressure responds slowly. Production</w:t>
      </w:r>
      <w:r>
        <w:t xml:space="preserve"> </w:t>
      </w:r>
      <w:r>
        <w:t xml:space="preserve">can be reduced, at the cost of lost revenue. Other loads, such as utilities</w:t>
      </w:r>
      <w:r>
        <w:t xml:space="preserve"> </w:t>
      </w:r>
      <w:r>
        <w:t xml:space="preserve">and safety systems, must run at all times. How much flexibility these</w:t>
      </w:r>
      <w:r>
        <w:t xml:space="preserve"> </w:t>
      </w:r>
      <w:r>
        <w:t xml:space="preserve">consumers offer, and what it is worth, depends on equipment limits that a</w:t>
      </w:r>
      <w:r>
        <w:t xml:space="preserve"> </w:t>
      </w:r>
      <w:r>
        <w:t xml:space="preserve">fixed load profile hides: parallel trains, minimum-flow recycle on</w:t>
      </w:r>
      <w:r>
        <w:t xml:space="preserve"> </w:t>
      </w:r>
      <w:r>
        <w:t xml:space="preserve">compressors and pumps, ramp limits, and the requirement to catch up</w:t>
      </w:r>
      <w:r>
        <w:t xml:space="preserve"> </w:t>
      </w:r>
      <w:r>
        <w:t xml:space="preserve">postponed injection.</w:t>
      </w:r>
    </w:p>
    <w:p>
      <w:pPr>
        <w:pStyle w:val="BodyText"/>
      </w:pPr>
      <w:r>
        <w:t xml:space="preserve">This paper therefore asks three questions. How much fuel and CO2 can be</w:t>
      </w:r>
      <w:r>
        <w:t xml:space="preserve"> </w:t>
      </w:r>
      <w:r>
        <w:t xml:space="preserve">saved by scheduling the flexible topside consumers of a wind-powered oil</w:t>
      </w:r>
      <w:r>
        <w:t xml:space="preserve"> </w:t>
      </w:r>
      <w:r>
        <w:t xml:space="preserve">platform, compared with operating the same platform at fixed demand? Which</w:t>
      </w:r>
      <w:r>
        <w:t xml:space="preserve"> </w:t>
      </w:r>
      <w:r>
        <w:t xml:space="preserve">consumers provide the flexibility, and through which mechanism does it save</w:t>
      </w:r>
      <w:r>
        <w:t xml:space="preserve"> </w:t>
      </w:r>
      <w:r>
        <w:t xml:space="preserve">fuel? And which technical and operational assumptions decide the size of the</w:t>
      </w:r>
      <w:r>
        <w:t xml:space="preserve"> </w:t>
      </w:r>
      <w:r>
        <w:t xml:space="preserve">saving?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with sensitivity analysis on the assumptions that drive the</w:t>
      </w:r>
      <w:r>
        <w:t xml:space="preserve"> </w:t>
      </w:r>
      <w:r>
        <w:t xml:space="preserve">result, and validation against Hywind Tampen and reported field data.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3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[16] and Pyomo with the HiGHS solver for optimisation</w:t>
      </w:r>
      <w:r>
        <w:t xml:space="preserve"> </w:t>
      </w:r>
      <w:r>
        <w:t xml:space="preserve">[17,18]. Every parameter is stored in a single</w:t>
      </w:r>
      <w:r>
        <w:t xml:space="preserve"> </w:t>
      </w:r>
      <w:r>
        <w:t xml:space="preserve">configuration file with its unit and source; 29 of 101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2023 were taken from the ERA5 reanalysis [19]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[20].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[21],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[22]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[23];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[23];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[23],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[25],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sensitivity-analysis-and-validation"/>
    <w:p>
      <w:pPr>
        <w:pStyle w:val="Heading3"/>
      </w:pPr>
      <w:r>
        <w:t xml:space="preserve">2.7 Sensitivity analysis and validation</w:t>
      </w:r>
    </w:p>
    <w:p>
      <w:pPr>
        <w:pStyle w:val="FirstParagraph"/>
      </w:pPr>
      <w:r>
        <w:t xml:space="preserve">Cases 2–4 were rerun with one input changed at a 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units, or two main units and one smaller unit</w:t>
      </w:r>
      <w:r>
        <w:t xml:space="preserve"> </w:t>
      </w:r>
      <w:r>
        <w:t xml:space="preserve">(19 MW, data not verified);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[23,26], six modelled platforms [10], the</w:t>
      </w:r>
      <w:r>
        <w:t xml:space="preserve"> </w:t>
      </w:r>
      <w:r>
        <w:t xml:space="preserve">Johan Castberg development plan [27],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[30] and net production from the Norwegian Offshore</w:t>
      </w:r>
      <w:r>
        <w:t xml:space="preserve"> </w:t>
      </w:r>
      <w:r>
        <w:t xml:space="preserve">Directorate [31],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End w:id="33"/>
    <w:bookmarkStart w:id="60" w:name="results"/>
    <w:p>
      <w:pPr>
        <w:pStyle w:val="Heading2"/>
      </w:pPr>
      <w:r>
        <w:t xml:space="preserve">3 Results</w:t>
      </w:r>
    </w:p>
    <w:bookmarkStart w:id="37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5" name="Picture"/>
            <a:graphic>
              <a:graphicData uri="http://schemas.openxmlformats.org/drawingml/2006/picture">
                <pic:pic>
                  <pic:nvPicPr>
                    <pic:cNvPr descr="results/paper/fig02_demand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7"/>
    <w:bookmarkStart w:id="41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7.1 kt/yr, 11.0 %</w:t>
      </w:r>
      <w:r>
        <w:t xml:space="preserve"> </w:t>
      </w:r>
      <w:r>
        <w:t xml:space="preserve">relative to case 2, to 57.6 kt, without any loss of production. Fuel use</w:t>
      </w:r>
      <w:r>
        <w:t xml:space="preserve"> </w:t>
      </w:r>
      <w:r>
        <w:t xml:space="preserve">falls by the same 11 %. GT running hours fall from 10,462 to 8,790 unit-h,</w:t>
      </w:r>
      <w:r>
        <w:t xml:space="preserve"> </w:t>
      </w:r>
      <w:r>
        <w:t xml:space="preserve">the low-load unit-hours by 34 % and the GT starts from 149 to 6. Wind covers</w:t>
      </w:r>
      <w:r>
        <w:t xml:space="preserve"> </w:t>
      </w:r>
      <w:r>
        <w:t xml:space="preserve">57.6 % of the demand, curtailment falls by 13 % to 38.8 GWh, and the mean</w:t>
      </w:r>
      <w:r>
        <w:t xml:space="preserve"> </w:t>
      </w:r>
      <w:r>
        <w:t xml:space="preserve">load of the running GTs rises to 37 %. The combined fuel value and CO2 cost</w:t>
      </w:r>
      <w:r>
        <w:t xml:space="preserve"> </w:t>
      </w:r>
      <w:r>
        <w:t xml:space="preserve">falls by 27 MNOK/yr, of which 12.8 MNOK is the value of the fuel saved.</w:t>
      </w:r>
    </w:p>
    <w:p>
      <w:pPr>
        <w:pStyle w:val="BodyText"/>
      </w:pPr>
      <w:r>
        <w:t xml:space="preserve">A 4 MW / 4 MWh battery (case 4) adds only 0.4 kt (−0.7 %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(5,928 to 6,235).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39" name="Picture"/>
            <a:graphic>
              <a:graphicData uri="http://schemas.openxmlformats.org/drawingml/2006/picture">
                <pic:pic>
                  <pic:nvPicPr>
                    <pic:cNvPr descr="results/paper/fig04_cas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1"/>
    <w:bookmarkStart w:id="51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30 h of the year instead</w:t>
      </w:r>
      <w:r>
        <w:t xml:space="preserve"> </w:t>
      </w:r>
      <w:r>
        <w:t xml:space="preserve">of 1,702 (Fig. 4, Fig. 5). The 1,672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29 (16–22 July 2023), the week with the median fuel saving. Top and middle: power supplied by GTs and wind with fixed (case 2) and flexible (case 3) demand. Bottom: production and injection rates." title="" id="43" name="Picture"/>
            <a:graphic>
              <a:graphicData uri="http://schemas.openxmlformats.org/drawingml/2006/picture">
                <pic:pic>
                  <pic:nvPicPr>
                    <pic:cNvPr descr="results/paper/fig05_example_week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29 (16–22 July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6" name="Picture"/>
            <a:graphic>
              <a:graphicData uri="http://schemas.openxmlformats.org/drawingml/2006/picture">
                <pic:pic>
                  <pic:nvPicPr>
                    <pic:cNvPr descr="results/paper/fig06_gt_load_dur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59 % of capacity in the calmest hours to</w:t>
      </w:r>
      <w:r>
        <w:t xml:space="preserve"> </w:t>
      </w:r>
      <w:r>
        <w:t xml:space="preserve">98–99 %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2,597 h, stopped completely in 178 h and above the</w:t>
      </w:r>
      <w:r>
        <w:t xml:space="preserve"> </w:t>
      </w:r>
      <w:r>
        <w:t xml:space="preserve">target in 6,048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7.5 h of</w:t>
      </w:r>
      <w:r>
        <w:t xml:space="preserve"> </w:t>
      </w:r>
      <w:r>
        <w:t xml:space="preserve">full-rate injection, never exceeds 25.2 h and is below 24 h in all but a few</w:t>
      </w:r>
      <w:r>
        <w:t xml:space="preserve"> </w:t>
      </w:r>
      <w:r>
        <w:t xml:space="preserve">hours, well within the 72 h allowed. At the end of the year 6.3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0.42 and 0.76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49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1"/>
    <w:bookmarkStart w:id="55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matter.</w:t>
      </w:r>
    </w:p>
    <w:p>
      <w:pPr>
        <w:pStyle w:val="BodyTex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 and</w:t>
      </w:r>
      <w:r>
        <w:t xml:space="preserve"> </w:t>
      </w:r>
      <w:r>
        <w:t xml:space="preserve">gas prices of 2–8 NOK/Sm³, emissions change by less than 0.1 %. Prices change</w:t>
      </w:r>
      <w:r>
        <w:t xml:space="preserve"> </w:t>
      </w:r>
      <w:r>
        <w:t xml:space="preserve">the cost of every option in proportion, so the cheapest schedule stays the</w:t>
      </w:r>
      <w:r>
        <w:t xml:space="preserve"> </w:t>
      </w:r>
      <w:r>
        <w:t xml:space="preserve">cheapest. The injection schedule is driven by fuel savings that are</w:t>
      </w:r>
      <w:r>
        <w:t xml:space="preserve"> </w:t>
      </w:r>
      <w:r>
        <w:t xml:space="preserve">worthwhile at any price, and production is never shed, because its value is</w:t>
      </w:r>
      <w:r>
        <w:t xml:space="preserve"> </w:t>
      </w:r>
      <w:r>
        <w:t xml:space="preserve">two orders of magnitude higher than the fuel saved.</w:t>
      </w:r>
    </w:p>
    <w:p>
      <w:pPr>
        <w:pStyle w:val="BodyTex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 is</w:t>
      </w:r>
      <w:r>
        <w:t xml:space="preserve"> </w:t>
      </w:r>
      <w:r>
        <w:t xml:space="preserve">identical to case 2 (64.7 kt). A deficit limit of 24 h already gives the</w:t>
      </w:r>
      <w:r>
        <w:t xml:space="preserve"> </w:t>
      </w:r>
      <w:r>
        <w:t xml:space="preserve">full saving, with 12 GT starts instead of 6, and allowing 168 h changes</w:t>
      </w:r>
      <w:r>
        <w:t xml:space="preserve"> </w:t>
      </w:r>
      <w:r>
        <w:t xml:space="preserve">nothing more. Even a conservative reservoir constraint would therefore</w:t>
      </w:r>
      <w:r>
        <w:t xml:space="preserve"> </w:t>
      </w:r>
      <w:r>
        <w:t xml:space="preserve">capture the benefit.</w:t>
      </w:r>
    </w:p>
    <w:p>
      <w:pPr>
        <w:pStyle w:val="BodyTex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from 39 to 160 GWh, because one GT must stay online and the platform</w:t>
      </w:r>
      <w:r>
        <w:t xml:space="preserve"> </w:t>
      </w:r>
      <w:r>
        <w:t xml:space="preserve">cannot absorb more wind in windy hours. The value of flexibility (case 2</w:t>
      </w:r>
      <w:r>
        <w:t xml:space="preserve"> </w:t>
      </w:r>
      <w:r>
        <w:t xml:space="preserve">minus case 3) is largest for the base-case farm (7.1 kt) and smaller for a</w:t>
      </w:r>
      <w:r>
        <w:t xml:space="preserve"> </w:t>
      </w:r>
      <w:r>
        <w:t xml:space="preserve">15 MW farm (5.5 kt), where the wind seldom covers the demand, and for a</w:t>
      </w:r>
      <w:r>
        <w:t xml:space="preserve"> </w:t>
      </w:r>
      <w:r>
        <w:t xml:space="preserve">45–60 MW farm (6.6–6.9 kt).</w:t>
      </w:r>
    </w:p>
    <w:p>
      <w:pPr>
        <w:pStyle w:val="BodyText"/>
      </w:pPr>
      <w:r>
        <w:rPr>
          <w:bCs/>
          <w:b/>
        </w:rPr>
        <w:t xml:space="preserve">Batteries add little on their own.</w:t>
      </w:r>
      <w:r>
        <w:t xml:space="preserve"> </w:t>
      </w:r>
      <w:r>
        <w:t xml:space="preserve">The largest battery tested</w:t>
      </w:r>
      <w:r>
        <w:t xml:space="preserve"> </w:t>
      </w:r>
      <w:r>
        <w:t xml:space="preserve">(8 MW / 16 MWh) reduces case 3 emissions by 1.1 kt, or 2 %, as long as one</w:t>
      </w:r>
      <w:r>
        <w:t xml:space="preserve"> </w:t>
      </w:r>
      <w:r>
        <w:t xml:space="preserve">GT must remain online.</w:t>
      </w:r>
    </w:p>
    <w:p>
      <w:pPr>
        <w:pStyle w:val="BodyTex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the reserve and grid stability so that all GTs may stop,</w:t>
      </w:r>
      <w:r>
        <w:t xml:space="preserve"> </w:t>
      </w:r>
      <w:r>
        <w:t xml:space="preserve">emissions fall to 38.7 kt, 32 % below the same case with one GT online. The</w:t>
      </w:r>
      <w:r>
        <w:t xml:space="preserve"> </w:t>
      </w:r>
      <w:r>
        <w:t xml:space="preserve">GTs then run only 3,809 unit-h, wind covers a much larger share of the</w:t>
      </w:r>
      <w:r>
        <w:t xml:space="preserve"> </w:t>
      </w:r>
      <w:r>
        <w:t xml:space="preserve">demand with only 11 GWh curtailed, and 15 GWh of heat is supplied by the</w:t>
      </w:r>
      <w:r>
        <w:t xml:space="preserve"> </w:t>
      </w:r>
      <w:r>
        <w:t xml:space="preserve">electric heater when no GT runs. The price is 184 GT starts per year.</w:t>
      </w:r>
    </w:p>
    <w:p>
      <w:pPr>
        <w:pStyle w:val="BodyTex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in case 2 and 87.7 kt in</w:t>
      </w:r>
      <w:r>
        <w:t xml:space="preserve"> </w:t>
      </w:r>
      <w:r>
        <w:t xml:space="preserve">case 3. Flexibility then saves only 3.1 kt, because its main mechanism,</w:t>
      </w:r>
      <w:r>
        <w:t xml:space="preserve"> </w:t>
      </w:r>
      <w:r>
        <w:t xml:space="preserve">avoiding the second GT, is no longer available; the remaining saving comes</w:t>
      </w:r>
      <w:r>
        <w:t xml:space="preserve"> </w:t>
      </w:r>
      <w:r>
        <w:t xml:space="preserve">from lower curtailment.</w:t>
      </w:r>
    </w:p>
    <w:p>
      <w:pPr>
        <w:pStyle w:val="BodyText"/>
      </w:pPr>
      <w:r>
        <w:rPr>
          <w:bCs/>
          <w:b/>
        </w:rPr>
        <w:t xml:space="preserve">A smaller third GT</w:t>
      </w:r>
      <w:r>
        <w:t xml:space="preserve"> </w:t>
      </w:r>
      <w:r>
        <w:t xml:space="preserve">lowers case 3 emissions by 3.4 % to 55.6 kt, but needs</w:t>
      </w:r>
      <w:r>
        <w:t xml:space="preserve"> </w:t>
      </w:r>
      <w:r>
        <w:t xml:space="preserve">121 starts per year, and 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3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5"/>
    <w:bookmarkStart w:id="59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[23,26]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7" name="Picture"/>
            <a:graphic>
              <a:graphicData uri="http://schemas.openxmlformats.org/drawingml/2006/picture">
                <pic:pic>
                  <pic:nvPicPr>
                    <pic:cNvPr descr="results/paper/fig10_valida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9"/>
    <w:bookmarkEnd w:id="60"/>
    <w:bookmarkStart w:id="66" w:name="discussion"/>
    <w:p>
      <w:pPr>
        <w:pStyle w:val="Heading2"/>
      </w:pPr>
      <w:r>
        <w:t xml:space="preserve">4 Discussion</w:t>
      </w:r>
    </w:p>
    <w:bookmarkStart w:id="61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1,672 avoided hours with two GTs online. A deficit</w:t>
      </w:r>
      <w:r>
        <w:t xml:space="preserve"> </w:t>
      </w:r>
      <w:r>
        <w:t xml:space="preserve">capacity of about one day captures it all,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bookmarkEnd w:id="61"/>
    <w:bookmarkStart w:id="62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value of the fuel saved is of the same order</w:t>
      </w:r>
      <w:r>
        <w:t xml:space="preserve"> </w:t>
      </w:r>
      <w:r>
        <w:t xml:space="preserve">as the abatement cost threshold used for power-from-shore projects in</w:t>
      </w:r>
      <w:r>
        <w:t xml:space="preserve"> </w:t>
      </w:r>
      <w:r>
        <w:t xml:space="preserve">Norway [3], but power from shore requires large investments while</w:t>
      </w:r>
      <w:r>
        <w:t xml:space="preserve"> </w:t>
      </w:r>
      <w:r>
        <w:t xml:space="preserve">the flexibility studied here requires mainly a change 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2"/>
    <w:bookmarkStart w:id="63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7.5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720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40–50 %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3"/>
    <w:bookmarkStart w:id="64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64"/>
    <w:bookmarkStart w:id="65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one weather year and a single platform without power import</w:t>
      </w:r>
      <w:r>
        <w:t xml:space="preserve"> </w:t>
      </w:r>
      <w:r>
        <w:t xml:space="preserve">or export. Investment and operating costs of the wind farm and battery are</w:t>
      </w:r>
      <w:r>
        <w:t xml:space="preserve"> </w:t>
      </w:r>
      <w:r>
        <w:t xml:space="preserve">outside the scope, so the results show the operational value of flexibility</w:t>
      </w:r>
      <w:r>
        <w:t xml:space="preserve"> </w:t>
      </w:r>
      <w:r>
        <w:t xml:space="preserve">but not the cost of CO2 abatement of the whole system. Finally, the small GT</w:t>
      </w:r>
      <w:r>
        <w:t xml:space="preserve"> </w:t>
      </w:r>
      <w:r>
        <w:t xml:space="preserve">in the fleet sensitivity relies on unverified performance data.</w:t>
      </w:r>
    </w:p>
    <w:p>
      <w:pPr>
        <w:pStyle w:val="BodyText"/>
      </w:pPr>
      <w:r>
        <w:t xml:space="preserve">Future work should test the approach with wind forecast errors and several</w:t>
      </w:r>
      <w:r>
        <w:t xml:space="preserve"> </w:t>
      </w:r>
      <w:r>
        <w:t xml:space="preserve">weather years, add pump 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65"/>
    <w:bookmarkEnd w:id="66"/>
    <w:bookmarkStart w:id="67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for one year at hourly</w:t>
      </w:r>
      <w:r>
        <w:t xml:space="preserve"> </w:t>
      </w:r>
      <w:r>
        <w:t xml:space="preserve">resolution.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(7.1 kt/yr) without lost production.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67"/>
    <w:bookmarkStart w:id="68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(2023). [Funding.]</w:t>
      </w:r>
    </w:p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[17]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[18]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[19]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[20]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[21]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[22]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[23]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[24]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[25]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[26]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[27]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[28] Norwegian Offshore Wind. Hywind Tampen capacity factor, first quarter 2025 [news item]. 2025.</w:t>
      </w:r>
    </w:p>
    <w:p>
      <w:pPr>
        <w:pStyle w:val="BodyText"/>
      </w:pPr>
      <w:r>
        <w:t xml:space="preserve">[29] Westwood Global Energy Group. Analysis of electrification and emissions on the Norwegian continental shelf. 2022.</w:t>
      </w:r>
    </w:p>
    <w:p>
      <w:pPr>
        <w:pStyle w:val="BodyText"/>
      </w:pPr>
      <w:r>
        <w:t xml:space="preserve">[30]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[31] Norwegian Offshore Directorate. FactPages – field production, yearly. https://factpages.sodir.no [accessed DATE].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2026-10-26T21:28:07Z</dcterms:created>
  <dcterms:modified xsi:type="dcterms:W3CDTF">2026-10-26T21:28:07Z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