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The saving comes from avoiding a second gas turbine, not from shedding output</w:t>
      </w:r>
    </w:p>
    <w:p>
      <w:pPr>
        <w:numPr>
          <w:ilvl w:val="0"/>
          <w:numId w:val="1001"/>
        </w:numPr>
        <w:pStyle w:val="Compact"/>
      </w:pPr>
      <w:r>
        <w:t xml:space="preserve">About 24 h of deferrable injection captures the full benefit</w:t>
      </w:r>
    </w:p>
    <w:p>
      <w:pPr>
        <w:numPr>
          <w:ilvl w:val="0"/>
          <w:numId w:val="1001"/>
        </w:numPr>
        <w:pStyle w:val="Compact"/>
      </w:pPr>
      <w:r>
        <w:t xml:space="preserve">Rules that keep two gas turbines online remove most of the gain</w:t>
      </w:r>
    </w:p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cp:keywords/>
  <dcterms:created xsi:type="dcterms:W3CDTF">2026-10-28T19:44:45Z</dcterms:created>
  <dcterms:modified xsi:type="dcterms:W3CDTF">2026-10-28T19:44:45Z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