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data, with postponed water injection as a virtual storage.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Over ten weather years the benefit</w:t>
      </w:r>
      <w:r>
        <w:t xml:space="preserve"> </w:t>
      </w:r>
      <w:r>
        <w:t xml:space="preserve">is 10.5–11.7 %. About 24 h of deferrable injection captures it, and a</w:t>
      </w:r>
      <w:r>
        <w:t xml:space="preserve"> </w:t>
      </w:r>
      <w:r>
        <w:t xml:space="preserve">small added gas turbine is complementary.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over ten weather years, with sensitivity analysis on the</w:t>
      </w:r>
      <w:r>
        <w:t xml:space="preserve"> </w:t>
      </w:r>
      <w:r>
        <w:t xml:space="preserve">assumptions that drive the result, validation against Hywind Tampen and</w:t>
      </w:r>
      <w:r>
        <w:t xml:space="preserve"> </w:t>
      </w:r>
      <w:r>
        <w:t xml:space="preserve">reported field data, and economic indicators.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4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1), with cases 1–4 repeated for the weather years</w:t>
      </w:r>
      <w:r>
        <w:t xml:space="preserve"> </w:t>
      </w:r>
      <w:r>
        <w:t xml:space="preserve">2014–2022.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X32654d3cd445301b7caaa64f301babd56c5bfd2"/>
    <w:p>
      <w:pPr>
        <w:pStyle w:val="Heading3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Start w:id="33" w:name="economic-indicators"/>
    <w:p>
      <w:pPr>
        <w:pStyle w:val="Heading3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  <m:r>
                <m:t>b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&amp;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Δ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[8],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[33].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[34],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3"/>
    <w:bookmarkEnd w:id="34"/>
    <w:bookmarkStart w:id="66" w:name="results"/>
    <w:p>
      <w:pPr>
        <w:pStyle w:val="Heading2"/>
      </w:pPr>
      <w:r>
        <w:t xml:space="preserve">3 Results</w:t>
      </w:r>
    </w:p>
    <w:bookmarkStart w:id="38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6" name="Picture"/>
            <a:graphic>
              <a:graphicData uri="http://schemas.openxmlformats.org/drawingml/2006/picture">
                <pic:pic>
                  <pic:nvPicPr>
                    <pic:cNvPr descr="results/paper/fig02_demand_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8"/>
    <w:bookmarkStart w:id="42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40" name="Picture"/>
            <a:graphic>
              <a:graphicData uri="http://schemas.openxmlformats.org/drawingml/2006/picture">
                <pic:pic>
                  <pic:nvPicPr>
                    <pic:cNvPr descr="results/paper/fig04_ca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2"/>
    <w:bookmarkStart w:id="52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4" name="Picture"/>
            <a:graphic>
              <a:graphicData uri="http://schemas.openxmlformats.org/drawingml/2006/picture">
                <pic:pic>
                  <pic:nvPicPr>
                    <pic:cNvPr descr="results/paper/fig05_example_wee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7" name="Picture"/>
            <a:graphic>
              <a:graphicData uri="http://schemas.openxmlformats.org/drawingml/2006/picture">
                <pic:pic>
                  <pic:nvPicPr>
                    <pic:cNvPr descr="results/paper/fig06_gt_load_du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50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2"/>
    <w:bookmarkStart w:id="56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5 GT starts instead of 3,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57.5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(7.2 kt) and smaller for a</w:t>
      </w:r>
      <w:r>
        <w:t xml:space="preserve"> </w:t>
      </w:r>
      <w:r>
        <w:t xml:space="preserve">15 MW farm (5.6 kt), where the wind seldom covers the demand, and for a</w:t>
      </w:r>
      <w:r>
        <w:t xml:space="preserve"> </w:t>
      </w:r>
      <w:r>
        <w:t xml:space="preserve">45–60 MW farm (6.7–6.8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3,798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 GT is as valuable as flexibility, and the two add up.</w:t>
      </w:r>
      <w:r>
        <w:t xml:space="preserve"> </w:t>
      </w:r>
      <w:r>
        <w:t xml:space="preserve">Replacing</w:t>
      </w:r>
      <w:r>
        <w:t xml:space="preserve"> </w:t>
      </w:r>
      <w:r>
        <w:t xml:space="preserve">one main unit by a Solar Mars 100 (11.35 MW) lowers emissions from 64.7 to</w:t>
      </w:r>
      <w:r>
        <w:t xml:space="preserve"> </w:t>
      </w:r>
      <w:r>
        <w:t xml:space="preserve">53.9 kt with fixed demand (−17 %) and from 57.5 to 47.8 kt with flexible</w:t>
      </w:r>
      <w:r>
        <w:t xml:space="preserve"> </w:t>
      </w:r>
      <w:r>
        <w:t xml:space="preserve">demand. In windy hours the small unit runs alone: its no-load fuel is about</w:t>
      </w:r>
      <w:r>
        <w:t xml:space="preserve"> </w:t>
      </w:r>
      <w:r>
        <w:t xml:space="preserve">half that of a main unit, and it can carry up to 6.35 MW while holding the</w:t>
      </w:r>
      <w:r>
        <w:t xml:space="preserve"> </w:t>
      </w:r>
      <w:r>
        <w:t xml:space="preserve">5 MW reserve. With the small unit installed, flexibility still saves 6.1 kt</w:t>
      </w:r>
      <w:r>
        <w:t xml:space="preserve"> </w:t>
      </w:r>
      <w:r>
        <w:t xml:space="preserve">(11.3 %), the same share as with the main units only, and it reduces the</w:t>
      </w:r>
      <w:r>
        <w:t xml:space="preserve"> </w:t>
      </w:r>
      <w:r>
        <w:t xml:space="preserve">starts of the small unit from 465 to 262 per year. Together, the small unit</w:t>
      </w:r>
      <w:r>
        <w:t xml:space="preserve"> </w:t>
      </w:r>
      <w:r>
        <w:t xml:space="preserve">and flexibility cut emissions by 26 % compared with case 2. Keeping all three</w:t>
      </w:r>
      <w:r>
        <w:t xml:space="preserve"> </w:t>
      </w:r>
      <w:r>
        <w:t xml:space="preserve">main units in addition to the small one changes nothing (47.7 kt), because</w:t>
      </w:r>
      <w:r>
        <w:t xml:space="preserve"> </w:t>
      </w:r>
      <w:r>
        <w:t xml:space="preserve">the third main unit is never needed.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4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6"/>
    <w:bookmarkStart w:id="60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8" name="Picture"/>
            <a:graphic>
              <a:graphicData uri="http://schemas.openxmlformats.org/drawingml/2006/picture">
                <pic:pic>
                  <pic:nvPicPr>
                    <pic:cNvPr descr="results/paper/fig10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60"/>
    <w:bookmarkStart w:id="61" w:name="economic-indicators-1"/>
    <w:p>
      <w:pPr>
        <w:pStyle w:val="Heading3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avoided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value saved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Abatement cost [NOK/t], 7 % / 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farm, fixed demand (case 2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2,180–2,519 / 1,347–1,686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with flexibility (case 3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1,774–2,078 / 1,026–1,330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(case 3 vs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−1,799 before implementation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/ 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4 MW / 4 MWh (case 4 vs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−1,562 before battery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GT replacing one main GT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−1,786 before GT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[35], and close to the</w:t>
      </w:r>
      <w:r>
        <w:t xml:space="preserve"> </w:t>
      </w:r>
      <w:r>
        <w:t xml:space="preserve">2,000 NOK/t CO2 price targeted for 2030 [26].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61"/>
    <w:bookmarkStart w:id="65" w:name="weather-years"/>
    <w:p>
      <w:pPr>
        <w:pStyle w:val="Heading3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50.3–59.8 %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2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48.5–55.6 %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3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54.5–60.3 %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benefit, case 2 − 3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5.9–7.7 kt (10.5–11.7 %)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kt (11.1 %)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two GTs, case 2 / case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1,082–1,889 / 4–66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/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benefit, case 3 − 4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0.25–0.42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 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25.8–59.3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 h</w:t>
            </w:r>
          </w:p>
        </w:tc>
      </w:tr>
    </w:tbl>
    <w:p>
      <w:pPr>
        <w:pStyle w:val="BodyText"/>
      </w:pPr>
      <w:r>
        <w:t xml:space="preserve">The weather year changes the benefit of wind more than the benefit of</w:t>
      </w:r>
      <w:r>
        <w:t xml:space="preserve"> </w:t>
      </w:r>
      <w:r>
        <w:t xml:space="preserve">flexibility (Table 6, Fig. 9). Over the ten years the capacity factor of the</w:t>
      </w:r>
      <w:r>
        <w:t xml:space="preserve"> </w:t>
      </w:r>
      <w:r>
        <w:t xml:space="preserve">wind farm ranges from 50.3 % to 59.8 %, and 2023 is one of the calmer years.</w:t>
      </w:r>
      <w:r>
        <w:t xml:space="preserve"> </w:t>
      </w:r>
      <w:r>
        <w:t xml:space="preserve">The reduction with fixed demand (case 2) ranges from 48.5 % to 55.6 %. The</w:t>
      </w:r>
      <w:r>
        <w:t xml:space="preserve"> </w:t>
      </w:r>
      <w:r>
        <w:t xml:space="preserve">additional saving from flexibility is remarkably stable at 10.5–11.7 % of</w:t>
      </w:r>
      <w:r>
        <w:t xml:space="preserve"> </w:t>
      </w:r>
      <w:r>
        <w:t xml:space="preserve">case 2 emissions, or 5.9–7.7 kt/yr, and averages 11.0 %, almost exactly the</w:t>
      </w:r>
      <w:r>
        <w:t xml:space="preserve"> </w:t>
      </w:r>
      <w:r>
        <w:t xml:space="preserve">2023 value. In absolute terms it is largest in the calm years 2016, 2021 and</w:t>
      </w:r>
      <w:r>
        <w:t xml:space="preserve"> </w:t>
      </w:r>
      <w:r>
        <w:t xml:space="preserve">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no year loses production or leaves</w:t>
      </w:r>
      <w:r>
        <w:t xml:space="preserve"> </w:t>
      </w:r>
      <w:r>
        <w:t xml:space="preserve">demand unmet.</w:t>
      </w:r>
    </w:p>
    <w:p>
      <w:pPr>
        <w:pStyle w:val="BodyText"/>
      </w:pPr>
      <w:r>
        <w:t xml:space="preserve">The injection deficit varies more between years than the saving does. Its</w:t>
      </w:r>
      <w:r>
        <w:t xml:space="preserve"> </w:t>
      </w:r>
      <w:r>
        <w:t xml:space="preserve">maximum ranges from 26 to 59 h, below the 72 h limit in every year, and up</w:t>
      </w:r>
      <w:r>
        <w:t xml:space="preserve"> </w:t>
      </w:r>
      <w:r>
        <w:t xml:space="preserve">to 28 h remain to be caught up at the end of a year. In 2016 and 2017, the</w:t>
      </w:r>
      <w:r>
        <w:t xml:space="preserve"> </w:t>
      </w:r>
      <w:r>
        <w:t xml:space="preserve">years with the largest deficits, a limit of 24 h still captures 98 % of the</w:t>
      </w:r>
      <w:r>
        <w:t xml:space="preserve"> </w:t>
      </w:r>
      <w:r>
        <w:t xml:space="preserve">saving obtained with 72 h (58.4 against 58.3 kt in 2016, 52.7 against</w:t>
      </w:r>
      <w:r>
        <w:t xml:space="preserve"> </w:t>
      </w:r>
      <w:r>
        <w:t xml:space="preserve">52.6 kt in 2017). The conclusion that about one day of deferral is enough</w:t>
      </w:r>
      <w:r>
        <w:t xml:space="preserve"> </w:t>
      </w:r>
      <w:r>
        <w:t xml:space="preserve">therefore holds for all weather years tested.</w:t>
      </w:r>
    </w:p>
    <w:p>
      <w:pPr>
        <w:pStyle w:val="CaptionedFigure"/>
      </w:pPr>
      <w:r>
        <w:drawing>
          <wp:inline>
            <wp:extent cx="5334000" cy="2584515"/>
            <wp:effectExtent b="0" l="0" r="0" t="0"/>
            <wp:docPr descr="Fig. 9. Flexibility benefit (case 2 − case 3, bars) and wind capacity factor (line) for the weather years 2014–2023." title="" id="63" name="Picture"/>
            <a:graphic>
              <a:graphicData uri="http://schemas.openxmlformats.org/drawingml/2006/picture">
                <pic:pic>
                  <pic:nvPicPr>
                    <pic:cNvPr descr="results/paper/fig11_multi_yea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5"/>
    <w:bookmarkEnd w:id="66"/>
    <w:bookmarkStart w:id="72" w:name="discussion"/>
    <w:p>
      <w:pPr>
        <w:pStyle w:val="Heading2"/>
      </w:pPr>
      <w:r>
        <w:t xml:space="preserve">4 Discussion</w:t>
      </w:r>
    </w:p>
    <w:bookmarkStart w:id="67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almost all of it,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7"/>
    <w:bookmarkStart w:id="68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wind farm, in contrast, needs a CO2 price of</w:t>
      </w:r>
      <w:r>
        <w:t xml:space="preserve"> </w:t>
      </w:r>
      <w:r>
        <w:t xml:space="preserve">about 1,800–2,500 NOK/t to break even at a 7 % discount rate, the same order</w:t>
      </w:r>
      <w:r>
        <w:t xml:space="preserve"> </w:t>
      </w:r>
      <w:r>
        <w:t xml:space="preserve">as power from shore [3,35], and flexibility lowers this</w:t>
      </w:r>
      <w:r>
        <w:t xml:space="preserve"> </w:t>
      </w:r>
      <w:r>
        <w:t xml:space="preserve">threshold by about 400 NOK/t. Power from shore and wind both require large</w:t>
      </w:r>
      <w:r>
        <w:t xml:space="preserve"> </w:t>
      </w:r>
      <w:r>
        <w:t xml:space="preserve">investments, whereas the flexibility studied here requires mainly a change</w:t>
      </w:r>
      <w:r>
        <w:t xml:space="preserve"> </w:t>
      </w:r>
      <w:r>
        <w:t xml:space="preserve">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8"/>
    <w:bookmarkStart w:id="69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40 % with fixed demand and by 53 % with flexible</w:t>
      </w:r>
      <w:r>
        <w:t xml:space="preserve"> </w:t>
      </w:r>
      <w:r>
        <w:t xml:space="preserve">demand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9"/>
    <w:bookmarkStart w:id="70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70"/>
    <w:bookmarkStart w:id="71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ten weather years at one site and a single platform without</w:t>
      </w:r>
      <w:r>
        <w:t xml:space="preserve"> </w:t>
      </w:r>
      <w:r>
        <w:t xml:space="preserve">power import or export. The economic indicators rest on the cost of one first-of-a-kind</w:t>
      </w:r>
      <w:r>
        <w:t xml:space="preserve"> </w:t>
      </w:r>
      <w:r>
        <w:t xml:space="preserve">floating wind farm and do not include the cost of implementing flexibility,</w:t>
      </w:r>
      <w:r>
        <w:t xml:space="preserve"> </w:t>
      </w:r>
      <w:r>
        <w:t xml:space="preserve">the battery or the small GT on an existing platform, for which break-even</w:t>
      </w:r>
      <w:r>
        <w:t xml:space="preserve"> </w:t>
      </w:r>
      <w:r>
        <w:t xml:space="preserve">values are given instead.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errors, add pump</w:t>
      </w:r>
      <w:r>
        <w:t xml:space="preserve"> </w:t>
      </w:r>
      <w:r>
        <w:t xml:space="preserve">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71"/>
    <w:bookmarkEnd w:id="72"/>
    <w:bookmarkStart w:id="73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at hourly resolution</w:t>
      </w:r>
      <w:r>
        <w:t xml:space="preserve"> </w:t>
      </w:r>
      <w:r>
        <w:t xml:space="preserve">for ten weather years.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production, and by 10.5–11.7 % in each of ten</w:t>
      </w:r>
      <w:r>
        <w:t xml:space="preserve"> </w:t>
      </w:r>
      <w:r>
        <w:t xml:space="preserve">weather years.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price: flexibility</w:t>
      </w:r>
      <w:r>
        <w:t xml:space="preserve"> </w:t>
      </w:r>
      <w:r>
        <w:t xml:space="preserve">breaks even for an implementation cost up to 137 MNOK, and it lowers the</w:t>
      </w:r>
      <w:r>
        <w:t xml:space="preserve"> </w:t>
      </w:r>
      <w:r>
        <w:t xml:space="preserve">abatement cost of the wind farm from 2,180–2,519 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73"/>
    <w:bookmarkStart w:id="74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(2014–2023). [Funding.]</w: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p>
      <w:pPr>
        <w:pStyle w:val="BodyText"/>
      </w:pPr>
      <w:r>
        <w:t xml:space="preserve">[33] Dighe VV, Huang L-J, Hernandez Montfort J, Serraris J-J. Improving O&amp;M simulations by integrating vessel motions for floating wind farms. J Mar Sci Eng 2024;12(11):1948. https://doi.org/10.3390/jmse12111948.</w:t>
      </w:r>
    </w:p>
    <w:p>
      <w:pPr>
        <w:pStyle w:val="BodyText"/>
      </w:pPr>
      <w:r>
        <w:t xml:space="preserve">[34] Norwegian Petroleum Directorate.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odyText"/>
      </w:pPr>
      <w:r>
        <w:t xml:space="preserve">[35] Norwegian Offshore Directorate. New report about power from shore [news and report]. 2025. https://www.sodir.no/en/whats-new/news/general-news/2025/new-report-about-power-from-shore [accessed DATE].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2" Type="http://schemas.openxmlformats.org/officeDocument/2006/relationships/image" Target="media/rId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2026-10-28T07:23:21Z</dcterms:created>
  <dcterms:modified xsi:type="dcterms:W3CDTF">2026-10-28T07:23:21Z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