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58 % of the saving comes from avoiding a second running gas turbine</w:t>
      </w:r>
    </w:p>
    <w:p>
      <w:pPr>
        <w:numPr>
          <w:ilvl w:val="0"/>
          <w:numId w:val="1001"/>
        </w:numPr>
        <w:pStyle w:val="Compact"/>
      </w:pPr>
      <w:r>
        <w:t xml:space="preserve">The benefit doubles once demand exceeds one turbine’s rating minus reserve</w:t>
      </w:r>
    </w:p>
    <w:p>
      <w:pPr>
        <w:numPr>
          <w:ilvl w:val="0"/>
          <w:numId w:val="1001"/>
        </w:numPr>
        <w:pStyle w:val="Compact"/>
      </w:pPr>
      <w:r>
        <w:t xml:space="preserve">A persistence wind forecast keeps 94 % of the saving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2026-10-29T10:55:25Z</dcterms:created>
  <dcterms:modified xsi:type="dcterms:W3CDTF">2026-10-29T10:55:25Z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