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data, with postponed water injection as a virtual storage.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Over ten weather years the benefit</w:t>
      </w:r>
      <w:r>
        <w:t xml:space="preserve"> </w:t>
      </w:r>
      <w:r>
        <w:t xml:space="preserve">is 10.5–11.7 %. About 24 h of deferrable injection captures it, and a</w:t>
      </w:r>
      <w:r>
        <w:t xml:space="preserve"> </w:t>
      </w:r>
      <w:r>
        <w:t xml:space="preserve">small added gas turbine is complementary.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Petroleum activities account for about a quarter of Norway’s greenhouse gas</w:t>
      </w:r>
      <w:r>
        <w:t xml:space="preserve"> </w:t>
      </w:r>
      <w:r>
        <w:t xml:space="preserve">emissions [1]. Most of these emissions come from gas</w:t>
      </w:r>
      <w:r>
        <w:t xml:space="preserve"> </w:t>
      </w:r>
      <w:r>
        <w:t xml:space="preserve">turbines (GTs) that generate power and drive compressors offshore</w:t>
      </w:r>
      <w:r>
        <w:t xml:space="preserve"> </w:t>
      </w:r>
      <w:r>
        <w:t xml:space="preserve">[2]. Power from shore removes them where a cable is</w:t>
      </w:r>
      <w:r>
        <w:t xml:space="preserve"> </w:t>
      </w:r>
      <w:r>
        <w:t xml:space="preserve">feasible; the electrification projects planned in 2020 had abatement costs</w:t>
      </w:r>
      <w:r>
        <w:t xml:space="preserve"> </w:t>
      </w:r>
      <w:r>
        <w:t xml:space="preserve">below NOK 1,500 per tonne of CO2 [3], and the CO2 cost paid by</w:t>
      </w:r>
      <w:r>
        <w:t xml:space="preserve"> </w:t>
      </w:r>
      <w:r>
        <w:t xml:space="preserve">operators has since risen from about NOK 860 to NOK 1,860 per tonne</w:t>
      </w:r>
      <w:r>
        <w:t xml:space="preserve"> </w:t>
      </w:r>
      <w:r>
        <w:t xml:space="preserve">[4]. Many installations are too far from shore or too small for a</w:t>
      </w:r>
      <w:r>
        <w:t xml:space="preserve"> </w:t>
      </w:r>
      <w:r>
        <w:t xml:space="preserve">cable, however, or depend on onshore grid capacity that is needed elsewhere.</w:t>
      </w:r>
      <w:r>
        <w:t xml:space="preserve"> </w:t>
      </w:r>
      <w:r>
        <w:t xml:space="preserve">Operators have judged the alternatives to power from shore to be more costly</w:t>
      </w:r>
      <w:r>
        <w:t xml:space="preserve"> </w:t>
      </w:r>
      <w:r>
        <w:t xml:space="preserve">or less effective [4]. For those installations, the efficiency of</w:t>
      </w:r>
      <w:r>
        <w:t xml:space="preserve"> </w:t>
      </w:r>
      <w:r>
        <w:t xml:space="preserve">the offshore power plant still decides the emissions.</w:t>
      </w:r>
    </w:p>
    <w:p>
      <w:pPr>
        <w:pStyle w:val="BodyText"/>
      </w:pPr>
      <w:r>
        <w:t xml:space="preserve">Wind power connected directly to the platform grid has been studied for more</w:t>
      </w:r>
      <w:r>
        <w:t xml:space="preserve"> </w:t>
      </w:r>
      <w:r>
        <w:t xml:space="preserve">than a decade. He et al. [5] assessed the potential of integrating wind</w:t>
      </w:r>
      <w:r>
        <w:t xml:space="preserve"> </w:t>
      </w:r>
      <w:r>
        <w:t xml:space="preserve">power with offshore oil and gas platforms, and Marvik et al. [6]</w:t>
      </w:r>
      <w:r>
        <w:t xml:space="preserve"> </w:t>
      </w:r>
      <w:r>
        <w:t xml:space="preserve">studied the transient stability of a cluster of North Sea installations with</w:t>
      </w:r>
      <w:r>
        <w:t xml:space="preserve"> </w:t>
      </w:r>
      <w:r>
        <w:t xml:space="preserve">an integrated wind farm. Riboldi and Nord [7] optimised an</w:t>
      </w:r>
      <w:r>
        <w:t xml:space="preserve"> </w:t>
      </w:r>
      <w:r>
        <w:t xml:space="preserve">offshore combined-cycle plant with a wind farm and found that its economics</w:t>
      </w:r>
      <w:r>
        <w:t xml:space="preserve"> </w:t>
      </w:r>
      <w:r>
        <w:t xml:space="preserve">depend on gas and CO2 prices. Hywind Tampen, an 88 MW floating wind farm that</w:t>
      </w:r>
      <w:r>
        <w:t xml:space="preserve"> </w:t>
      </w:r>
      <w:r>
        <w:t xml:space="preserve">supplies five platforms, has operated since 2023; it is expected to cover</w:t>
      </w:r>
      <w:r>
        <w:t xml:space="preserve"> </w:t>
      </w:r>
      <w:r>
        <w:t xml:space="preserve">about 35 % of their electricity demand and to avoid about 200 kt of CO2 per</w:t>
      </w:r>
      <w:r>
        <w:t xml:space="preserve"> </w:t>
      </w:r>
      <w:r>
        <w:t xml:space="preserve">year [8].</w:t>
      </w:r>
    </w:p>
    <w:p>
      <w:pPr>
        <w:pStyle w:val="BodyText"/>
      </w:pPr>
      <w:r>
        <w:t xml:space="preserve">The fuel saved per MWh of wind is smaller on such a platform than on a large</w:t>
      </w:r>
      <w:r>
        <w:t xml:space="preserve"> </w:t>
      </w:r>
      <w:r>
        <w:t xml:space="preserve">grid. The wind turbines follow the grid frequency rather than set it, so at</w:t>
      </w:r>
      <w:r>
        <w:t xml:space="preserve"> </w:t>
      </w:r>
      <w:r>
        <w:t xml:space="preserve">least one GT must stay online, and the running GTs must hold enough spare</w:t>
      </w:r>
      <w:r>
        <w:t xml:space="preserve"> </w:t>
      </w:r>
      <w:r>
        <w:t xml:space="preserve">capacity to cover the loss of wind or of a generator. When wind supplies part</w:t>
      </w:r>
      <w:r>
        <w:t xml:space="preserve"> </w:t>
      </w:r>
      <w:r>
        <w:t xml:space="preserve">of the demand, the GTs run at part load. That is where they are least</w:t>
      </w:r>
      <w:r>
        <w:t xml:space="preserve"> </w:t>
      </w:r>
      <w:r>
        <w:t xml:space="preserve">efficient: the LEOGO reference turbine falls from about 35 % electric</w:t>
      </w:r>
      <w:r>
        <w:t xml:space="preserve"> </w:t>
      </w:r>
      <w:r>
        <w:t xml:space="preserve">efficiency at full load to below 20 % near its minimum stable load</w:t>
      </w:r>
      <w:r>
        <w:t xml:space="preserve"> </w:t>
      </w:r>
      <w:r>
        <w:t xml:space="preserve">[9]. Exergy analyses of North Sea platforms attribute 62–65 % of</w:t>
      </w:r>
      <w:r>
        <w:t xml:space="preserve"> </w:t>
      </w:r>
      <w:r>
        <w:t xml:space="preserve">the exergy destroyed on a platform to the gas turbines [10].</w:t>
      </w:r>
    </w:p>
    <w:p>
      <w:pPr>
        <w:pStyle w:val="BodyText"/>
      </w:pPr>
      <w:r>
        <w:t xml:space="preserve">Operational optimisation recovers part of this loss. The open-source tool</w:t>
      </w:r>
      <w:r>
        <w:t xml:space="preserve"> </w:t>
      </w:r>
      <w:r>
        <w:t xml:space="preserve">Oogeso optimises GT commitment, wind use and storage; with a battery</w:t>
      </w:r>
      <w:r>
        <w:t xml:space="preserve"> </w:t>
      </w:r>
      <w:r>
        <w:t xml:space="preserve">providing reserve, one turbine can be switched off and the others run at</w:t>
      </w:r>
      <w:r>
        <w:t xml:space="preserve"> </w:t>
      </w:r>
      <w:r>
        <w:t xml:space="preserve">higher load [11]. The LEOGO reference platform gives a common data</w:t>
      </w:r>
      <w:r>
        <w:t xml:space="preserve"> </w:t>
      </w:r>
      <w:r>
        <w:t xml:space="preserve">set for such studies [9]. Zhang et al. [12] plan</w:t>
      </w:r>
      <w:r>
        <w:t xml:space="preserve"> </w:t>
      </w:r>
      <w:r>
        <w:t xml:space="preserve">investments in offshore energy hubs under emission targets, and Khan et al.</w:t>
      </w:r>
      <w:r>
        <w:t xml:space="preserve"> </w:t>
      </w:r>
      <w:r>
        <w:t xml:space="preserve">[13] show that relaxing GT operating constraints lets a platform grid</w:t>
      </w:r>
      <w:r>
        <w:t xml:space="preserve"> </w:t>
      </w:r>
      <w:r>
        <w:t xml:space="preserve">absorb more wind. In all of these, the platform load is an input. Svendsen</w:t>
      </w:r>
      <w:r>
        <w:t xml:space="preserve"> </w:t>
      </w:r>
      <w:r>
        <w:t xml:space="preserve">[11] names demand-side flexibility as a way to reduce the need for</w:t>
      </w:r>
      <w:r>
        <w:t xml:space="preserve"> </w:t>
      </w:r>
      <w:r>
        <w:t xml:space="preserve">storage but leaves it for future work.</w:t>
      </w:r>
    </w:p>
    <w:p>
      <w:pPr>
        <w:pStyle w:val="BodyText"/>
      </w:pPr>
      <w:r>
        <w:t xml:space="preserve">Onshore, moving industrial loads in time is an established subject. Zhang and</w:t>
      </w:r>
      <w:r>
        <w:t xml:space="preserve"> </w:t>
      </w:r>
      <w:r>
        <w:t xml:space="preserve">Grossmann [14] review how energy-intensive production can</w:t>
      </w:r>
      <w:r>
        <w:t xml:space="preserve"> </w:t>
      </w:r>
      <w:r>
        <w:t xml:space="preserve">be scheduled around electricity prices, and Golmohamadi [15]</w:t>
      </w:r>
      <w:r>
        <w:t xml:space="preserve"> </w:t>
      </w:r>
      <w:r>
        <w:t xml:space="preserve">reviews demand-side management in heavy industries such as cement and</w:t>
      </w:r>
      <w:r>
        <w:t xml:space="preserve"> </w:t>
      </w:r>
      <w:r>
        <w:t xml:space="preserve">aluminium. These studies respond to price signals in a large grid. An</w:t>
      </w:r>
      <w:r>
        <w:t xml:space="preserve"> </w:t>
      </w:r>
      <w:r>
        <w:t xml:space="preserve">off-grid platform has no price signal. Moving a load is worth something only</w:t>
      </w:r>
      <w:r>
        <w:t xml:space="preserve"> </w:t>
      </w:r>
      <w:r>
        <w:t xml:space="preserve">through the platform’s own power plant, and the value is highly non-linear:</w:t>
      </w:r>
      <w:r>
        <w:t xml:space="preserve"> </w:t>
      </w:r>
      <w:r>
        <w:t xml:space="preserve">it depends on whether the change lets a GT stop, or avoids starting one.</w:t>
      </w:r>
    </w:p>
    <w:p>
      <w:pPr>
        <w:pStyle w:val="BodyText"/>
      </w:pPr>
      <w:r>
        <w:t xml:space="preserve">Platform loads are not fixed either. Water injection is one of the largest</w:t>
      </w:r>
      <w:r>
        <w:t xml:space="preserve"> </w:t>
      </w:r>
      <w:r>
        <w:t xml:space="preserve">consumers; on the platforms studied by Nguyen et al. [10] only gas</w:t>
      </w:r>
      <w:r>
        <w:t xml:space="preserve"> </w:t>
      </w:r>
      <w:r>
        <w:t xml:space="preserve">compression used more power. Injection can be postponed for hours as long as</w:t>
      </w:r>
      <w:r>
        <w:t xml:space="preserve"> </w:t>
      </w:r>
      <w:r>
        <w:t xml:space="preserve">the cumulative volume meets the reservoir’s needs, because reservoir pressure</w:t>
      </w:r>
      <w:r>
        <w:t xml:space="preserve"> </w:t>
      </w:r>
      <w:r>
        <w:t xml:space="preserve">responds slowly. Production can also be cut, but the lost revenue is large.</w:t>
      </w:r>
      <w:r>
        <w:t xml:space="preserve"> </w:t>
      </w:r>
      <w:r>
        <w:t xml:space="preserve">Utilities and safety systems must run at all times. How much of this</w:t>
      </w:r>
      <w:r>
        <w:t xml:space="preserve"> </w:t>
      </w:r>
      <w:r>
        <w:t xml:space="preserve">flexibility is usable depends on details that a fixed load profile hides:</w:t>
      </w:r>
      <w:r>
        <w:t xml:space="preserve"> </w:t>
      </w:r>
      <w:r>
        <w:t xml:space="preserve">parallel trains, minimum-flow recycle on compressors and pumps, ramp limits,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This paper asks how much fuel and CO2 a wind-powered oil platform can save by</w:t>
      </w:r>
      <w:r>
        <w:t xml:space="preserve"> </w:t>
      </w:r>
      <w:r>
        <w:t xml:space="preserve">scheduling these loads, which consumers provide the saving and through which</w:t>
      </w:r>
      <w:r>
        <w:t xml:space="preserve"> </w:t>
      </w:r>
      <w:r>
        <w:t xml:space="preserve">mechanism, and which assumptions decide its size. It contributes: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from a steady-state</w:t>
      </w:r>
      <w:r>
        <w:t xml:space="preserve"> </w:t>
      </w:r>
      <w:r>
        <w:t xml:space="preserve">process model, with the power of each consumer as a function of its</w:t>
      </w:r>
      <w:r>
        <w:t xml:space="preserve"> </w:t>
      </w:r>
      <w:r>
        <w:t xml:space="preserve">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in which postponed water injection is a virtual storage that</w:t>
      </w:r>
      <w:r>
        <w:t xml:space="preserve"> </w:t>
      </w:r>
      <w:r>
        <w:t xml:space="preserve">must be emptied again;</w:t>
      </w:r>
    </w:p>
    <w:p>
      <w:pPr>
        <w:numPr>
          <w:ilvl w:val="0"/>
          <w:numId w:val="1001"/>
        </w:numPr>
        <w:pStyle w:val="Compact"/>
      </w:pPr>
      <w:r>
        <w:t xml:space="preserve">a mixed-integer linear program that schedules the flexible consumers</w:t>
      </w:r>
      <w:r>
        <w:t xml:space="preserve"> </w:t>
      </w:r>
      <w:r>
        <w:t xml:space="preserve">together with GT commitment, wind use and an optional battery, hour by hour</w:t>
      </w:r>
      <w:r>
        <w:t xml:space="preserve"> </w:t>
      </w:r>
      <w:r>
        <w:t xml:space="preserve">over full years;</w:t>
      </w:r>
    </w:p>
    <w:p>
      <w:pPr>
        <w:numPr>
          <w:ilvl w:val="0"/>
          <w:numId w:val="1001"/>
        </w:numPr>
        <w:pStyle w:val="Compact"/>
      </w:pPr>
      <w:r>
        <w:t xml:space="preserve">results for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Section 2 describes the platform, models and cases, and Section 3 the</w:t>
      </w:r>
      <w:r>
        <w:t xml:space="preserve"> </w:t>
      </w:r>
      <w:r>
        <w:t xml:space="preserve">results. Section 4 discusses the mechanism, its practical use and the</w:t>
      </w:r>
      <w:r>
        <w:t xml:space="preserve"> </w:t>
      </w:r>
      <w:r>
        <w:t xml:space="preserve">limitations, and Section 5 concludes. The code, input data and all</w:t>
      </w:r>
      <w:r>
        <w:t xml:space="preserve"> </w:t>
      </w:r>
      <w:r>
        <w:t xml:space="preserve">parameters with their sources are openly available (see Data availability).</w:t>
      </w:r>
    </w:p>
    <w:bookmarkEnd w:id="22"/>
    <w:bookmarkStart w:id="34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1), with cases 1–4 repeated for the weather years</w:t>
      </w:r>
      <w:r>
        <w:t xml:space="preserve"> </w:t>
      </w:r>
      <w:r>
        <w:t xml:space="preserve">2014–2022.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X32654d3cd445301b7caaa64f301babd56c5bfd2"/>
    <w:p>
      <w:pPr>
        <w:pStyle w:val="Heading3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Start w:id="33" w:name="economic-indicators"/>
    <w:p>
      <w:pPr>
        <w:pStyle w:val="Heading3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  <m:r>
                <m:t>b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&amp;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Δ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[8],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[33].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[34],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3"/>
    <w:bookmarkEnd w:id="34"/>
    <w:bookmarkStart w:id="66" w:name="results"/>
    <w:p>
      <w:pPr>
        <w:pStyle w:val="Heading2"/>
      </w:pPr>
      <w:r>
        <w:t xml:space="preserve">3 Results</w:t>
      </w:r>
    </w:p>
    <w:bookmarkStart w:id="38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6" name="Picture"/>
            <a:graphic>
              <a:graphicData uri="http://schemas.openxmlformats.org/drawingml/2006/picture">
                <pic:pic>
                  <pic:nvPicPr>
                    <pic:cNvPr descr="results/paper/fig02_demand_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8"/>
    <w:bookmarkStart w:id="42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40" name="Picture"/>
            <a:graphic>
              <a:graphicData uri="http://schemas.openxmlformats.org/drawingml/2006/picture">
                <pic:pic>
                  <pic:nvPicPr>
                    <pic:cNvPr descr="results/paper/fig04_ca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2"/>
    <w:bookmarkStart w:id="52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4" name="Picture"/>
            <a:graphic>
              <a:graphicData uri="http://schemas.openxmlformats.org/drawingml/2006/picture">
                <pic:pic>
                  <pic:nvPicPr>
                    <pic:cNvPr descr="results/paper/fig05_example_wee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7" name="Picture"/>
            <a:graphic>
              <a:graphicData uri="http://schemas.openxmlformats.org/drawingml/2006/picture">
                <pic:pic>
                  <pic:nvPicPr>
                    <pic:cNvPr descr="results/paper/fig06_gt_load_du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50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2"/>
    <w:bookmarkStart w:id="56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matter, and several do not. Across CO2</w:t>
      </w:r>
      <w:r>
        <w:t xml:space="preserve"> </w:t>
      </w:r>
      <w:r>
        <w:t xml:space="preserve">prices of 0.5–3 NOK/kg and gas prices of 2–8 NOK/Sm³, emissions change by less</w:t>
      </w:r>
      <w:r>
        <w:t xml:space="preserve"> </w:t>
      </w:r>
      <w:r>
        <w:t xml:space="preserve">than 0.1 %. Prices scale the cost of every option alike, so the cheapest</w:t>
      </w:r>
      <w:r>
        <w:t xml:space="preserve"> </w:t>
      </w:r>
      <w:r>
        <w:t xml:space="preserve">schedule stays the cheapest. Deferring injection saves fuel at any price, and</w:t>
      </w:r>
      <w:r>
        <w:t xml:space="preserve"> </w:t>
      </w:r>
      <w:r>
        <w:t xml:space="preserve">shedding production never pays: lost oil and gas are worth about a hundred</w:t>
      </w:r>
      <w:r>
        <w:t xml:space="preserve"> </w:t>
      </w:r>
      <w:r>
        <w:t xml:space="preserve">times more than the fuel saved.</w:t>
      </w:r>
    </w:p>
    <w:p>
      <w:pPr>
        <w:pStyle w:val="BodyText"/>
      </w:pPr>
      <w:r>
        <w:t xml:space="preserve">The deferral capacity needed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3; 168 h changes nothing. A conservative reservoir</w:t>
      </w:r>
      <w:r>
        <w:t xml:space="preserve"> </w:t>
      </w:r>
      <w:r>
        <w:t xml:space="preserve">constraint would still capture the benefit.</w:t>
      </w:r>
    </w:p>
    <w:p>
      <w:pPr>
        <w:pStyle w:val="BodyText"/>
      </w:pPr>
      <w:r>
        <w:t xml:space="preserve">A larger wind farm helps less than its size suggests. Doubling the farm from</w:t>
      </w:r>
      <w:r>
        <w:t xml:space="preserve"> </w:t>
      </w:r>
      <w:r>
        <w:t xml:space="preserve">30 to 60 MW lowers case 3 emissions only from 57.5 to 50.9 kt, while</w:t>
      </w:r>
      <w:r>
        <w:t xml:space="preserve"> </w:t>
      </w:r>
      <w:r>
        <w:t xml:space="preserve">curtailment grows from 39 to 160 GWh: one GT must stay online, and in windy</w:t>
      </w:r>
      <w:r>
        <w:t xml:space="preserve"> </w:t>
      </w:r>
      <w:r>
        <w:t xml:space="preserve">hours the platform cannot use more wind. The value of flexibility (case 2</w:t>
      </w:r>
      <w:r>
        <w:t xml:space="preserve"> </w:t>
      </w:r>
      <w:r>
        <w:t xml:space="preserve">minus case 3) peaks at the base-case size (7.2 kt). It is 5.6 kt for a 15 MW</w:t>
      </w:r>
      <w:r>
        <w:t xml:space="preserve"> </w:t>
      </w:r>
      <w:r>
        <w:t xml:space="preserve">farm, where the wind seldom covers the demand, and 6.7–6.8 kt for 45–60 MW.</w:t>
      </w:r>
      <w:r>
        <w:t xml:space="preserve"> </w:t>
      </w:r>
      <w:r>
        <w:t xml:space="preserve">Batteries add little as long as one GT must stay online. The largest one</w:t>
      </w:r>
      <w:r>
        <w:t xml:space="preserve"> </w:t>
      </w:r>
      <w:r>
        <w:t xml:space="preserve">tested, 8 MW / 16 MWh, saves 1.1 kt (2 %).</w:t>
      </w:r>
    </w:p>
    <w:p>
      <w:pPr>
        <w:pStyle w:val="BodyText"/>
      </w:pPr>
      <w:r>
        <w:t xml:space="preserve">Two assumptions about GT operation matter more than any of these. If an</w:t>
      </w:r>
      <w:r>
        <w:t xml:space="preserve"> </w:t>
      </w:r>
      <w:r>
        <w:t xml:space="preserve">8 MW / 8 MWh battery could provide reserve and grid stability, so that all</w:t>
      </w:r>
      <w:r>
        <w:t xml:space="preserve"> </w:t>
      </w:r>
      <w:r>
        <w:t xml:space="preserve">GTs may stop, emissions would fall to 38.7 kt, 32 % below the same case with</w:t>
      </w:r>
      <w:r>
        <w:t xml:space="preserve"> </w:t>
      </w:r>
      <w:r>
        <w:t xml:space="preserve">one GT online. The GTs would then run only 3,798 unit-h and start 184 times a</w:t>
      </w:r>
      <w:r>
        <w:t xml:space="preserve"> </w:t>
      </w:r>
      <w:r>
        <w:t xml:space="preserve">year; only 11 GWh of wind would be curtailed, and the electric heater would</w:t>
      </w:r>
      <w:r>
        <w:t xml:space="preserve"> </w:t>
      </w:r>
      <w:r>
        <w:t xml:space="preserve">supply 15 GWh of heat in hours with no GT running. The opposite rule, two GTs</w:t>
      </w:r>
      <w:r>
        <w:t xml:space="preserve"> </w:t>
      </w:r>
      <w:r>
        <w:t xml:space="preserve">online whatever the wind, raises emissions to 90.7 kt in case 2 and 87.7 kt</w:t>
      </w:r>
      <w:r>
        <w:t xml:space="preserve"> </w:t>
      </w:r>
      <w:r>
        <w:t xml:space="preserve">in case 3. Flexibility then saves only 3.1 kt, all of it from lower</w:t>
      </w:r>
      <w:r>
        <w:t xml:space="preserve"> </w:t>
      </w:r>
      <w:r>
        <w:t xml:space="preserve">curtailment, because there is no second GT left to avoid.</w:t>
      </w:r>
    </w:p>
    <w:p>
      <w:pPr>
        <w:pStyle w:val="BodyText"/>
      </w:pPr>
      <w:r>
        <w:t xml:space="preserve">The fleet itself matters too. Replacing one main unit by a Solar Mars 100</w:t>
      </w:r>
      <w:r>
        <w:t xml:space="preserve"> </w:t>
      </w:r>
      <w:r>
        <w:t xml:space="preserve">(11.35 MW) lowers emissions from 64.7 to 53.9 kt with fixed demand (−17 %)</w:t>
      </w:r>
      <w:r>
        <w:t xml:space="preserve"> </w:t>
      </w:r>
      <w:r>
        <w:t xml:space="preserve">and from 57.5 to 47.8 kt with flexible demand. In windy hours the small unit</w:t>
      </w:r>
      <w:r>
        <w:t xml:space="preserve"> </w:t>
      </w:r>
      <w:r>
        <w:t xml:space="preserve">runs alone. Its no-load fuel is about half that of a main unit, and it can</w:t>
      </w:r>
      <w:r>
        <w:t xml:space="preserve"> </w:t>
      </w:r>
      <w:r>
        <w:t xml:space="preserve">carry up to 6.35 MW while holding the 5 MW reserve. Flexibility still saves</w:t>
      </w:r>
      <w:r>
        <w:t xml:space="preserve"> </w:t>
      </w:r>
      <w:r>
        <w:t xml:space="preserve">6.1 kt (11.3 %) with the small unit installed, and it cuts the small unit’s</w:t>
      </w:r>
      <w:r>
        <w:t xml:space="preserve"> </w:t>
      </w:r>
      <w:r>
        <w:t xml:space="preserve">starts from 465 to 262 per year. Combined, the small unit and flexibility</w:t>
      </w:r>
      <w:r>
        <w:t xml:space="preserve"> </w:t>
      </w:r>
      <w:r>
        <w:t xml:space="preserve">reduce emissions by 26 % relative to case 2. Adding the small unit to all</w:t>
      </w:r>
      <w:r>
        <w:t xml:space="preserve"> </w:t>
      </w:r>
      <w:r>
        <w:t xml:space="preserve">three main units instead gives 47.7 kt; the third main unit is never used.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4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6"/>
    <w:bookmarkStart w:id="60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8" name="Picture"/>
            <a:graphic>
              <a:graphicData uri="http://schemas.openxmlformats.org/drawingml/2006/picture">
                <pic:pic>
                  <pic:nvPicPr>
                    <pic:cNvPr descr="results/paper/fig10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60"/>
    <w:bookmarkStart w:id="61" w:name="economic-indicators-1"/>
    <w:p>
      <w:pPr>
        <w:pStyle w:val="Heading3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avoided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value saved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Abatement cost [NOK/t], 7 % / 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farm, fixed demand (case 2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2,180–2,519 / 1,347–1,686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with flexibility (case 3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1,774–2,078 / 1,026–1,330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(case 3 vs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−1,799 before implementation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/ 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4 MW / 4 MWh (case 4 vs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−1,562 before battery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GT replacing one main GT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−1,786 before GT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[35], and close to the</w:t>
      </w:r>
      <w:r>
        <w:t xml:space="preserve"> </w:t>
      </w:r>
      <w:r>
        <w:t xml:space="preserve">2,000 NOK/t CO2 price targeted for 2030 [26].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61"/>
    <w:bookmarkStart w:id="65" w:name="weather-years"/>
    <w:p>
      <w:pPr>
        <w:pStyle w:val="Heading3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50.3–59.8 %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2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48.5–55.6 %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3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54.5–60.3 %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benefit, case 2 − 3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5.9–7.7 kt (10.5–11.7 %)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kt (11.1 %)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two GTs, case 2 / case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1,082–1,889 / 4–66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/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benefit, case 3 − 4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0.25–0.42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 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25.8–59.3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 h</w:t>
            </w:r>
          </w:p>
        </w:tc>
      </w:tr>
    </w:tbl>
    <w:p>
      <w:pPr>
        <w:pStyle w:val="BodyText"/>
      </w:pPr>
      <w:r>
        <w:t xml:space="preserve">The weather year changes the benefit of wind more than the benefit of</w:t>
      </w:r>
      <w:r>
        <w:t xml:space="preserve"> </w:t>
      </w:r>
      <w:r>
        <w:t xml:space="preserve">flexibility (Table 6, Fig. 9). Over the ten years the capacity factor of the</w:t>
      </w:r>
      <w:r>
        <w:t xml:space="preserve"> </w:t>
      </w:r>
      <w:r>
        <w:t xml:space="preserve">wind farm ranges from 50.3 % to 59.8 %, and 2023 is one of the calmer years.</w:t>
      </w:r>
      <w:r>
        <w:t xml:space="preserve"> </w:t>
      </w:r>
      <w:r>
        <w:t xml:space="preserve">The reduction with fixed demand (case 2) ranges from 48.5 % to 55.6 %. The</w:t>
      </w:r>
      <w:r>
        <w:t xml:space="preserve"> </w:t>
      </w:r>
      <w:r>
        <w:t xml:space="preserve">additional saving from flexibility is remarkably stable at 10.5–11.7 % of</w:t>
      </w:r>
      <w:r>
        <w:t xml:space="preserve"> </w:t>
      </w:r>
      <w:r>
        <w:t xml:space="preserve">case 2 emissions, or 5.9–7.7 kt/yr, and averages 11.0 %, almost exactly the</w:t>
      </w:r>
      <w:r>
        <w:t xml:space="preserve"> </w:t>
      </w:r>
      <w:r>
        <w:t xml:space="preserve">2023 value. In absolute terms it is largest in the calm years 2016, 2021 and</w:t>
      </w:r>
      <w:r>
        <w:t xml:space="preserve"> </w:t>
      </w:r>
      <w:r>
        <w:t xml:space="preserve">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no year loses production or leaves</w:t>
      </w:r>
      <w:r>
        <w:t xml:space="preserve"> </w:t>
      </w:r>
      <w:r>
        <w:t xml:space="preserve">demand unmet.</w:t>
      </w:r>
    </w:p>
    <w:p>
      <w:pPr>
        <w:pStyle w:val="BodyText"/>
      </w:pPr>
      <w:r>
        <w:t xml:space="preserve">The injection deficit varies more between years than the saving does. Its</w:t>
      </w:r>
      <w:r>
        <w:t xml:space="preserve"> </w:t>
      </w:r>
      <w:r>
        <w:t xml:space="preserve">maximum ranges from 26 to 59 h, below the 72 h limit in every year, and up</w:t>
      </w:r>
      <w:r>
        <w:t xml:space="preserve"> </w:t>
      </w:r>
      <w:r>
        <w:t xml:space="preserve">to 28 h remain to be caught up at the end of a year. In 2016 and 2017, the</w:t>
      </w:r>
      <w:r>
        <w:t xml:space="preserve"> </w:t>
      </w:r>
      <w:r>
        <w:t xml:space="preserve">years with the largest deficits, a limit of 24 h still captures 98 % of the</w:t>
      </w:r>
      <w:r>
        <w:t xml:space="preserve"> </w:t>
      </w:r>
      <w:r>
        <w:t xml:space="preserve">saving obtained with 72 h (58.4 against 58.3 kt in 2016, 52.7 against</w:t>
      </w:r>
      <w:r>
        <w:t xml:space="preserve"> </w:t>
      </w:r>
      <w:r>
        <w:t xml:space="preserve">52.6 kt in 2017). The conclusion that about one day of deferral is enough</w:t>
      </w:r>
      <w:r>
        <w:t xml:space="preserve"> </w:t>
      </w:r>
      <w:r>
        <w:t xml:space="preserve">holds for all weather years tested.</w:t>
      </w:r>
    </w:p>
    <w:p>
      <w:pPr>
        <w:pStyle w:val="CaptionedFigure"/>
      </w:pPr>
      <w:r>
        <w:drawing>
          <wp:inline>
            <wp:extent cx="5334000" cy="2584515"/>
            <wp:effectExtent b="0" l="0" r="0" t="0"/>
            <wp:docPr descr="Fig. 9. Flexibility benefit (case 2 − case 3, bars) and wind capacity factor (line) for the weather years 2014–2023." title="" id="63" name="Picture"/>
            <a:graphic>
              <a:graphicData uri="http://schemas.openxmlformats.org/drawingml/2006/picture">
                <pic:pic>
                  <pic:nvPicPr>
                    <pic:cNvPr descr="results/paper/fig11_multi_yea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5"/>
    <w:bookmarkEnd w:id="66"/>
    <w:bookmarkStart w:id="72" w:name="discussion"/>
    <w:p>
      <w:pPr>
        <w:pStyle w:val="Heading2"/>
      </w:pPr>
      <w:r>
        <w:t xml:space="preserve">4 Discussion</w:t>
      </w:r>
    </w:p>
    <w:bookmarkStart w:id="67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unit commitment, not through energy</w:t>
      </w:r>
      <w:r>
        <w:t xml:space="preserve"> </w:t>
      </w:r>
      <w:r>
        <w:t xml:space="preserve">shifting. A GT held at low load for reserve still burns a large share of its</w:t>
      </w:r>
      <w:r>
        <w:t xml:space="preserve"> </w:t>
      </w:r>
      <w:r>
        <w:t xml:space="preserve">full-load fuel, so the costly hours are those in which the wind is just too</w:t>
      </w:r>
      <w:r>
        <w:t xml:space="preserve"> </w:t>
      </w:r>
      <w:r>
        <w:t xml:space="preserve">weak for one turbine to carry the load with 5 MW in reserve. Deferring</w:t>
      </w:r>
      <w:r>
        <w:t xml:space="preserve"> </w:t>
      </w:r>
      <w:r>
        <w:t xml:space="preserve">injection in those hours keeps the second turbine off. Three results of</w:t>
      </w:r>
      <w:r>
        <w:t xml:space="preserve"> </w:t>
      </w:r>
      <w:r>
        <w:t xml:space="preserve">Section 3 follow from this. Most of the saving comes from the 1,674 avoided</w:t>
      </w:r>
      <w:r>
        <w:t xml:space="preserve"> </w:t>
      </w:r>
      <w:r>
        <w:t xml:space="preserve">hours with two GTs online. About one day of deficit capacity captures almost</w:t>
      </w:r>
      <w:r>
        <w:t xml:space="preserve"> </w:t>
      </w:r>
      <w:r>
        <w:t xml:space="preserve">all of it, since these hours come in short spells between windy periods. And</w:t>
      </w:r>
      <w:r>
        <w:t xml:space="preserve"> </w:t>
      </w:r>
      <w:r>
        <w:t xml:space="preserve">the saving largely disappears under rules that keep two GTs online anyway.</w:t>
      </w:r>
    </w:p>
    <w:p>
      <w:pPr>
        <w:pStyle w:val="BodyText"/>
      </w:pPr>
      <w:r>
        <w:t xml:space="preserve">Shifting energy alone does little. Curtailment falls by only 13 %: one GT</w:t>
      </w:r>
      <w:r>
        <w:t xml:space="preserve"> </w:t>
      </w:r>
      <w:r>
        <w:t xml:space="preserve">must stay online, and a 30 MW farm often produces more than the platform can</w:t>
      </w:r>
      <w:r>
        <w:t xml:space="preserve"> </w:t>
      </w:r>
      <w:r>
        <w:t xml:space="preserve">use even with injection at full rate. The same reason explains why the value</w:t>
      </w:r>
      <w:r>
        <w:t xml:space="preserve"> </w:t>
      </w:r>
      <w:r>
        <w:t xml:space="preserve">of flexibility does not grow with the wind farm. A larger farm covers the</w:t>
      </w:r>
      <w:r>
        <w:t xml:space="preserve"> </w:t>
      </w:r>
      <w:r>
        <w:t xml:space="preserve">demand more often, so a second GT is needed in fewer hours, and the extra</w:t>
      </w:r>
      <w:r>
        <w:t xml:space="preserve"> </w:t>
      </w:r>
      <w:r>
        <w:t xml:space="preserve">wind in windy hours cannot be absorbed. Flexibility is worth most when the</w:t>
      </w:r>
      <w:r>
        <w:t xml:space="preserve"> </w:t>
      </w:r>
      <w:r>
        <w:t xml:space="preserve">wind farm is of the same order as the platform demand, as in the base case</w:t>
      </w:r>
      <w:r>
        <w:t xml:space="preserve"> </w:t>
      </w:r>
      <w:r>
        <w:t xml:space="preserve">and at Hywind 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a turbine</w:t>
      </w:r>
      <w:r>
        <w:t xml:space="preserve"> </w:t>
      </w:r>
      <w:r>
        <w:t xml:space="preserve">idling near minimum load. The large saving (38.7 kt, −32 %) appears only</w:t>
      </w:r>
      <w:r>
        <w:t xml:space="preserve"> </w:t>
      </w:r>
      <w:r>
        <w:t xml:space="preserve">when the battery, or grid-forming wind turbines, can replace the last running</w:t>
      </w:r>
      <w:r>
        <w:t xml:space="preserve"> </w:t>
      </w:r>
      <w:r>
        <w:t xml:space="preserve">GT. Svendsen [11] found the same for a battery that provides</w:t>
      </w:r>
      <w:r>
        <w:t xml:space="preserve"> </w:t>
      </w:r>
      <w:r>
        <w:t xml:space="preserve">reserve. What the present results add is that process flexibility gives much</w:t>
      </w:r>
      <w:r>
        <w:t xml:space="preserve"> </w:t>
      </w:r>
      <w:r>
        <w:t xml:space="preserve">of this benefit without new equipment, because both measures reduce the</w:t>
      </w:r>
      <w:r>
        <w:t xml:space="preserve"> </w:t>
      </w:r>
      <w:r>
        <w:t xml:space="preserve">number of GTs that must be online.</w:t>
      </w:r>
    </w:p>
    <w:p>
      <w:pPr>
        <w:pStyle w:val="BodyText"/>
      </w:pPr>
      <w:r>
        <w:t xml:space="preserve">A small GT works on a different part of the loss. It does not reduce the</w:t>
      </w:r>
      <w:r>
        <w:t xml:space="preserve"> </w:t>
      </w:r>
      <w:r>
        <w:t xml:space="preserve">number of running units; it reduces the no-load fuel of the one that runs.</w:t>
      </w:r>
      <w:r>
        <w:t xml:space="preserve"> </w:t>
      </w:r>
      <w:r>
        <w:t xml:space="preserve">That is why its saving adds almost fully to that of flexibility (Section 3.4).</w:t>
      </w:r>
      <w:r>
        <w:t xml:space="preserve"> </w:t>
      </w:r>
      <w:r>
        <w:t xml:space="preserve">A retrofit could proceed in stages: use the flexibility of the existing</w:t>
      </w:r>
      <w:r>
        <w:t xml:space="preserve"> </w:t>
      </w:r>
      <w:r>
        <w:t xml:space="preserve">process first, at no investment, and consider replacing one main GT by a</w:t>
      </w:r>
      <w:r>
        <w:t xml:space="preserve"> </w:t>
      </w:r>
      <w:r>
        <w:t xml:space="preserve">smaller unit at its next major overhaul, if the small unit tolerates about</w:t>
      </w:r>
      <w:r>
        <w:t xml:space="preserve"> </w:t>
      </w:r>
      <w:r>
        <w:t xml:space="preserve">260 starts a year.</w:t>
      </w:r>
    </w:p>
    <w:bookmarkEnd w:id="67"/>
    <w:bookmarkStart w:id="68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is case 2 here. That understates what the same wind farm can</w:t>
      </w:r>
      <w:r>
        <w:t xml:space="preserve"> </w:t>
      </w:r>
      <w:r>
        <w:t xml:space="preserve">do: with fixed demand, emissions are 12 % higher than when the platform</w:t>
      </w:r>
      <w:r>
        <w:t xml:space="preserve"> </w:t>
      </w:r>
      <w:r>
        <w:t xml:space="preserve">schedules its flexible loads. The CO2 avoided per MWh of wind, the usual</w:t>
      </w:r>
      <w:r>
        <w:t xml:space="preserve"> </w:t>
      </w:r>
      <w:r>
        <w:t xml:space="preserve">metric for wind integration, is 0.71 t/MWh in case 2, 0.74 t/MWh in case 3,</w:t>
      </w:r>
      <w:r>
        <w:t xml:space="preserve"> </w:t>
      </w:r>
      <w:r>
        <w:t xml:space="preserve">and 0.51 t/MWh if two GTs are kept online. Values reported for different</w:t>
      </w:r>
      <w:r>
        <w:t xml:space="preserve"> </w:t>
      </w:r>
      <w:r>
        <w:t xml:space="preserve">platforms can only be compared if the GT operating practice behind them is</w:t>
      </w:r>
      <w:r>
        <w:t xml:space="preserve"> </w:t>
      </w:r>
      <w:r>
        <w:t xml:space="preserve">stated.</w:t>
      </w:r>
    </w:p>
    <w:p>
      <w:pPr>
        <w:pStyle w:val="BodyText"/>
      </w:pPr>
      <w:r>
        <w:t xml:space="preserve">The economics also differ from those of wind. Riboldi and Nord</w:t>
      </w:r>
      <w:r>
        <w:t xml:space="preserve"> </w:t>
      </w:r>
      <w:r>
        <w:t xml:space="preserve">[7] found that integrating wind pays only with favourable gas and</w:t>
      </w:r>
      <w:r>
        <w:t xml:space="preserve"> </w:t>
      </w:r>
      <w:r>
        <w:t xml:space="preserve">CO2 prices. Flexibility needs no investment in power generation, its schedule</w:t>
      </w:r>
      <w:r>
        <w:t xml:space="preserve"> </w:t>
      </w:r>
      <w:r>
        <w:t xml:space="preserve">does not depend on prices, and the fuel it saves is worth about 1,800 NOK per</w:t>
      </w:r>
      <w:r>
        <w:t xml:space="preserve"> </w:t>
      </w:r>
      <w:r>
        <w:t xml:space="preserve">tonne of CO2 avoided at the base-case gas price alone. It pays without any</w:t>
      </w:r>
      <w:r>
        <w:t xml:space="preserve"> </w:t>
      </w:r>
      <w:r>
        <w:t xml:space="preserve">carbon price, which matters in regions where emissions are not priced. The</w:t>
      </w:r>
      <w:r>
        <w:t xml:space="preserve"> </w:t>
      </w:r>
      <w:r>
        <w:t xml:space="preserve">wind farm, by comparison, needs about 1,800–2,500 NOK/t at a 7 % discount</w:t>
      </w:r>
      <w:r>
        <w:t xml:space="preserve"> </w:t>
      </w:r>
      <w:r>
        <w:t xml:space="preserve">rate to break even, the same order as power from shore</w:t>
      </w:r>
      <w:r>
        <w:t xml:space="preserve"> </w:t>
      </w:r>
      <w:r>
        <w:t xml:space="preserve">[3,35]; flexibility lowers this by about 400 NOK/t.</w:t>
      </w:r>
    </w:p>
    <w:p>
      <w:pPr>
        <w:pStyle w:val="BodyText"/>
      </w:pPr>
      <w:r>
        <w:t xml:space="preserve">The comparison with onshore demand response is less direct than it may seem.</w:t>
      </w:r>
      <w:r>
        <w:t xml:space="preserve"> </w:t>
      </w:r>
      <w:r>
        <w:t xml:space="preserve">Industrial studies respond to electricity prices</w:t>
      </w:r>
      <w:r>
        <w:t xml:space="preserve"> </w:t>
      </w:r>
      <w:r>
        <w:t xml:space="preserve">[14,15]. On an off-grid platform the value of</w:t>
      </w:r>
      <w:r>
        <w:t xml:space="preserve"> </w:t>
      </w:r>
      <w:r>
        <w:t xml:space="preserve">a load shift comes from discrete decisions of the platform’s own power</w:t>
      </w:r>
      <w:r>
        <w:t xml:space="preserve"> </w:t>
      </w:r>
      <w:r>
        <w:t xml:space="preserve">plant, whether a GT must start or can stop. The value therefore depends on</w:t>
      </w:r>
      <w:r>
        <w:t xml:space="preserve"> </w:t>
      </w:r>
      <w:r>
        <w:t xml:space="preserve">the state of the system hour by hour, and a model of energy shifting alone,</w:t>
      </w:r>
      <w:r>
        <w:t xml:space="preserve"> </w:t>
      </w:r>
      <w:r>
        <w:t xml:space="preserve">without unit commitment, would miss most of it.</w:t>
      </w:r>
    </w:p>
    <w:bookmarkEnd w:id="68"/>
    <w:bookmarkStart w:id="69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For operators, the first point is that this flexibility already exists on</w:t>
      </w:r>
      <w:r>
        <w:t xml:space="preserve"> </w:t>
      </w:r>
      <w:r>
        <w:t xml:space="preserve">most oil platforms with water injection. Using it needs no new equipment, but</w:t>
      </w:r>
      <w:r>
        <w:t xml:space="preserve"> </w:t>
      </w:r>
      <w:r>
        <w:t xml:space="preserve">it does need a power management system that coordinates injection with the</w:t>
      </w:r>
      <w:r>
        <w:t xml:space="preserve"> </w:t>
      </w:r>
      <w:r>
        <w:t xml:space="preserve">GTs and a wind forecast; today these are usually controlled separately.</w:t>
      </w:r>
    </w:p>
    <w:p>
      <w:pPr>
        <w:pStyle w:val="BodyText"/>
      </w:pPr>
      <w:r>
        <w:t xml:space="preserve">The reservoir requirement is modest. About 24 h of deferral, averaging 9.0 h,</w:t>
      </w:r>
      <w:r>
        <w:t xml:space="preserve"> </w:t>
      </w:r>
      <w:r>
        <w:t xml:space="preserve">is short compared with the months over which voidage replacement is normally</w:t>
      </w:r>
      <w:r>
        <w:t xml:space="preserve"> </w:t>
      </w:r>
      <w:r>
        <w:t xml:space="preserve">managed. It still has to be confirmed for each field. A reservoir close to</w:t>
      </w:r>
      <w:r>
        <w:t xml:space="preserve"> </w:t>
      </w:r>
      <w:r>
        <w:t xml:space="preserve">its bubble point, for example, may not accept even short pressure drops.</w:t>
      </w:r>
    </w:p>
    <w:p>
      <w:pPr>
        <w:pStyle w:val="BodyText"/>
      </w:pPr>
      <w:r>
        <w:t xml:space="preserve">The schedule also changes the duty of the injection pumps. In case 3 the</w:t>
      </w:r>
      <w:r>
        <w:t xml:space="preserve"> </w:t>
      </w:r>
      <w:r>
        <w:t xml:space="preserve">number of running pumps changes about 730 times a year, roughly two starts</w:t>
      </w:r>
      <w:r>
        <w:t xml:space="preserve"> </w:t>
      </w:r>
      <w:r>
        <w:t xml:space="preserve">per day, and the model does not penalise this. A start cost or a minimum run</w:t>
      </w:r>
      <w:r>
        <w:t xml:space="preserve"> </w:t>
      </w:r>
      <w:r>
        <w:t xml:space="preserve">time would probably cost little of the saving, because the deficit limit is</w:t>
      </w:r>
      <w:r>
        <w:t xml:space="preserve"> </w:t>
      </w:r>
      <w:r>
        <w:t xml:space="preserve">rarely reached; this has not been tested.</w:t>
      </w:r>
    </w:p>
    <w:p>
      <w:pPr>
        <w:pStyle w:val="BodyText"/>
      </w:pPr>
      <w:r>
        <w:t xml:space="preserve">Operating practice deserves at least as much attention as hardware. How many</w:t>
      </w:r>
      <w:r>
        <w:t xml:space="preserve"> </w:t>
      </w:r>
      <w:r>
        <w:t xml:space="preserve">GTs must be online, and what counts as reserve, affects emissions more than</w:t>
      </w:r>
      <w:r>
        <w:t xml:space="preserve"> </w:t>
      </w:r>
      <w:r>
        <w:t xml:space="preserve">any price or the battery size. Rules that keep two GTs online for redundancy</w:t>
      </w:r>
      <w:r>
        <w:t xml:space="preserve"> </w:t>
      </w:r>
      <w:r>
        <w:t xml:space="preserve">raise emissions by 40 % with fixed demand and by 53 % with flexible demand,</w:t>
      </w:r>
      <w:r>
        <w:t xml:space="preserve"> </w:t>
      </w:r>
      <w:r>
        <w:t xml:space="preserve">and they remove most of the value of flexibility. Such rules exist for good</w:t>
      </w:r>
      <w:r>
        <w:t xml:space="preserve"> </w:t>
      </w:r>
      <w:r>
        <w:t xml:space="preserve">reasons of safety and regularity. Changing them requires a technical case,</w:t>
      </w:r>
      <w:r>
        <w:t xml:space="preserve"> </w:t>
      </w:r>
      <w:r>
        <w:t xml:space="preserve">for instance grid-forming batteries that can provide reserve and stability</w:t>
      </w:r>
      <w:r>
        <w:t xml:space="preserve"> </w:t>
      </w:r>
      <w:r>
        <w:t xml:space="preserve">without a running GT, and that is the logical next step after demand</w:t>
      </w:r>
      <w:r>
        <w:t xml:space="preserve"> </w:t>
      </w:r>
      <w:r>
        <w:t xml:space="preserve">flexibility.</w:t>
      </w:r>
    </w:p>
    <w:p>
      <w:pPr>
        <w:pStyle w:val="BodyText"/>
      </w:pPr>
      <w:r>
        <w:t xml:space="preserve">The approach should transfer to other installations, with caveats. A</w:t>
      </w:r>
      <w:r>
        <w:t xml:space="preserve"> </w:t>
      </w:r>
      <w:r>
        <w:t xml:space="preserve">platform gains most when it has a large deferrable consumer, an average</w:t>
      </w:r>
      <w:r>
        <w:t xml:space="preserve"> </w:t>
      </w:r>
      <w:r>
        <w:t xml:space="preserve">demand close to the capacity of one GT minus the reserve, and a wind supply</w:t>
      </w:r>
      <w:r>
        <w:t xml:space="preserve"> </w:t>
      </w:r>
      <w:r>
        <w:t xml:space="preserve">of the same order as its demand. On other installation types, gas export</w:t>
      </w:r>
      <w:r>
        <w:t xml:space="preserve"> </w:t>
      </w:r>
      <w:r>
        <w:t xml:space="preserve">compression, electric heating and the regeneration of glycol or other</w:t>
      </w:r>
      <w:r>
        <w:t xml:space="preserve"> </w:t>
      </w:r>
      <w:r>
        <w:t xml:space="preserve">process chemicals could be deferrable, but only where buffer storage such as</w:t>
      </w:r>
      <w:r>
        <w:t xml:space="preserve"> </w:t>
      </w:r>
      <w:r>
        <w:t xml:space="preserve">line pack or tank volume exists.</w:t>
      </w:r>
    </w:p>
    <w:bookmarkEnd w:id="69"/>
    <w:bookmarkStart w:id="70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Not every assumption was varied, so it helps to trace how the untested ones</w:t>
      </w:r>
      <w:r>
        <w:t xml:space="preserve"> </w:t>
      </w:r>
      <w:r>
        <w:t xml:space="preserve">act through the mechanism above. What decides the saving is the number of</w:t>
      </w:r>
      <w:r>
        <w:t xml:space="preserve"> </w:t>
      </w:r>
      <w:r>
        <w:t xml:space="preserve">hours in which, at fixed demand, the platform runs one GT more than its load</w:t>
      </w:r>
      <w:r>
        <w:t xml:space="preserve"> </w:t>
      </w:r>
      <w:r>
        <w:t xml:space="preserve">requires. That number rises with the reserve requirement, with the demand</w:t>
      </w:r>
      <w:r>
        <w:t xml:space="preserve"> </w:t>
      </w:r>
      <w:r>
        <w:t xml:space="preserve">relative to the capacity of one GT, and with the time the wind spends just</w:t>
      </w:r>
      <w:r>
        <w:t xml:space="preserve"> </w:t>
      </w:r>
      <w:r>
        <w:t xml:space="preserve">below the demand. A reserve larger than 5 MW, or a platform whose demand is</w:t>
      </w:r>
      <w:r>
        <w:t xml:space="preserve"> </w:t>
      </w:r>
      <w:r>
        <w:t xml:space="preserve">closer to one GT’s rating, should make flexibility more valuable. Much spare</w:t>
      </w:r>
      <w:r>
        <w:t xml:space="preserve"> </w:t>
      </w:r>
      <w:r>
        <w:t xml:space="preserve">GT capacity, or a wind farm far larger than the demand, should make it less</w:t>
      </w:r>
      <w:r>
        <w:t xml:space="preserve"> </w:t>
      </w:r>
      <w:r>
        <w:t xml:space="preserve">valuable; the wind farm sensitivity shows the latter.</w:t>
      </w:r>
    </w:p>
    <w:p>
      <w:pPr>
        <w:pStyle w:val="BodyText"/>
      </w:pPr>
      <w:r>
        <w:t xml:space="preserve">The flexible load matters less than its size suggests. Injection is cut by</w:t>
      </w:r>
      <w:r>
        <w:t xml:space="preserve"> </w:t>
      </w:r>
      <w:r>
        <w:t xml:space="preserve">stopping whole pumps, so the assumed minimum pump flow changes the cost of</w:t>
      </w:r>
      <w:r>
        <w:t xml:space="preserve"> </w:t>
      </w:r>
      <w:r>
        <w:t xml:space="preserve">running one pump at low rate but hardly the saving. The injection target</w:t>
      </w:r>
      <w:r>
        <w:t xml:space="preserve"> </w:t>
      </w:r>
      <w:r>
        <w:t xml:space="preserve">matters more. A lower target leaves more room for catching up; at a 100 %</w:t>
      </w:r>
      <w:r>
        <w:t xml:space="preserve"> </w:t>
      </w:r>
      <w:r>
        <w:t xml:space="preserve">target, deferred injection could never be caught up and the flexibility</w:t>
      </w:r>
      <w:r>
        <w:t xml:space="preserve"> </w:t>
      </w:r>
      <w:r>
        <w:t xml:space="preserve">would vanish. The heat balance never bound in the base cases, since the waste</w:t>
      </w:r>
      <w:r>
        <w:t xml:space="preserve"> </w:t>
      </w:r>
      <w:r>
        <w:t xml:space="preserve">heat of the running GT always covered the 3 MW demand. A platform with a</w:t>
      </w:r>
      <w:r>
        <w:t xml:space="preserve"> </w:t>
      </w:r>
      <w:r>
        <w:t xml:space="preserve">larger heat demand, or one that relies on the heat of the GTs to be stopped,</w:t>
      </w:r>
      <w:r>
        <w:t xml:space="preserve"> </w:t>
      </w:r>
      <w:r>
        <w:t xml:space="preserve">would save less unless its heat can be scheduled too.</w:t>
      </w:r>
    </w:p>
    <w:p>
      <w:pPr>
        <w:pStyle w:val="BodyText"/>
      </w:pPr>
      <w:r>
        <w:t xml:space="preserve">That production should never be shed is the most robust result. Lost oil and</w:t>
      </w:r>
      <w:r>
        <w:t xml:space="preserve"> </w:t>
      </w:r>
      <w:r>
        <w:t xml:space="preserve">gas are worth about a hundred times more than the fuel saved; no plausible</w:t>
      </w:r>
      <w:r>
        <w:t xml:space="preserve"> </w:t>
      </w:r>
      <w:r>
        <w:t xml:space="preserve">change in prices or efficiencies reverses that.</w:t>
      </w:r>
    </w:p>
    <w:bookmarkEnd w:id="70"/>
    <w:bookmarkStart w:id="71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generic: fluid composition, minimum-flow limits, injection</w:t>
      </w:r>
      <w:r>
        <w:t xml:space="preserve"> </w:t>
      </w:r>
      <w:r>
        <w:t xml:space="preserve">target and deficit limit are assumed, although the result is insensitive to</w:t>
      </w:r>
      <w:r>
        <w:t xml:space="preserve"> </w:t>
      </w:r>
      <w:r>
        <w:t xml:space="preserve">the deficit limit, the prices and the battery size. The process is</w:t>
      </w:r>
      <w:r>
        <w:t xml:space="preserve"> </w:t>
      </w:r>
      <w:r>
        <w:t xml:space="preserve">represented by steady states. Transient compressor behaviour, start-up times</w:t>
      </w:r>
      <w:r>
        <w:t xml:space="preserve"> </w:t>
      </w:r>
      <w:r>
        <w:t xml:space="preserve">of pumps and GTs beyond a start cost, and the reservoir response to deferred</w:t>
      </w:r>
      <w:r>
        <w:t xml:space="preserve"> </w:t>
      </w:r>
      <w:r>
        <w:t xml:space="preserve">injection are not modelled. The GT part-load curve is a Willans line from</w:t>
      </w:r>
      <w:r>
        <w:t xml:space="preserve"> </w:t>
      </w:r>
      <w:r>
        <w:t xml:space="preserve">LEOGO; a real machine’s curve, including its emissions at very low load, may</w:t>
      </w:r>
      <w:r>
        <w:t xml:space="preserve"> </w:t>
      </w:r>
      <w:r>
        <w:t xml:space="preserve">differ.</w:t>
      </w:r>
    </w:p>
    <w:p>
      <w:pPr>
        <w:pStyle w:val="BodyText"/>
      </w:pPr>
      <w:r>
        <w:t xml:space="preserve">The scheduler knows the wind a week ahead, so the savings are an upper bound.</w:t>
      </w:r>
      <w:r>
        <w:t xml:space="preserve"> </w:t>
      </w:r>
      <w:r>
        <w:t xml:space="preserve">Because the deficit limit is rarely reached, a forecast-based schedule that</w:t>
      </w:r>
      <w:r>
        <w:t xml:space="preserve"> </w:t>
      </w:r>
      <w:r>
        <w:t xml:space="preserve">keeps a margin on the deficit should retain most of them, but that remains</w:t>
      </w:r>
      <w:r>
        <w:t xml:space="preserve"> </w:t>
      </w:r>
      <w:r>
        <w:t xml:space="preserve">to be shown. The ten weather years cover one site and one platform, without</w:t>
      </w:r>
      <w:r>
        <w:t xml:space="preserve"> </w:t>
      </w:r>
      <w:r>
        <w:t xml:space="preserve">power import or export. The economic indicators rest on the cost of a single</w:t>
      </w:r>
      <w:r>
        <w:t xml:space="preserve"> </w:t>
      </w:r>
      <w:r>
        <w:t xml:space="preserve">first-of-a-kind floating wind farm and leave out the cost of implementing</w:t>
      </w:r>
      <w:r>
        <w:t xml:space="preserve"> </w:t>
      </w:r>
      <w:r>
        <w:t xml:space="preserve">flexibility, the battery or the small GT, for which only break-even values</w:t>
      </w:r>
      <w:r>
        <w:t xml:space="preserve"> </w:t>
      </w:r>
      <w:r>
        <w:t xml:space="preserve">are given. The small GT uses the main units’ relative part-load curve,</w:t>
      </w:r>
      <w:r>
        <w:t xml:space="preserve"> </w:t>
      </w:r>
      <w:r>
        <w:t xml:space="preserve">because its manufacturer publishes only the full-load rating.</w:t>
      </w:r>
    </w:p>
    <w:p>
      <w:pPr>
        <w:pStyle w:val="BodyText"/>
      </w:pPr>
      <w:r>
        <w:t xml:space="preserve">The next steps are concrete. Rolling schedules with forecast errors would</w:t>
      </w:r>
      <w:r>
        <w:t xml:space="preserve"> </w:t>
      </w:r>
      <w:r>
        <w:t xml:space="preserve">show how much of the saving survives without perfect foresight. Pump start</w:t>
      </w:r>
      <w:r>
        <w:t xml:space="preserve"> </w:t>
      </w:r>
      <w:r>
        <w:t xml:space="preserve">costs and a simple reservoir pressure model would test the injection</w:t>
      </w:r>
      <w:r>
        <w:t xml:space="preserve"> </w:t>
      </w:r>
      <w:r>
        <w:t xml:space="preserve">schedule against operational limits. Data from a platform with wind supply,</w:t>
      </w:r>
      <w:r>
        <w:t xml:space="preserve"> </w:t>
      </w:r>
      <w:r>
        <w:t xml:space="preserve">such as those served by Hywind Tampen, would allow the model to be</w:t>
      </w:r>
      <w:r>
        <w:t xml:space="preserve"> </w:t>
      </w:r>
      <w:r>
        <w:t xml:space="preserve">calibrated. Finally, combining load flexibility with grid-forming storage and</w:t>
      </w:r>
      <w:r>
        <w:t xml:space="preserve"> </w:t>
      </w:r>
      <w:r>
        <w:t xml:space="preserve">the investment cost of the whole system would show how far an off-grid</w:t>
      </w:r>
      <w:r>
        <w:t xml:space="preserve"> </w:t>
      </w:r>
      <w:r>
        <w:t xml:space="preserve">platform can be decarbonised before power from shore is needed.</w:t>
      </w:r>
    </w:p>
    <w:bookmarkEnd w:id="71"/>
    <w:bookmarkEnd w:id="72"/>
    <w:bookmarkStart w:id="73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The electric demand of a generic North Sea oil platform was mapped from a</w:t>
      </w:r>
      <w:r>
        <w:t xml:space="preserve"> </w:t>
      </w:r>
      <w:r>
        <w:t xml:space="preserve">process model, the consumers were classified by flexibility, and the</w:t>
      </w:r>
      <w:r>
        <w:t xml:space="preserve"> </w:t>
      </w:r>
      <w:r>
        <w:t xml:space="preserve">flexible ones were scheduled together with the gas turbines and a 30 MW wind</w:t>
      </w:r>
      <w:r>
        <w:t xml:space="preserve"> </w:t>
      </w:r>
      <w:r>
        <w:t xml:space="preserve">farm, hour by hour, for ten weather years.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</w:t>
      </w:r>
    </w:p>
    <w:p>
      <w:pPr>
        <w:numPr>
          <w:ilvl w:val="0"/>
          <w:numId w:val="1007"/>
        </w:numPr>
        <w:pStyle w:val="Compact"/>
      </w:pPr>
      <w:r>
        <w:t xml:space="preserve">Scheduling the flexible consumers cuts emissions by a further 11 %</w:t>
      </w:r>
      <w:r>
        <w:t xml:space="preserve"> </w:t>
      </w:r>
      <w:r>
        <w:t xml:space="preserve">(7.2 kt/yr), without lost production. Across the ten weather years the</w:t>
      </w:r>
      <w:r>
        <w:t xml:space="preserve"> </w:t>
      </w:r>
      <w:r>
        <w:t xml:space="preserve">saving stays between 10.5 % and 11.7 %. GT low-load hours fall by 34 %,</w:t>
      </w:r>
      <w:r>
        <w:t xml:space="preserve"> </w:t>
      </w:r>
      <w:r>
        <w:t xml:space="preserve">and 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All of the useful flexibility comes from water injection. Shedding</w:t>
      </w:r>
      <w:r>
        <w:t xml:space="preserve"> </w:t>
      </w:r>
      <w:r>
        <w:t xml:space="preserve">production never pays, and about 24 h of deferral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GT, not from shifting</w:t>
      </w:r>
      <w:r>
        <w:t xml:space="preserve"> </w:t>
      </w:r>
      <w:r>
        <w:t xml:space="preserve">energy. Rules that keep two GTs online remove most of it; allowing all GTs</w:t>
      </w:r>
      <w:r>
        <w:t xml:space="preserve"> </w:t>
      </w:r>
      <w:r>
        <w:t xml:space="preserve">to stop, with a battery for reserve, would cut emissions by a further</w:t>
      </w:r>
      <w:r>
        <w:t xml:space="preserve"> </w:t>
      </w:r>
      <w:r>
        <w:t xml:space="preserve">third.</w:t>
      </w:r>
    </w:p>
    <w:p>
      <w:pPr>
        <w:numPr>
          <w:ilvl w:val="0"/>
          <w:numId w:val="1007"/>
        </w:numPr>
        <w:pStyle w:val="Compact"/>
      </w:pPr>
      <w:r>
        <w:t xml:space="preserve">A small GT (11.35 MW) replacing one main unit saves another 17 %, and</w:t>
      </w:r>
      <w:r>
        <w:t xml:space="preserve"> </w:t>
      </w:r>
      <w:r>
        <w:t xml:space="preserve">flexibility still saves 11 % with it installed.</w:t>
      </w:r>
    </w:p>
    <w:p>
      <w:pPr>
        <w:numPr>
          <w:ilvl w:val="0"/>
          <w:numId w:val="1007"/>
        </w:numPr>
        <w:pStyle w:val="Compact"/>
      </w:pPr>
      <w:r>
        <w:t xml:space="preserve">Prices and battery size alone change little. Flexibility pays for itself</w:t>
      </w:r>
      <w:r>
        <w:t xml:space="preserve"> </w:t>
      </w:r>
      <w:r>
        <w:t xml:space="preserve">from fuel savings, breaks even for an implementation cost of up to</w:t>
      </w:r>
      <w:r>
        <w:t xml:space="preserve"> </w:t>
      </w:r>
      <w:r>
        <w:t xml:space="preserve">137 MNOK, and lowers the abatement cost of the wind farm from 2,180–2,519</w:t>
      </w:r>
      <w:r>
        <w:t xml:space="preserve"> </w:t>
      </w:r>
      <w:r>
        <w:t xml:space="preserve">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Three questions remain open: how much of the saving survives realistic wind</w:t>
      </w:r>
      <w:r>
        <w:t xml:space="preserve"> </w:t>
      </w:r>
      <w:r>
        <w:t xml:space="preserve">forecasts, what limits pump starts and reservoir pressure place on the</w:t>
      </w:r>
      <w:r>
        <w:t xml:space="preserve"> </w:t>
      </w:r>
      <w:r>
        <w:t xml:space="preserve">injection schedule, and whether grid-forming storage can remove the last</w:t>
      </w:r>
      <w:r>
        <w:t xml:space="preserve"> </w:t>
      </w:r>
      <w:r>
        <w:t xml:space="preserve">running GT safely.</w:t>
      </w:r>
    </w:p>
    <w:bookmarkEnd w:id="73"/>
    <w:bookmarkStart w:id="74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(2014–2023). [Funding.]</w: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p>
      <w:pPr>
        <w:pStyle w:val="BodyText"/>
      </w:pPr>
      <w:r>
        <w:t xml:space="preserve">[33] Dighe VV, Huang L-J, Hernandez Montfort J, Serraris J-J. Improving O&amp;M simulations by integrating vessel motions for floating wind farms. J Mar Sci Eng 2024;12(11):1948. https://doi.org/10.3390/jmse12111948.</w:t>
      </w:r>
    </w:p>
    <w:p>
      <w:pPr>
        <w:pStyle w:val="BodyText"/>
      </w:pPr>
      <w:r>
        <w:t xml:space="preserve">[34] Norwegian Petroleum Directorate.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odyText"/>
      </w:pPr>
      <w:r>
        <w:t xml:space="preserve">[35] Norwegian Offshore Directorate. New report about power from shore [news and report]. 2025. https://www.sodir.no/en/whats-new/news/general-news/2025/new-report-about-power-from-shore [accessed DATE].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2" Type="http://schemas.openxmlformats.org/officeDocument/2006/relationships/image" Target="media/rId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2026-10-28T07:35:08Z</dcterms:created>
  <dcterms:modified xsi:type="dcterms:W3CDTF">2026-10-28T07:35:08Z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