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2993"/>
        <w:gridCol w:w="1443"/>
        <w:gridCol w:w="1783"/>
        <w:gridCol w:w="2007"/>
        <w:gridCol w:w="1628"/>
      </w:tblGrid>
      <w:tr>
        <w:trPr>
          <w:cantSplit/>
          <w:trHeight w:val="398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 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Africa</w:t>
              <w:br/>
              <w:t xml:space="preserve">(N=5930)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South Asia</w:t>
              <w:br/>
              <w:t xml:space="preserve">(N=4041)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Latin America</w:t>
              <w:br/>
              <w:t xml:space="preserve">(N=1500)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Overall</w:t>
              <w:br/>
              <w:t xml:space="preserve">(N=11471)</w:t>
            </w:r>
          </w:p>
        </w:tc>
      </w:tr>
      <w:tr>
        <w:trPr>
          <w:cantSplit/>
          <w:trHeight w:val="37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14"/>
                <w:szCs w:val="14"/>
                <w:color w:val="000000"/>
              </w:rPr>
              <w:t xml:space="preserve">Decade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cantSplit/>
          <w:trHeight w:val="39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  90s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1375 (23.2%)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280 (6.9%)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749 (49.9%)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2404 (21.0%)</w:t>
            </w:r>
          </w:p>
        </w:tc>
      </w:tr>
      <w:tr>
        <w:trPr>
          <w:cantSplit/>
          <w:trHeight w:val="39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  2000s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4223 (71.2%)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1287 (31.8%)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423 (28.2%)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5933 (51.7%)</w:t>
            </w:r>
          </w:p>
        </w:tc>
      </w:tr>
      <w:tr>
        <w:trPr>
          <w:cantSplit/>
          <w:trHeight w:val="39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  2010s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332 (5.6%)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2474 (61.2%)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328 (21.9%)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3134 (27.3%)</w:t>
            </w:r>
          </w:p>
        </w:tc>
      </w:tr>
      <w:tr>
        <w:trPr>
          <w:cantSplit/>
          <w:trHeight w:val="40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14"/>
                <w:szCs w:val="14"/>
                <w:color w:val="000000"/>
              </w:rPr>
              <w:t xml:space="preserve">Gross domestic product per capita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cantSplit/>
          <w:trHeight w:val="39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  Low income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5616 (94.7%)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2639 (65.3%)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8255 (72.0%)</w:t>
            </w:r>
          </w:p>
        </w:tc>
      </w:tr>
      <w:tr>
        <w:trPr>
          <w:cantSplit/>
          <w:trHeight w:val="39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  Middle income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314 (5.3%)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1402 (34.7%)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1500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3216 (28.0%)</w:t>
            </w:r>
          </w:p>
        </w:tc>
      </w:tr>
      <w:tr>
        <w:trPr>
          <w:cantSplit/>
          <w:trHeight w:val="40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14"/>
                <w:szCs w:val="14"/>
                <w:color w:val="000000"/>
              </w:rPr>
              <w:t xml:space="preserve">Gender development index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cantSplit/>
          <w:trHeight w:val="40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  Very 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2223 (37.5%)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2961 (73.3%)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5184 (45.2%)</w:t>
            </w:r>
          </w:p>
        </w:tc>
      </w:tr>
      <w:tr>
        <w:trPr>
          <w:cantSplit/>
          <w:trHeight w:val="39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  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461 (7.8%)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1080 (26.7%)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315 (21.0%)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1856 (16.2%)</w:t>
            </w:r>
          </w:p>
        </w:tc>
      </w:tr>
      <w:tr>
        <w:trPr>
          <w:cantSplit/>
          <w:trHeight w:val="40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  High/Medium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314 (5.3%)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975 (65.0%)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1289 (11.2%)</w:t>
            </w:r>
          </w:p>
        </w:tc>
      </w:tr>
      <w:tr>
        <w:trPr>
          <w:cantSplit/>
          <w:trHeight w:val="40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2932 (49.4%)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210 (14.0%)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3142 (27.4%)</w:t>
            </w:r>
          </w:p>
        </w:tc>
      </w:tr>
      <w:tr>
        <w:trPr>
          <w:cantSplit/>
          <w:trHeight w:val="40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14"/>
                <w:szCs w:val="14"/>
                <w:color w:val="000000"/>
              </w:rPr>
              <w:t xml:space="preserve">Gender inequality index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cantSplit/>
          <w:trHeight w:val="39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  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2684 (45.3%)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653 (16.2%)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3337 (29.1%)</w:t>
            </w:r>
          </w:p>
        </w:tc>
      </w:tr>
      <w:tr>
        <w:trPr>
          <w:cantSplit/>
          <w:trHeight w:val="39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  Medium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443 (11.0%)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443 (3.9%)</w:t>
            </w:r>
          </w:p>
        </w:tc>
      </w:tr>
      <w:tr>
        <w:trPr>
          <w:cantSplit/>
          <w:trHeight w:val="40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  High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314 (5.3%)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2945 (72.9%)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1417 (94.5%)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4676 (40.8%)</w:t>
            </w:r>
          </w:p>
        </w:tc>
      </w:tr>
      <w:tr>
        <w:trPr>
          <w:cantSplit/>
          <w:trHeight w:val="40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2932 (49.4%)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83 (5.5%)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3015 (26.3%)</w:t>
            </w:r>
          </w:p>
        </w:tc>
      </w:tr>
      <w:tr>
        <w:trPr>
          <w:cantSplit/>
          <w:trHeight w:val="40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14"/>
                <w:szCs w:val="14"/>
                <w:color w:val="000000"/>
              </w:rPr>
              <w:t xml:space="preserve">Coefficient of human inequality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cantSplit/>
          <w:trHeight w:val="39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  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1277 (21.5%)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1443 (35.7%)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358 (23.9%)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3078 (26.8%)</w:t>
            </w:r>
          </w:p>
        </w:tc>
      </w:tr>
      <w:tr>
        <w:trPr>
          <w:cantSplit/>
          <w:trHeight w:val="39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  Medium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852 (21.1%)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852 (7.4%)</w:t>
            </w:r>
          </w:p>
        </w:tc>
      </w:tr>
      <w:tr>
        <w:trPr>
          <w:cantSplit/>
          <w:trHeight w:val="40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  High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1093 (27.0%)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393 (26.2%)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1486 (13.0%)</w:t>
            </w:r>
          </w:p>
        </w:tc>
      </w:tr>
      <w:tr>
        <w:trPr>
          <w:cantSplit/>
          <w:trHeight w:val="40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4653 (78.5%)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653 (16.2%)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749 (49.9%)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6055 (52.8%)</w:t>
            </w:r>
          </w:p>
        </w:tc>
      </w:tr>
      <w:tr>
        <w:trPr>
          <w:cantSplit/>
          <w:trHeight w:val="37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14"/>
                <w:szCs w:val="14"/>
                <w:color w:val="000000"/>
              </w:rPr>
              <w:t xml:space="preserve">GINI coefficient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cantSplit/>
          <w:trHeight w:val="39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  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1909 (47.2%)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1909 (16.6%)</w:t>
            </w:r>
          </w:p>
        </w:tc>
      </w:tr>
      <w:tr>
        <w:trPr>
          <w:cantSplit/>
          <w:trHeight w:val="39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  Medium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 (0%)</w:t>
            </w:r>
          </w:p>
        </w:tc>
      </w:tr>
      <w:tr>
        <w:trPr>
          <w:cantSplit/>
          <w:trHeight w:val="40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  High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5382 (90.8%)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2132 (52.8%)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1290 (86.0%)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8804 (76.8%)</w:t>
            </w:r>
          </w:p>
        </w:tc>
      </w:tr>
      <w:tr>
        <w:trPr>
          <w:cantSplit/>
          <w:trHeight w:val="40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548 (9.2%)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210 (14.0%)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758 (6.6%)</w:t>
            </w:r>
          </w:p>
        </w:tc>
      </w:tr>
      <w:tr>
        <w:trPr>
          <w:cantSplit/>
          <w:trHeight w:val="40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14"/>
                <w:szCs w:val="14"/>
                <w:color w:val="000000"/>
              </w:rPr>
              <w:t xml:space="preserve">Health expenditure per capita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cantSplit/>
          <w:trHeight w:val="39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  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806 (19.9%)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806 (7.0%)</w:t>
            </w:r>
          </w:p>
        </w:tc>
      </w:tr>
      <w:tr>
        <w:trPr>
          <w:cantSplit/>
          <w:trHeight w:val="39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  Medium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1337 (22.5%)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2955 (73.1%)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742 (49.5%)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5034 (43.9%)</w:t>
            </w:r>
          </w:p>
        </w:tc>
      </w:tr>
      <w:tr>
        <w:trPr>
          <w:cantSplit/>
          <w:trHeight w:val="40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  High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3858 (65.1%)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548 (36.5%)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4406 (38.4%)</w:t>
            </w:r>
          </w:p>
        </w:tc>
      </w:tr>
      <w:tr>
        <w:trPr>
          <w:cantSplit/>
          <w:trHeight w:val="40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735 (12.4%)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280 (6.9%)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210 (14.0%)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1225 (10.7%)</w:t>
            </w:r>
          </w:p>
        </w:tc>
      </w:tr>
      <w:tr>
        <w:trPr>
          <w:cantSplit/>
          <w:trHeight w:val="40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14"/>
                <w:szCs w:val="14"/>
                <w:color w:val="000000"/>
              </w:rPr>
              <w:t xml:space="preserve">% living 0n below $1.90 per day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cantSplit/>
          <w:trHeight w:val="39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  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314 (5.3%)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1617 (40.0%)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1156 (77.1%)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3087 (26.9%)</w:t>
            </w:r>
          </w:p>
        </w:tc>
      </w:tr>
      <w:tr>
        <w:trPr>
          <w:cantSplit/>
          <w:trHeight w:val="39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  Medium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129 (2.2%)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1328 (32.9%)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134 (8.9%)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1591 (13.9%)</w:t>
            </w:r>
          </w:p>
        </w:tc>
      </w:tr>
      <w:tr>
        <w:trPr>
          <w:cantSplit/>
          <w:trHeight w:val="40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  High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4939 (83.3%)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1096 (27.1%)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6035 (52.6%)</w:t>
            </w:r>
          </w:p>
        </w:tc>
      </w:tr>
      <w:tr>
        <w:trPr>
          <w:cantSplit/>
          <w:trHeight w:val="40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548 (9.2%)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210 (14.0%)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758 (6.6%)</w:t>
            </w:r>
          </w:p>
        </w:tc>
      </w:tr>
      <w:tr>
        <w:trPr>
          <w:cantSplit/>
          <w:trHeight w:val="40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14"/>
                <w:szCs w:val="14"/>
                <w:color w:val="000000"/>
              </w:rPr>
              <w:t xml:space="preserve">Child mortality rate under 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cantSplit/>
          <w:trHeight w:val="4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  &lt;50 per 100,000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196 (3.3%)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1903 (47.1%)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818 (54.5%)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2917 (25.4%)</w:t>
            </w:r>
          </w:p>
        </w:tc>
      </w:tr>
      <w:tr>
        <w:trPr>
          <w:cantSplit/>
          <w:trHeight w:val="4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  50-95 per 100,000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3743 (63.1%)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1858 (46.0%)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682 (45.5%)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6283 (54.8%)</w:t>
            </w:r>
          </w:p>
        </w:tc>
      </w:tr>
      <w:tr>
        <w:trPr>
          <w:cantSplit/>
          <w:trHeight w:val="40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  &gt;95 per 100,000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1991 (33.6%)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280 (6.9%)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 (0%)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2271 (19.8%)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esthjung</cp:lastModifiedBy>
  <cp:revision>9</cp:revision>
  <dcterms:created xsi:type="dcterms:W3CDTF">2017-02-28T11:18:00Z</dcterms:created>
  <dcterms:modified xsi:type="dcterms:W3CDTF">2022-06-23T12:40:00Z</dcterms:modified>
  <cp:category/>
</cp:coreProperties>
</file>