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imes New Roman" w:hAnsi="Times New Roman"/>
          <w:b/>
          <w:i w:val="0"/>
          <w:color w:val="1F4578"/>
          <w:sz w:val="32"/>
        </w:rPr>
        <w:t>AI-Mediated Food Delivery Marketplace Simulation:</w:t>
      </w:r>
    </w:p>
    <w:p>
      <w:pPr>
        <w:spacing w:after="200"/>
        <w:jc w:val="center"/>
      </w:pPr>
      <w:r>
        <w:rPr>
          <w:rFonts w:ascii="Times New Roman" w:hAnsi="Times New Roman"/>
          <w:b/>
          <w:i w:val="0"/>
          <w:color w:val="1F4578"/>
          <w:sz w:val="28"/>
        </w:rPr>
        <w:t>Monetisation Design, Sponsorship Bias, and Consumer Welfare</w:t>
      </w:r>
    </w:p>
    <w:p>
      <w:pPr>
        <w:spacing w:after="40"/>
        <w:jc w:val="center"/>
      </w:pPr>
      <w:r>
        <w:rPr>
          <w:rFonts w:ascii="Times New Roman" w:hAnsi="Times New Roman"/>
          <w:b w:val="0"/>
          <w:i/>
          <w:sz w:val="22"/>
        </w:rPr>
        <w:t>Columbia University · Department of Industrial Engineering &amp; Operations Research</w:t>
      </w:r>
    </w:p>
    <w:p>
      <w:pPr>
        <w:spacing w:after="40"/>
        <w:jc w:val="center"/>
      </w:pPr>
      <w:r>
        <w:rPr>
          <w:rFonts w:ascii="Times New Roman" w:hAnsi="Times New Roman"/>
          <w:b w:val="0"/>
          <w:i/>
          <w:sz w:val="22"/>
        </w:rPr>
        <w:t>Digital Marketplaces · Spring 2026</w:t>
      </w:r>
    </w:p>
    <w:p>
      <w:r>
        <w:br w:type="page"/>
      </w:r>
    </w:p>
    <w:p>
      <w:pPr>
        <w:spacing w:before="280" w:after="80"/>
      </w:pPr>
      <w:r>
        <w:rPr>
          <w:rFonts w:ascii="Times New Roman" w:hAnsi="Times New Roman"/>
          <w:b/>
          <w:i w:val="0"/>
          <w:color w:val="1F4578"/>
          <w:sz w:val="26"/>
        </w:rPr>
        <w:t>1. Introduction</w:t>
      </w:r>
    </w:p>
    <w:p>
      <w:pPr>
        <w:spacing w:after="80" w:before="0"/>
        <w:ind w:firstLine="0"/>
      </w:pPr>
      <w:r>
        <w:rPr>
          <w:rFonts w:ascii="Times New Roman" w:hAnsi="Times New Roman"/>
          <w:b w:val="0"/>
          <w:i w:val="0"/>
          <w:sz w:val="22"/>
        </w:rPr>
        <w:t>Food delivery platforms such as DoorDash, Uber Eats, and Grubhub operate as two-sided platforms, connecting merchants (restaurants), consumers, and logistics networks (couriers) simultaneously. They benefit from network effects and economies of scale, monetising through commissions, advertising, and subscription programs.</w:t>
      </w:r>
    </w:p>
    <w:p>
      <w:pPr>
        <w:spacing w:after="80" w:before="0"/>
        <w:ind w:firstLine="0"/>
      </w:pPr>
      <w:r>
        <w:rPr>
          <w:rFonts w:ascii="Times New Roman" w:hAnsi="Times New Roman"/>
          <w:b w:val="0"/>
          <w:i w:val="0"/>
          <w:sz w:val="22"/>
        </w:rPr>
        <w:t>However, OpenAI's entry into food delivery has begun to reshape this landscape. Its partnership with Uber allows users to receive food recommendations and complete transactions directly through ChatGPT. As a result, the industry is now debating whether LLMs could evolve into super apps that capture the majority of user traffic and advertising value. We believe food delivery platforms still retain unique value through fulfilment and service delivery, but it is equally important to understand the new advertising dynamics created by this shift.</w:t>
      </w:r>
    </w:p>
    <w:p>
      <w:pPr>
        <w:spacing w:after="80" w:before="0"/>
        <w:ind w:firstLine="0"/>
      </w:pPr>
      <w:r>
        <w:rPr>
          <w:rFonts w:ascii="Times New Roman" w:hAnsi="Times New Roman"/>
          <w:b w:val="0"/>
          <w:i w:val="0"/>
          <w:sz w:val="22"/>
        </w:rPr>
        <w:t>Our research focuses on how much platforms should be willing to pay for advertising in order for their restaurants to be recommended by an LLM — and, critically, whether the design of that payment mechanism determines whether LLM intermediation is welfare-improving or welfare-degrading.</w:t>
      </w:r>
    </w:p>
    <w:p>
      <w:pPr>
        <w:spacing w:before="280" w:after="80"/>
      </w:pPr>
      <w:r>
        <w:rPr>
          <w:rFonts w:ascii="Times New Roman" w:hAnsi="Times New Roman"/>
          <w:b/>
          <w:i w:val="0"/>
          <w:color w:val="1F4578"/>
          <w:sz w:val="26"/>
        </w:rPr>
        <w:t>2. Workflow of Food Delivery</w:t>
      </w:r>
    </w:p>
    <w:p>
      <w:pPr>
        <w:spacing w:after="80" w:before="0"/>
        <w:ind w:firstLine="0"/>
      </w:pPr>
      <w:r>
        <w:rPr>
          <w:rFonts w:ascii="Times New Roman" w:hAnsi="Times New Roman"/>
          <w:b w:val="0"/>
          <w:i w:val="0"/>
          <w:sz w:val="22"/>
        </w:rPr>
        <w:t>The traditional food delivery decision-making process follows a search–pick–order flow. Restaurants are typically recommended based on keyword matching, along with advertising budgets and sponsored placements. With AI-assisted food delivery, however, customers can enter natural-language prompts, and the LLM can recommend the top restaurants that best match the user's intent while also taking into account factors such as price, delivery time, quality, and advertising exposure.</w:t>
      </w:r>
    </w:p>
    <w:p>
      <w:pPr>
        <w:spacing w:after="80" w:before="0"/>
        <w:ind w:firstLine="0"/>
      </w:pPr>
      <w:r>
        <w:rPr>
          <w:rFonts w:ascii="Times New Roman" w:hAnsi="Times New Roman"/>
          <w:b w:val="0"/>
          <w:i w:val="0"/>
          <w:sz w:val="22"/>
        </w:rPr>
        <w:t>As illustrated by real-world cases from ChatGPT and Qwen, the AI-guided decision process follows a structured path: the user expresses a need (cuisine, budget, time constraint) → the LLM aggregates options across platforms → it returns a ranked shortlist → the user clicks through or ignores the recommendation → the platform completes the transaction.</w:t>
      </w:r>
    </w:p>
    <w:p>
      <w:pPr>
        <w:spacing w:after="80" w:before="0"/>
        <w:ind w:firstLine="0"/>
      </w:pPr>
      <w:r>
        <w:rPr>
          <w:rFonts w:ascii="Times New Roman" w:hAnsi="Times New Roman"/>
          <w:b w:val="0"/>
          <w:i w:val="0"/>
          <w:sz w:val="22"/>
        </w:rPr>
        <w:t>This flow compresses the traditional search–compare–decide process into a guided interaction. For users, it reduces search costs and decision time. For platforms and merchants, it improves conversion by narrowing the consideration set. At the same time, AI intermediates traffic allocation, shaping merchant visibility and demand distribution within the marketplace. Crucially, who pays the AI — and how — determines whether this traffic allocation serves consumers or distorts the market in favour of the highest bidder.</w:t>
      </w:r>
    </w:p>
    <w:p>
      <w:pPr>
        <w:spacing w:before="280" w:after="80"/>
      </w:pPr>
      <w:r>
        <w:rPr>
          <w:rFonts w:ascii="Times New Roman" w:hAnsi="Times New Roman"/>
          <w:b/>
          <w:i w:val="0"/>
          <w:color w:val="1F4578"/>
          <w:sz w:val="26"/>
        </w:rPr>
        <w:t>3. Qualitative Analysis of Equilibrium</w:t>
      </w:r>
    </w:p>
    <w:p>
      <w:pPr>
        <w:spacing w:before="160" w:after="40"/>
      </w:pPr>
      <w:r>
        <w:rPr>
          <w:rFonts w:ascii="Times New Roman" w:hAnsi="Times New Roman"/>
          <w:b/>
          <w:i w:val="0"/>
          <w:sz w:val="22"/>
        </w:rPr>
        <w:t>3.1  Impact of AI on Food Delivery Platforms: Three Pillars</w:t>
      </w:r>
    </w:p>
    <w:p>
      <w:pPr>
        <w:spacing w:after="80" w:before="0"/>
        <w:ind w:firstLine="0"/>
      </w:pPr>
      <w:r>
        <w:rPr>
          <w:rFonts w:ascii="Times New Roman" w:hAnsi="Times New Roman"/>
          <w:b w:val="0"/>
          <w:i w:val="0"/>
          <w:sz w:val="22"/>
        </w:rPr>
        <w:t>We believe traditional food delivery platforms will remain necessary because LLMs cannot execute physical delivery (riders, logistics networks). However, the AI layer has significant implications for all three platform pillars.</w:t>
      </w:r>
    </w:p>
    <w:p>
      <w:pPr>
        <w:spacing w:after="80" w:before="0"/>
      </w:pPr>
      <w:r>
        <w:rPr>
          <w:rFonts w:ascii="Times New Roman" w:hAnsi="Times New Roman"/>
          <w:b/>
          <w:i w:val="0"/>
          <w:sz w:val="22"/>
        </w:rPr>
        <w:t xml:space="preserve">On thickness, </w:t>
      </w:r>
      <w:r>
        <w:rPr>
          <w:rFonts w:ascii="Times New Roman" w:hAnsi="Times New Roman"/>
          <w:b w:val="0"/>
          <w:i w:val="0"/>
          <w:sz w:val="22"/>
        </w:rPr>
        <w:t>LLMs can materially increase demand aggregation because they sit at the top of the funnel where consumers express intent in natural language, often with far larger weekly active user bases than any single delivery app. By reducing search costs and helping users articulate preferences — budget, cuisine, dietary restrictions, delivery speed — AI can convert more latent demand into actual orders and expand the overall volume flowing into food delivery ecosystems. However, this thicker market does not necessarily benefit Uber Eats or DoorDash directly. AI may shift demand ownership upward to the LLM layer, turning delivery platforms into downstream fulfilment providers rather than the primary destination where users begin discovery. In our simulation, the neutral LLM raises overall conversion (from 80.4% to 81.6%) and improves intent match quality — but does so while simultaneously reducing aggregate platform net revenue, because better matching routes consumers away from high-commission platform-promoted offers toward better-fit, lower-sponsored restaurants.</w:t>
      </w:r>
    </w:p>
    <w:p>
      <w:pPr>
        <w:spacing w:after="80" w:before="0"/>
      </w:pPr>
      <w:r>
        <w:rPr>
          <w:rFonts w:ascii="Times New Roman" w:hAnsi="Times New Roman"/>
          <w:b/>
          <w:i w:val="0"/>
          <w:sz w:val="22"/>
        </w:rPr>
        <w:t xml:space="preserve">On trust, </w:t>
      </w:r>
      <w:r>
        <w:rPr>
          <w:rFonts w:ascii="Times New Roman" w:hAnsi="Times New Roman"/>
          <w:b w:val="0"/>
          <w:i w:val="0"/>
          <w:sz w:val="22"/>
        </w:rPr>
        <w:t>AI is much more limited. A conversational agent can recommend restaurants, summarise reviews, or optimise choices, but it cannot guarantee food quality, delivery accuracy, refund resolution, or service reliability. Moreover, because AI-mediated ranking is less transparent than traditional app search results, it intensifies the tension between user relevance and monetisation. The delivery platforms retain a core role as the execution and accountability layer, owning logistics, dispatch, payment rails, and customer support. Our simulation operationalises this by preserving a hard cuisine-match criterion in intent fulfilment: the LLM earns no credit for recommending a wrong-cuisine option regardless of how well it fits on price or time.</w:t>
      </w:r>
    </w:p>
    <w:p>
      <w:pPr>
        <w:spacing w:after="80" w:before="0"/>
      </w:pPr>
      <w:r>
        <w:rPr>
          <w:rFonts w:ascii="Times New Roman" w:hAnsi="Times New Roman"/>
          <w:b/>
          <w:i w:val="0"/>
          <w:sz w:val="22"/>
        </w:rPr>
        <w:t xml:space="preserve">On value add, </w:t>
      </w:r>
      <w:r>
        <w:rPr>
          <w:rFonts w:ascii="Times New Roman" w:hAnsi="Times New Roman"/>
          <w:b w:val="0"/>
          <w:i w:val="0"/>
          <w:sz w:val="22"/>
        </w:rPr>
        <w:t>LLMs create real consumer value not by replacing delivery infrastructure but by improving decision-making. Food delivery is a high-friction use case characterised by excessive choice, repeated browsing, and weak personalisation. The LLM acts as a more intelligent interface that reduces decision fatigue, provides contextual recommendations, and compares options across multiple apps. In our simulation, the LLM's key value is cross-platform aggregation — it is the only mechanism that eliminates the 'platform sampling problem' where consumers, browsing only their 2 most-loyal apps, may entirely miss the cuisine they want. The strategic question is thus not whether AI replaces food delivery platforms, but whether those platforms can preserve ownership of the customer relationship in a world where discovery is intermediated by a general-purpose AI assistant.</w:t>
      </w:r>
    </w:p>
    <w:p>
      <w:pPr>
        <w:spacing w:before="160" w:after="40"/>
      </w:pPr>
      <w:r>
        <w:rPr>
          <w:rFonts w:ascii="Times New Roman" w:hAnsi="Times New Roman"/>
          <w:b/>
          <w:i w:val="0"/>
          <w:sz w:val="22"/>
        </w:rPr>
        <w:t>3.2  Qualitative Analysis of the New Equilibrium</w:t>
      </w:r>
    </w:p>
    <w:p>
      <w:pPr>
        <w:spacing w:after="80" w:before="0"/>
        <w:ind w:firstLine="0"/>
      </w:pPr>
      <w:r>
        <w:rPr>
          <w:rFonts w:ascii="Times New Roman" w:hAnsi="Times New Roman"/>
          <w:b w:val="0"/>
          <w:i w:val="0"/>
          <w:sz w:val="22"/>
        </w:rPr>
        <w:t>There are three key parties in AI-supported food delivery: food delivery platforms (in our model, QuickEats, FoodRush, and NomNom), consumers, and the LLM intermediary. The introduction of the LLM layer changes the traditional advertising equilibrium by inserting a new gatekeeper between consumer intent and platform fulfilment.</w:t>
      </w:r>
    </w:p>
    <w:p>
      <w:pPr>
        <w:spacing w:after="80" w:before="0"/>
      </w:pPr>
      <w:r>
        <w:rPr>
          <w:rFonts w:ascii="Times New Roman" w:hAnsi="Times New Roman"/>
          <w:b/>
          <w:i w:val="0"/>
          <w:sz w:val="22"/>
        </w:rPr>
        <w:t xml:space="preserve">For platforms, </w:t>
      </w:r>
      <w:r>
        <w:rPr>
          <w:rFonts w:ascii="Times New Roman" w:hAnsi="Times New Roman"/>
          <w:b w:val="0"/>
          <w:i w:val="0"/>
          <w:sz w:val="22"/>
        </w:rPr>
        <w:t>paying for recommendation exposure at the LLM can be viewed as a new form of customer acquisition cost. However, neutral LLM access actually generates a negative willingness-to-pay in our calibrated simulation (−$1,483 aggregate net vs. direct search). Paid regimes restore positive WTP only because routing bias concentrates orders in higher-commission platforms, creating a gross surplus the LLM then captures.</w:t>
      </w:r>
    </w:p>
    <w:p>
      <w:pPr>
        <w:spacing w:after="80" w:before="0"/>
      </w:pPr>
      <w:r>
        <w:rPr>
          <w:rFonts w:ascii="Times New Roman" w:hAnsi="Times New Roman"/>
          <w:b/>
          <w:i w:val="0"/>
          <w:sz w:val="22"/>
        </w:rPr>
        <w:t xml:space="preserve">For customers, </w:t>
      </w:r>
      <w:r>
        <w:rPr>
          <w:rFonts w:ascii="Times New Roman" w:hAnsi="Times New Roman"/>
          <w:b w:val="0"/>
          <w:i w:val="0"/>
          <w:sz w:val="22"/>
        </w:rPr>
        <w:t>the LLM creates value by reducing search and comparison costs. The LLM's cross-platform aggregation raises intent fulfilment from 0.683 to 0.747 and lowers average paid price by $1.71. However, under strong sponsorship bias, these consumer gains erode — and at bias strength ≥ 1.0, the LLM-mediated result is actually worse than loyal direct search on intent fulfilment (0.649 vs. 0.683).</w:t>
      </w:r>
    </w:p>
    <w:p>
      <w:pPr>
        <w:spacing w:after="80" w:before="0"/>
      </w:pPr>
      <w:r>
        <w:rPr>
          <w:rFonts w:ascii="Times New Roman" w:hAnsi="Times New Roman"/>
          <w:b/>
          <w:i w:val="0"/>
          <w:sz w:val="22"/>
        </w:rPr>
        <w:t xml:space="preserve">For the LLM operator, </w:t>
      </w:r>
      <w:r>
        <w:rPr>
          <w:rFonts w:ascii="Times New Roman" w:hAnsi="Times New Roman"/>
          <w:b w:val="0"/>
          <w:i w:val="0"/>
          <w:sz w:val="22"/>
        </w:rPr>
        <w:t>advertising is a potential monetisation lever, but only if user trust remains intact. The CPFI regime resolves this trade-off most cleanly — paying the LLM only when intent is fulfilled aligns its financial incentive with the consumer's welfare, achieving the best shortlist relevance (0.981) among paid regimes.</w:t>
      </w:r>
    </w:p>
    <w:p>
      <w:pPr>
        <w:spacing w:after="80" w:before="0"/>
        <w:ind w:firstLine="0"/>
      </w:pPr>
      <w:r>
        <w:rPr>
          <w:rFonts w:ascii="Times New Roman" w:hAnsi="Times New Roman"/>
          <w:b w:val="0"/>
          <w:i w:val="0"/>
          <w:sz w:val="22"/>
        </w:rPr>
        <w:t>The new equilibrium therefore depends on balancing these incentives. Food delivery platforms will participate in LLM advertising not because they fully control this new channel, but because they cannot afford to be absent from a discovery layer that increasingly shapes consumer choice.</w:t>
      </w:r>
    </w:p>
    <w:p>
      <w:pPr>
        <w:spacing w:before="280" w:after="80"/>
      </w:pPr>
      <w:r>
        <w:rPr>
          <w:rFonts w:ascii="Times New Roman" w:hAnsi="Times New Roman"/>
          <w:b/>
          <w:i w:val="0"/>
          <w:color w:val="1F4578"/>
          <w:sz w:val="26"/>
        </w:rPr>
        <w:t>4. Methodology</w:t>
      </w:r>
    </w:p>
    <w:p>
      <w:pPr>
        <w:spacing w:before="160" w:after="40"/>
      </w:pPr>
      <w:r>
        <w:rPr>
          <w:rFonts w:ascii="Times New Roman" w:hAnsi="Times New Roman"/>
          <w:b/>
          <w:i w:val="0"/>
          <w:sz w:val="22"/>
        </w:rPr>
        <w:t>4.1  System Architecture</w:t>
      </w:r>
    </w:p>
    <w:p>
      <w:pPr>
        <w:spacing w:after="80" w:before="0"/>
        <w:ind w:firstLine="0"/>
      </w:pPr>
      <w:r>
        <w:rPr>
          <w:rFonts w:ascii="Times New Roman" w:hAnsi="Times New Roman"/>
          <w:b w:val="0"/>
          <w:i w:val="0"/>
          <w:sz w:val="22"/>
        </w:rPr>
        <w:t>The simulation implements a five-module architecture. World construction (entities.py) instantiates three platforms — QuickEats, FoodRush, and NomNom — 50 restaurants (each listed on 1–3 platforms), restaurant–platform offer tuples with quality–price correlation (ρ ≈ 0.5), and 1,000 consumers drawn from configured distributions using a seeded RNG. Restaurant quality is snapped to half-star precision (2.0–5.0 ★), with menu prices ranging from $19.00 to $50.00 positively correlated with quality.</w:t>
      </w:r>
    </w:p>
    <w:p>
      <w:pPr>
        <w:spacing w:after="80" w:before="0"/>
        <w:ind w:firstLine="0"/>
      </w:pPr>
      <w:r>
        <w:rPr>
          <w:rFonts w:ascii="Times New Roman" w:hAnsi="Times New Roman"/>
          <w:b w:val="0"/>
          <w:i w:val="0"/>
          <w:sz w:val="22"/>
        </w:rPr>
        <w:t>Ranking logic (ranking.py) maintains two scoring systems — platform-internal ranking and LLM relevance scoring — together with a 9×9 symmetric cuisine similarity table covering Italian, Chinese, Indian, Mexican, Japanese, American, Thai, Korean, and Mediterranean cuisines. Consumer choice (choice.py) implements a two-stage LLM interaction model: a click stage and a post-click purchase stage, each with its own outside option, plus a single-stage direct choice for the no-LLM world. The simulation engine (simulation.py) orchestrates consumer sessions and records per-transaction outcomes including LLM payments, click behaviour, and platform revenue. Metrics aggregation (metrics.py) computes consumer, restaurant, platform, and LLM-side statistics including Gini and HHI concentration measures. An attribution module (attribution.py) performs counterfactual causal analysis via Monte Carlo re-simulation.</w:t>
      </w:r>
    </w:p>
    <w:p>
      <w:pPr>
        <w:spacing w:before="160" w:after="40"/>
      </w:pPr>
      <w:r>
        <w:rPr>
          <w:rFonts w:ascii="Times New Roman" w:hAnsi="Times New Roman"/>
          <w:b/>
          <w:i w:val="0"/>
          <w:sz w:val="22"/>
        </w:rPr>
        <w:t>4.2  Experimental Worlds</w:t>
      </w:r>
    </w:p>
    <w:p>
      <w:pPr>
        <w:spacing w:after="80" w:before="0"/>
      </w:pPr>
      <w:r>
        <w:rPr>
          <w:rFonts w:ascii="Times New Roman" w:hAnsi="Times New Roman"/>
          <w:b/>
          <w:i w:val="0"/>
          <w:sz w:val="22"/>
        </w:rPr>
        <w:t xml:space="preserve">World A (No-LLM) </w:t>
      </w:r>
      <w:r>
        <w:rPr>
          <w:rFonts w:ascii="Times New Roman" w:hAnsi="Times New Roman"/>
          <w:b w:val="0"/>
          <w:i w:val="0"/>
          <w:sz w:val="22"/>
        </w:rPr>
        <w:t>models a loyalty-aware fragmented search. Each consumer identifies the 2 platforms to which they are most loyal, applies a cuisine filter (searching for their desired cuisine on each app), and observes the platform's top-5 ranked offers within that cuisine on each platform — a pool of up to 10 offers. Selection then proceeds via multinomial logit over the observed pool plus an outside option (utility = 2.5, representing not ordering).</w:t>
      </w:r>
    </w:p>
    <w:p>
      <w:pPr>
        <w:spacing w:after="80" w:before="0"/>
      </w:pPr>
      <w:r>
        <w:rPr>
          <w:rFonts w:ascii="Times New Roman" w:hAnsi="Times New Roman"/>
          <w:b/>
          <w:i w:val="0"/>
          <w:sz w:val="22"/>
        </w:rPr>
        <w:t xml:space="preserve">World B (LLM-Mediated) </w:t>
      </w:r>
      <w:r>
        <w:rPr>
          <w:rFonts w:ascii="Times New Roman" w:hAnsi="Times New Roman"/>
          <w:b w:val="0"/>
          <w:i w:val="0"/>
          <w:sz w:val="22"/>
        </w:rPr>
        <w:t>models AI-brokered discovery with a two-stage interaction. The consumer submits a natural-language intent — cuisine preference, budget, maximum delivery time — to the LLM, which scores all offers across all platforms simultaneously, optionally applies a sponsorship bias term, and returns a top-K = 5 shortlist. The consumer then decides whether to click one recommendation (outside option utility = 1.2 for ignoring the shortlist) and, if clicked, whether to complete the purchase (outside option utility = 0.6 for abandonment). CPC payments are triggered at the click stage; CPA and CPFI payments require a completed purchase.</w:t>
      </w:r>
    </w:p>
    <w:p>
      <w:pPr>
        <w:spacing w:before="160" w:after="40"/>
      </w:pPr>
      <w:r>
        <w:rPr>
          <w:rFonts w:ascii="Times New Roman" w:hAnsi="Times New Roman"/>
          <w:b/>
          <w:i w:val="0"/>
          <w:sz w:val="22"/>
        </w:rPr>
        <w:t>4.3  Scoring Formulas</w:t>
      </w:r>
    </w:p>
    <w:p>
      <w:pPr>
        <w:spacing w:after="80" w:before="0"/>
        <w:ind w:firstLine="0"/>
      </w:pPr>
      <w:r>
        <w:rPr>
          <w:rFonts w:ascii="Times New Roman" w:hAnsi="Times New Roman"/>
          <w:b w:val="0"/>
          <w:i w:val="0"/>
          <w:sz w:val="22"/>
        </w:rPr>
        <w:t>Platform-internal scoring weights quality (25%, normalised to 5 stars), commission revenue (25%), promo discount boost (15%), negative total price (15%, normalised at $40), negative delivery time (10%, normalised at 90 min), and a sponsored ad boost (10%).</w:t>
      </w:r>
    </w:p>
    <w:p>
      <w:pPr>
        <w:spacing w:after="80" w:before="0"/>
        <w:ind w:firstLine="0"/>
      </w:pPr>
      <w:r>
        <w:rPr>
          <w:rFonts w:ascii="Times New Roman" w:hAnsi="Times New Roman"/>
          <w:b w:val="0"/>
          <w:i w:val="0"/>
          <w:sz w:val="22"/>
        </w:rPr>
        <w:t>LLM relevance scoring prioritises semantic cuisine match (35%), quality (28%), affordability fit (20% — a graded function from 1.0 if within budget, declining linearly beyond), negative delivery time (12%), and negative total price (5%). Under paid regimes, a sponsorship bias term is added additively:</w:t>
      </w:r>
    </w:p>
    <w:p>
      <w:pPr>
        <w:pStyle w:val="ListBullet"/>
        <w:spacing w:after="40" w:before="0"/>
      </w:pPr>
      <w:r>
        <w:rPr>
          <w:rFonts w:ascii="Times New Roman" w:hAnsi="Times New Roman"/>
          <w:b w:val="0"/>
          <w:i w:val="0"/>
          <w:sz w:val="22"/>
        </w:rPr>
        <w:t>CPC / CPA:  bias_term = bias_strength × (platform_spend / max_spend)</w:t>
      </w:r>
    </w:p>
    <w:p>
      <w:pPr>
        <w:pStyle w:val="ListBullet"/>
        <w:spacing w:after="40" w:before="0"/>
      </w:pPr>
      <w:r>
        <w:rPr>
          <w:rFonts w:ascii="Times New Roman" w:hAnsi="Times New Roman"/>
          <w:b w:val="0"/>
          <w:i w:val="0"/>
          <w:sz w:val="22"/>
        </w:rPr>
        <w:t>CPFI:  bias_term = bias_strength × (platform_spend / max_spend) × intent_fulfilment(offer, intent)  — bias is modulated by how well the offer satisfies the consumer's intent, so off-intent sponsored offers receive reduced amplification.</w:t>
      </w:r>
    </w:p>
    <w:p>
      <w:pPr>
        <w:spacing w:after="80" w:before="0"/>
        <w:ind w:firstLine="0"/>
      </w:pPr>
      <w:r>
        <w:rPr>
          <w:rFonts w:ascii="Times New Roman" w:hAnsi="Times New Roman"/>
          <w:b w:val="0"/>
          <w:i w:val="0"/>
          <w:sz w:val="22"/>
        </w:rPr>
        <w:t>Semantic match is continuous via the 9×9 cuisine similarity table (1.0 = exact; 0.05 = default for unlisted pairs). Consumer utility is:</w:t>
      </w:r>
    </w:p>
    <w:p>
      <w:pPr>
        <w:spacing w:after="0" w:before="0"/>
      </w:pPr>
      <w:r>
        <w:rPr>
          <w:rFonts w:ascii="Courier New" w:hAnsi="Courier New"/>
          <w:sz w:val="18"/>
        </w:rPr>
        <w:t>U = 2.0 × cuisine_match</w:t>
      </w:r>
    </w:p>
    <w:p>
      <w:pPr>
        <w:spacing w:after="0" w:before="0"/>
      </w:pPr>
      <w:r>
        <w:rPr>
          <w:rFonts w:ascii="Courier New" w:hAnsi="Courier New"/>
          <w:sz w:val="18"/>
        </w:rPr>
        <w:t xml:space="preserve">  + 1.5 × quality_sens × (quality / 5)</w:t>
      </w:r>
    </w:p>
    <w:p>
      <w:pPr>
        <w:spacing w:after="0" w:before="0"/>
      </w:pPr>
      <w:r>
        <w:rPr>
          <w:rFonts w:ascii="Courier New" w:hAnsi="Courier New"/>
          <w:sz w:val="18"/>
        </w:rPr>
        <w:t xml:space="preserve">  − 1.2 × price_sens  × (total_price / 40)</w:t>
      </w:r>
    </w:p>
    <w:p>
      <w:pPr>
        <w:spacing w:after="0" w:before="0"/>
      </w:pPr>
      <w:r>
        <w:rPr>
          <w:rFonts w:ascii="Courier New" w:hAnsi="Courier New"/>
          <w:sz w:val="18"/>
        </w:rPr>
        <w:t xml:space="preserve">  − 0.8 × time_sens   × (delivery_time / 90)</w:t>
      </w:r>
    </w:p>
    <w:p>
      <w:pPr>
        <w:spacing w:after="0" w:before="0"/>
      </w:pPr>
      <w:r>
        <w:rPr>
          <w:rFonts w:ascii="Courier New" w:hAnsi="Courier New"/>
          <w:sz w:val="18"/>
        </w:rPr>
        <w:t xml:space="preserve">  + 0.5 × (promo_discount / 5)</w:t>
      </w:r>
    </w:p>
    <w:p>
      <w:pPr>
        <w:spacing w:after="0" w:before="0"/>
      </w:pPr>
      <w:r>
        <w:rPr>
          <w:rFonts w:ascii="Courier New" w:hAnsi="Courier New"/>
          <w:sz w:val="18"/>
        </w:rPr>
        <w:t xml:space="preserve">  + 0.6 × llm_trust × cuisine_match</w:t>
      </w:r>
    </w:p>
    <w:p>
      <w:pPr>
        <w:spacing w:after="0" w:before="0"/>
      </w:pPr>
      <w:r>
        <w:rPr>
          <w:rFonts w:ascii="Courier New" w:hAnsi="Courier New"/>
          <w:sz w:val="18"/>
        </w:rPr>
        <w:t xml:space="preserve">  + 0.4 × platform_loyalty</w:t>
      </w:r>
    </w:p>
    <w:p>
      <w:pPr>
        <w:spacing w:after="0" w:before="0"/>
      </w:pPr>
      <w:r>
        <w:rPr>
          <w:rFonts w:ascii="Courier New" w:hAnsi="Courier New"/>
          <w:sz w:val="18"/>
        </w:rPr>
        <w:t xml:space="preserve">  + ε,    ε ~ Normal(0, 0.3)</w:t>
      </w:r>
    </w:p>
    <w:p/>
    <w:p>
      <w:pPr>
        <w:spacing w:after="80" w:before="0"/>
        <w:ind w:firstLine="0"/>
      </w:pPr>
      <w:r>
        <w:rPr>
          <w:rFonts w:ascii="Times New Roman" w:hAnsi="Times New Roman"/>
          <w:b w:val="0"/>
          <w:i w:val="0"/>
          <w:sz w:val="22"/>
        </w:rPr>
        <w:t>Sensitivity parameters (price, time, quality) are drawn per consumer from truncated normal distributions. The LLM trust bonus activates only when the offered cuisine matches the consumer's intent. Platform loyalty governs which platforms the consumer checks in the no-LLM world.</w:t>
      </w:r>
    </w:p>
    <w:p>
      <w:pPr>
        <w:spacing w:before="160" w:after="40"/>
      </w:pPr>
      <w:r>
        <w:rPr>
          <w:rFonts w:ascii="Times New Roman" w:hAnsi="Times New Roman"/>
          <w:b/>
          <w:i w:val="0"/>
          <w:sz w:val="22"/>
        </w:rPr>
        <w:t>4.4  Intent Fulfilment Metric</w:t>
      </w:r>
    </w:p>
    <w:p>
      <w:pPr>
        <w:spacing w:after="80" w:before="0"/>
        <w:ind w:firstLine="0"/>
      </w:pPr>
      <w:r>
        <w:rPr>
          <w:rFonts w:ascii="Times New Roman" w:hAnsi="Times New Roman"/>
          <w:b w:val="0"/>
          <w:i w:val="0"/>
          <w:sz w:val="22"/>
        </w:rPr>
        <w:t>The primary consumer welfare metric is intent fulfilment (0–1). A wrong cuisine yields a hard zero. Budget overrun is penalised by 0.5 per fractional dollar over budget (as a fraction of budget). Time overrun is penalised by 0.02 per minute. Quality scales the score from 0.60 (at 2★) to 1.00 (at 5★), reflecting the real cost of being matched to a low-quality restaurant even when cuisine, price, and time constraints are met. This metric measures whether a transaction satisfied the consumer's stated request independently of subjective preference.</w:t>
      </w:r>
    </w:p>
    <w:p>
      <w:pPr>
        <w:spacing w:before="160" w:after="40"/>
      </w:pPr>
      <w:r>
        <w:rPr>
          <w:rFonts w:ascii="Times New Roman" w:hAnsi="Times New Roman"/>
          <w:b/>
          <w:i w:val="0"/>
          <w:sz w:val="22"/>
        </w:rPr>
        <w:t>4.5  Experimental Design</w:t>
      </w:r>
    </w:p>
    <w:p>
      <w:pPr>
        <w:spacing w:before="80" w:after="120"/>
      </w:pPr>
      <w:r>
        <w:rPr>
          <w:rFonts w:ascii="Times New Roman" w:hAnsi="Times New Roman"/>
          <w:b/>
          <w:i/>
          <w:sz w:val="20"/>
        </w:rPr>
        <w:t>Table 1. Experimental design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578" w:color="FFFFFF" w:val="clear"/>
          </w:tcPr>
          <w:p>
            <w:r>
              <w:rPr>
                <w:rFonts w:ascii="Times New Roman" w:hAnsi="Times New Roman"/>
                <w:b/>
                <w:i w:val="0"/>
                <w:color w:val="FFFFFF"/>
                <w:sz w:val="20"/>
              </w:rPr>
              <w:t>Experiment</w:t>
            </w:r>
          </w:p>
        </w:tc>
        <w:tc>
          <w:tcPr>
            <w:tcW w:type="dxa" w:w="2160"/>
            <w:shd w:fill="1F4578" w:color="FFFFFF" w:val="clear"/>
          </w:tcPr>
          <w:p>
            <w:r>
              <w:rPr>
                <w:rFonts w:ascii="Times New Roman" w:hAnsi="Times New Roman"/>
                <w:b/>
                <w:i w:val="0"/>
                <w:color w:val="FFFFFF"/>
                <w:sz w:val="20"/>
              </w:rPr>
              <w:t>Variable</w:t>
            </w:r>
          </w:p>
        </w:tc>
        <w:tc>
          <w:tcPr>
            <w:tcW w:type="dxa" w:w="2160"/>
            <w:shd w:fill="1F4578" w:color="FFFFFF" w:val="clear"/>
          </w:tcPr>
          <w:p>
            <w:r>
              <w:rPr>
                <w:rFonts w:ascii="Times New Roman" w:hAnsi="Times New Roman"/>
                <w:b/>
                <w:i w:val="0"/>
                <w:color w:val="FFFFFF"/>
                <w:sz w:val="20"/>
              </w:rPr>
              <w:t>Fixed Condition</w:t>
            </w:r>
          </w:p>
        </w:tc>
        <w:tc>
          <w:tcPr>
            <w:tcW w:type="dxa" w:w="2160"/>
            <w:shd w:fill="1F4578" w:color="FFFFFF" w:val="clear"/>
          </w:tcPr>
          <w:p>
            <w:r>
              <w:rPr>
                <w:rFonts w:ascii="Times New Roman" w:hAnsi="Times New Roman"/>
                <w:b/>
                <w:i w:val="0"/>
                <w:color w:val="FFFFFF"/>
                <w:sz w:val="20"/>
              </w:rPr>
              <w:t>Core Question</w:t>
            </w:r>
          </w:p>
        </w:tc>
      </w:tr>
      <w:tr>
        <w:tc>
          <w:tcPr>
            <w:tcW w:type="dxa" w:w="2160"/>
            <w:shd w:fill="EBF0F7" w:val="clear"/>
          </w:tcPr>
          <w:p>
            <w:r>
              <w:rPr>
                <w:rFonts w:ascii="Times New Roman" w:hAnsi="Times New Roman"/>
                <w:b w:val="0"/>
                <w:i w:val="0"/>
                <w:sz w:val="20"/>
              </w:rPr>
              <w:t>1</w:t>
            </w:r>
          </w:p>
        </w:tc>
        <w:tc>
          <w:tcPr>
            <w:tcW w:type="dxa" w:w="2160"/>
            <w:shd w:fill="EBF0F7" w:val="clear"/>
          </w:tcPr>
          <w:p>
            <w:r>
              <w:rPr>
                <w:rFonts w:ascii="Times New Roman" w:hAnsi="Times New Roman"/>
                <w:b w:val="0"/>
                <w:i w:val="0"/>
                <w:sz w:val="20"/>
              </w:rPr>
              <w:t>World (No-LLM vs. LLM Neutral)</w:t>
            </w:r>
          </w:p>
        </w:tc>
        <w:tc>
          <w:tcPr>
            <w:tcW w:type="dxa" w:w="2160"/>
            <w:shd w:fill="EBF0F7" w:val="clear"/>
          </w:tcPr>
          <w:p>
            <w:r>
              <w:rPr>
                <w:rFonts w:ascii="Times New Roman" w:hAnsi="Times New Roman"/>
                <w:b w:val="0"/>
                <w:i w:val="0"/>
                <w:sz w:val="20"/>
              </w:rPr>
              <w:t>Neutral regime</w:t>
            </w:r>
          </w:p>
        </w:tc>
        <w:tc>
          <w:tcPr>
            <w:tcW w:type="dxa" w:w="2160"/>
            <w:shd w:fill="EBF0F7" w:val="clear"/>
          </w:tcPr>
          <w:p>
            <w:r>
              <w:rPr>
                <w:rFonts w:ascii="Times New Roman" w:hAnsi="Times New Roman"/>
                <w:b w:val="0"/>
                <w:i w:val="0"/>
                <w:sz w:val="20"/>
              </w:rPr>
              <w:t>Does LLM intermediation improve on loyalty-based search?</w:t>
            </w:r>
          </w:p>
        </w:tc>
      </w:tr>
      <w:tr>
        <w:tc>
          <w:tcPr>
            <w:tcW w:type="dxa" w:w="2160"/>
          </w:tcPr>
          <w:p>
            <w:r>
              <w:rPr>
                <w:rFonts w:ascii="Times New Roman" w:hAnsi="Times New Roman"/>
                <w:b w:val="0"/>
                <w:i w:val="0"/>
                <w:sz w:val="20"/>
              </w:rPr>
              <w:t>2</w:t>
            </w:r>
          </w:p>
        </w:tc>
        <w:tc>
          <w:tcPr>
            <w:tcW w:type="dxa" w:w="2160"/>
          </w:tcPr>
          <w:p>
            <w:r>
              <w:rPr>
                <w:rFonts w:ascii="Times New Roman" w:hAnsi="Times New Roman"/>
                <w:b w:val="0"/>
                <w:i w:val="0"/>
                <w:sz w:val="20"/>
              </w:rPr>
              <w:t>Regime (Neutral / CPC / CPA / CPFI)</w:t>
            </w:r>
          </w:p>
        </w:tc>
        <w:tc>
          <w:tcPr>
            <w:tcW w:type="dxa" w:w="2160"/>
          </w:tcPr>
          <w:p>
            <w:r>
              <w:rPr>
                <w:rFonts w:ascii="Times New Roman" w:hAnsi="Times New Roman"/>
                <w:b w:val="0"/>
                <w:i w:val="0"/>
                <w:sz w:val="20"/>
              </w:rPr>
              <w:t>LLM world</w:t>
            </w:r>
          </w:p>
        </w:tc>
        <w:tc>
          <w:tcPr>
            <w:tcW w:type="dxa" w:w="2160"/>
          </w:tcPr>
          <w:p>
            <w:r>
              <w:rPr>
                <w:rFonts w:ascii="Times New Roman" w:hAnsi="Times New Roman"/>
                <w:b w:val="0"/>
                <w:i w:val="0"/>
                <w:sz w:val="20"/>
              </w:rPr>
              <w:t>How does payment structure affect outcomes and platform WTP?</w:t>
            </w:r>
          </w:p>
        </w:tc>
      </w:tr>
      <w:tr>
        <w:tc>
          <w:tcPr>
            <w:tcW w:type="dxa" w:w="2160"/>
            <w:shd w:fill="EBF0F7" w:val="clear"/>
          </w:tcPr>
          <w:p>
            <w:r>
              <w:rPr>
                <w:rFonts w:ascii="Times New Roman" w:hAnsi="Times New Roman"/>
                <w:b w:val="0"/>
                <w:i w:val="0"/>
                <w:sz w:val="20"/>
              </w:rPr>
              <w:t>3</w:t>
            </w:r>
          </w:p>
        </w:tc>
        <w:tc>
          <w:tcPr>
            <w:tcW w:type="dxa" w:w="2160"/>
            <w:shd w:fill="EBF0F7" w:val="clear"/>
          </w:tcPr>
          <w:p>
            <w:r>
              <w:rPr>
                <w:rFonts w:ascii="Times New Roman" w:hAnsi="Times New Roman"/>
                <w:b w:val="0"/>
                <w:i w:val="0"/>
                <w:sz w:val="20"/>
              </w:rPr>
              <w:t>Bias strength (0.0 → 1.0)</w:t>
            </w:r>
          </w:p>
        </w:tc>
        <w:tc>
          <w:tcPr>
            <w:tcW w:type="dxa" w:w="2160"/>
            <w:shd w:fill="EBF0F7" w:val="clear"/>
          </w:tcPr>
          <w:p>
            <w:r>
              <w:rPr>
                <w:rFonts w:ascii="Times New Roman" w:hAnsi="Times New Roman"/>
                <w:b w:val="0"/>
                <w:i w:val="0"/>
                <w:sz w:val="20"/>
              </w:rPr>
              <w:t>CPC regime</w:t>
            </w:r>
          </w:p>
        </w:tc>
        <w:tc>
          <w:tcPr>
            <w:tcW w:type="dxa" w:w="2160"/>
            <w:shd w:fill="EBF0F7" w:val="clear"/>
          </w:tcPr>
          <w:p>
            <w:r>
              <w:rPr>
                <w:rFonts w:ascii="Times New Roman" w:hAnsi="Times New Roman"/>
                <w:b w:val="0"/>
                <w:i w:val="0"/>
                <w:sz w:val="20"/>
              </w:rPr>
              <w:t>How much bias is tolerable before LLM is worse than no-LLM?</w:t>
            </w:r>
          </w:p>
        </w:tc>
      </w:tr>
      <w:tr>
        <w:tc>
          <w:tcPr>
            <w:tcW w:type="dxa" w:w="2160"/>
          </w:tcPr>
          <w:p>
            <w:r>
              <w:rPr>
                <w:rFonts w:ascii="Times New Roman" w:hAnsi="Times New Roman"/>
                <w:b w:val="0"/>
                <w:i w:val="0"/>
                <w:sz w:val="20"/>
              </w:rPr>
              <w:t>4</w:t>
            </w:r>
          </w:p>
        </w:tc>
        <w:tc>
          <w:tcPr>
            <w:tcW w:type="dxa" w:w="2160"/>
          </w:tcPr>
          <w:p>
            <w:r>
              <w:rPr>
                <w:rFonts w:ascii="Times New Roman" w:hAnsi="Times New Roman"/>
                <w:b w:val="0"/>
                <w:i w:val="0"/>
                <w:sz w:val="20"/>
              </w:rPr>
              <w:t>Consumer trust range</w:t>
            </w:r>
          </w:p>
        </w:tc>
        <w:tc>
          <w:tcPr>
            <w:tcW w:type="dxa" w:w="2160"/>
          </w:tcPr>
          <w:p>
            <w:r>
              <w:rPr>
                <w:rFonts w:ascii="Times New Roman" w:hAnsi="Times New Roman"/>
                <w:b w:val="0"/>
                <w:i w:val="0"/>
                <w:sz w:val="20"/>
              </w:rPr>
              <w:t>LLM Neutral</w:t>
            </w:r>
          </w:p>
        </w:tc>
        <w:tc>
          <w:tcPr>
            <w:tcW w:type="dxa" w:w="2160"/>
          </w:tcPr>
          <w:p>
            <w:r>
              <w:rPr>
                <w:rFonts w:ascii="Times New Roman" w:hAnsi="Times New Roman"/>
                <w:b w:val="0"/>
                <w:i w:val="0"/>
                <w:sz w:val="20"/>
              </w:rPr>
              <w:t>Does trust adoption shift market power and match quality?</w:t>
            </w:r>
          </w:p>
        </w:tc>
      </w:tr>
    </w:tbl>
    <w:p/>
    <w:p>
      <w:pPr>
        <w:spacing w:after="80" w:before="0"/>
        <w:ind w:firstLine="0"/>
      </w:pPr>
      <w:r>
        <w:rPr>
          <w:rFonts w:ascii="Times New Roman" w:hAnsi="Times New Roman"/>
          <w:b w:val="0"/>
          <w:i w:val="0"/>
          <w:sz w:val="22"/>
        </w:rPr>
        <w:t>Each experiment runs 10 Monte Carlo iterations of 1,000 consumers (10,000 sessions per scenario). For Experiment 2, paid regime rates are calibrated endogenously: the model first estimates each regime's gross platform surplus with routing bias active but LLM payments set to zero, then scales actual payments to 50% of aggregate gross positive surplus. A separate attribution module performs counterfactual causal analysis on a 30-consumer sample with 50 re-simulations per consumer.</w:t>
      </w:r>
    </w:p>
    <w:p>
      <w:pPr>
        <w:spacing w:before="280" w:after="80"/>
      </w:pPr>
      <w:r>
        <w:rPr>
          <w:rFonts w:ascii="Times New Roman" w:hAnsi="Times New Roman"/>
          <w:b/>
          <w:i w:val="0"/>
          <w:color w:val="1F4578"/>
          <w:sz w:val="26"/>
        </w:rPr>
        <w:t>5. Results</w:t>
      </w:r>
    </w:p>
    <w:p>
      <w:pPr>
        <w:spacing w:before="160" w:after="40"/>
      </w:pPr>
      <w:r>
        <w:rPr>
          <w:rFonts w:ascii="Times New Roman" w:hAnsi="Times New Roman"/>
          <w:b/>
          <w:i w:val="0"/>
          <w:sz w:val="22"/>
        </w:rPr>
        <w:t>5.1  Experiment 1: LLM vs. No-LLM Baseline</w:t>
      </w:r>
    </w:p>
    <w:p>
      <w:pPr>
        <w:spacing w:after="80" w:before="0"/>
        <w:ind w:firstLine="0"/>
      </w:pPr>
      <w:r>
        <w:rPr>
          <w:rFonts w:ascii="Times New Roman" w:hAnsi="Times New Roman"/>
          <w:b w:val="0"/>
          <w:i w:val="0"/>
          <w:sz w:val="22"/>
        </w:rPr>
        <w:t>The neutral LLM improves consumer welfare compared to the loyalty-aware baseline, though the improvement is more modest than a naive cross-platform aggregation would suggest. Intent fulfilment rises from 0.683 to 0.747 (+9.3%), average price paid falls by $1.71, and average delivery time falls by 1.7 minutes. Conversion increases 1.2 percentage points.</w:t>
      </w:r>
    </w:p>
    <w:p>
      <w:pPr>
        <w:spacing w:before="80" w:after="120"/>
      </w:pPr>
      <w:r>
        <w:rPr>
          <w:rFonts w:ascii="Times New Roman" w:hAnsi="Times New Roman"/>
          <w:b/>
          <w:i/>
          <w:sz w:val="20"/>
        </w:rPr>
        <w:t>Table 2. Experiment 1 results: No-LLM vs. LLM Neutral (10 runs × 1,000 consumers).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578" w:color="FFFFFF" w:val="clear"/>
          </w:tcPr>
          <w:p>
            <w:r>
              <w:rPr>
                <w:rFonts w:ascii="Times New Roman" w:hAnsi="Times New Roman"/>
                <w:b/>
                <w:i w:val="0"/>
                <w:color w:val="FFFFFF"/>
                <w:sz w:val="20"/>
              </w:rPr>
              <w:t>Metric</w:t>
            </w:r>
          </w:p>
        </w:tc>
        <w:tc>
          <w:tcPr>
            <w:tcW w:type="dxa" w:w="2160"/>
            <w:shd w:fill="1F4578" w:color="FFFFFF" w:val="clear"/>
          </w:tcPr>
          <w:p>
            <w:r>
              <w:rPr>
                <w:rFonts w:ascii="Times New Roman" w:hAnsi="Times New Roman"/>
                <w:b/>
                <w:i w:val="0"/>
                <w:color w:val="FFFFFF"/>
                <w:sz w:val="20"/>
              </w:rPr>
              <w:t>No-LLM</w:t>
            </w:r>
          </w:p>
        </w:tc>
        <w:tc>
          <w:tcPr>
            <w:tcW w:type="dxa" w:w="2160"/>
            <w:shd w:fill="1F4578" w:color="FFFFFF" w:val="clear"/>
          </w:tcPr>
          <w:p>
            <w:r>
              <w:rPr>
                <w:rFonts w:ascii="Times New Roman" w:hAnsi="Times New Roman"/>
                <w:b/>
                <w:i w:val="0"/>
                <w:color w:val="FFFFFF"/>
                <w:sz w:val="20"/>
              </w:rPr>
              <w:t>LLM Neutral</w:t>
            </w:r>
          </w:p>
        </w:tc>
        <w:tc>
          <w:tcPr>
            <w:tcW w:type="dxa" w:w="2160"/>
            <w:shd w:fill="1F4578" w:color="FFFFFF" w:val="clear"/>
          </w:tcPr>
          <w:p>
            <w:r>
              <w:rPr>
                <w:rFonts w:ascii="Times New Roman" w:hAnsi="Times New Roman"/>
                <w:b/>
                <w:i w:val="0"/>
                <w:color w:val="FFFFFF"/>
                <w:sz w:val="20"/>
              </w:rPr>
              <w:t>Change</w:t>
            </w:r>
          </w:p>
        </w:tc>
      </w:tr>
      <w:tr>
        <w:tc>
          <w:tcPr>
            <w:tcW w:type="dxa" w:w="2160"/>
            <w:shd w:fill="EBF0F7" w:val="clear"/>
          </w:tcPr>
          <w:p>
            <w:r>
              <w:rPr>
                <w:rFonts w:ascii="Times New Roman" w:hAnsi="Times New Roman"/>
                <w:b w:val="0"/>
                <w:i w:val="0"/>
                <w:sz w:val="20"/>
              </w:rPr>
              <w:t>Intent fulfilment</w:t>
            </w:r>
          </w:p>
        </w:tc>
        <w:tc>
          <w:tcPr>
            <w:tcW w:type="dxa" w:w="2160"/>
            <w:shd w:fill="EBF0F7" w:val="clear"/>
          </w:tcPr>
          <w:p>
            <w:r>
              <w:rPr>
                <w:rFonts w:ascii="Times New Roman" w:hAnsi="Times New Roman"/>
                <w:b w:val="0"/>
                <w:i w:val="0"/>
                <w:sz w:val="20"/>
              </w:rPr>
              <w:t>0.683</w:t>
            </w:r>
          </w:p>
        </w:tc>
        <w:tc>
          <w:tcPr>
            <w:tcW w:type="dxa" w:w="2160"/>
            <w:shd w:fill="EBF0F7" w:val="clear"/>
          </w:tcPr>
          <w:p>
            <w:r>
              <w:rPr>
                <w:rFonts w:ascii="Times New Roman" w:hAnsi="Times New Roman"/>
                <w:b w:val="0"/>
                <w:i w:val="0"/>
                <w:sz w:val="20"/>
              </w:rPr>
              <w:t>0.747</w:t>
            </w:r>
          </w:p>
        </w:tc>
        <w:tc>
          <w:tcPr>
            <w:tcW w:type="dxa" w:w="2160"/>
            <w:shd w:fill="EBF0F7" w:val="clear"/>
          </w:tcPr>
          <w:p>
            <w:r>
              <w:rPr>
                <w:rFonts w:ascii="Times New Roman" w:hAnsi="Times New Roman"/>
                <w:b w:val="0"/>
                <w:i w:val="0"/>
                <w:sz w:val="20"/>
              </w:rPr>
              <w:t>+9.3%</w:t>
            </w:r>
          </w:p>
        </w:tc>
      </w:tr>
      <w:tr>
        <w:tc>
          <w:tcPr>
            <w:tcW w:type="dxa" w:w="2160"/>
          </w:tcPr>
          <w:p>
            <w:r>
              <w:rPr>
                <w:rFonts w:ascii="Times New Roman" w:hAnsi="Times New Roman"/>
                <w:b w:val="0"/>
                <w:i w:val="0"/>
                <w:sz w:val="20"/>
              </w:rPr>
              <w:t>Consumer utility</w:t>
            </w:r>
          </w:p>
        </w:tc>
        <w:tc>
          <w:tcPr>
            <w:tcW w:type="dxa" w:w="2160"/>
          </w:tcPr>
          <w:p>
            <w:r>
              <w:rPr>
                <w:rFonts w:ascii="Times New Roman" w:hAnsi="Times New Roman"/>
                <w:b w:val="0"/>
                <w:i w:val="0"/>
                <w:sz w:val="20"/>
              </w:rPr>
              <w:t>2.368</w:t>
            </w:r>
          </w:p>
        </w:tc>
        <w:tc>
          <w:tcPr>
            <w:tcW w:type="dxa" w:w="2160"/>
          </w:tcPr>
          <w:p>
            <w:r>
              <w:rPr>
                <w:rFonts w:ascii="Times New Roman" w:hAnsi="Times New Roman"/>
                <w:b w:val="0"/>
                <w:i w:val="0"/>
                <w:sz w:val="20"/>
              </w:rPr>
              <w:t>2.375</w:t>
            </w:r>
          </w:p>
        </w:tc>
        <w:tc>
          <w:tcPr>
            <w:tcW w:type="dxa" w:w="2160"/>
          </w:tcPr>
          <w:p>
            <w:r>
              <w:rPr>
                <w:rFonts w:ascii="Times New Roman" w:hAnsi="Times New Roman"/>
                <w:b w:val="0"/>
                <w:i w:val="0"/>
                <w:sz w:val="20"/>
              </w:rPr>
              <w:t>+0.3%</w:t>
            </w:r>
          </w:p>
        </w:tc>
      </w:tr>
      <w:tr>
        <w:tc>
          <w:tcPr>
            <w:tcW w:type="dxa" w:w="2160"/>
            <w:shd w:fill="EBF0F7" w:val="clear"/>
          </w:tcPr>
          <w:p>
            <w:r>
              <w:rPr>
                <w:rFonts w:ascii="Times New Roman" w:hAnsi="Times New Roman"/>
                <w:b w:val="0"/>
                <w:i w:val="0"/>
                <w:sz w:val="20"/>
              </w:rPr>
              <w:t>Conversion rate</w:t>
            </w:r>
          </w:p>
        </w:tc>
        <w:tc>
          <w:tcPr>
            <w:tcW w:type="dxa" w:w="2160"/>
            <w:shd w:fill="EBF0F7" w:val="clear"/>
          </w:tcPr>
          <w:p>
            <w:r>
              <w:rPr>
                <w:rFonts w:ascii="Times New Roman" w:hAnsi="Times New Roman"/>
                <w:b w:val="0"/>
                <w:i w:val="0"/>
                <w:sz w:val="20"/>
              </w:rPr>
              <w:t>80.4%</w:t>
            </w:r>
          </w:p>
        </w:tc>
        <w:tc>
          <w:tcPr>
            <w:tcW w:type="dxa" w:w="2160"/>
            <w:shd w:fill="EBF0F7" w:val="clear"/>
          </w:tcPr>
          <w:p>
            <w:r>
              <w:rPr>
                <w:rFonts w:ascii="Times New Roman" w:hAnsi="Times New Roman"/>
                <w:b w:val="0"/>
                <w:i w:val="0"/>
                <w:sz w:val="20"/>
              </w:rPr>
              <w:t>81.6%</w:t>
            </w:r>
          </w:p>
        </w:tc>
        <w:tc>
          <w:tcPr>
            <w:tcW w:type="dxa" w:w="2160"/>
            <w:shd w:fill="EBF0F7" w:val="clear"/>
          </w:tcPr>
          <w:p>
            <w:r>
              <w:rPr>
                <w:rFonts w:ascii="Times New Roman" w:hAnsi="Times New Roman"/>
                <w:b w:val="0"/>
                <w:i w:val="0"/>
                <w:sz w:val="20"/>
              </w:rPr>
              <w:t>+1.2 pp</w:t>
            </w:r>
          </w:p>
        </w:tc>
      </w:tr>
      <w:tr>
        <w:tc>
          <w:tcPr>
            <w:tcW w:type="dxa" w:w="2160"/>
          </w:tcPr>
          <w:p>
            <w:r>
              <w:rPr>
                <w:rFonts w:ascii="Times New Roman" w:hAnsi="Times New Roman"/>
                <w:b w:val="0"/>
                <w:i w:val="0"/>
                <w:sz w:val="20"/>
              </w:rPr>
              <w:t>Avg price paid</w:t>
            </w:r>
          </w:p>
        </w:tc>
        <w:tc>
          <w:tcPr>
            <w:tcW w:type="dxa" w:w="2160"/>
          </w:tcPr>
          <w:p>
            <w:r>
              <w:rPr>
                <w:rFonts w:ascii="Times New Roman" w:hAnsi="Times New Roman"/>
                <w:b w:val="0"/>
                <w:i w:val="0"/>
                <w:sz w:val="20"/>
              </w:rPr>
              <w:t>$34.19</w:t>
            </w:r>
          </w:p>
        </w:tc>
        <w:tc>
          <w:tcPr>
            <w:tcW w:type="dxa" w:w="2160"/>
          </w:tcPr>
          <w:p>
            <w:r>
              <w:rPr>
                <w:rFonts w:ascii="Times New Roman" w:hAnsi="Times New Roman"/>
                <w:b w:val="0"/>
                <w:i w:val="0"/>
                <w:sz w:val="20"/>
              </w:rPr>
              <w:t>$32.48</w:t>
            </w:r>
          </w:p>
        </w:tc>
        <w:tc>
          <w:tcPr>
            <w:tcW w:type="dxa" w:w="2160"/>
          </w:tcPr>
          <w:p>
            <w:r>
              <w:rPr>
                <w:rFonts w:ascii="Times New Roman" w:hAnsi="Times New Roman"/>
                <w:b w:val="0"/>
                <w:i w:val="0"/>
                <w:sz w:val="20"/>
              </w:rPr>
              <w:t>−$1.71</w:t>
            </w:r>
          </w:p>
        </w:tc>
      </w:tr>
      <w:tr>
        <w:tc>
          <w:tcPr>
            <w:tcW w:type="dxa" w:w="2160"/>
            <w:shd w:fill="EBF0F7" w:val="clear"/>
          </w:tcPr>
          <w:p>
            <w:r>
              <w:rPr>
                <w:rFonts w:ascii="Times New Roman" w:hAnsi="Times New Roman"/>
                <w:b w:val="0"/>
                <w:i w:val="0"/>
                <w:sz w:val="20"/>
              </w:rPr>
              <w:t>Avg delivery time</w:t>
            </w:r>
          </w:p>
        </w:tc>
        <w:tc>
          <w:tcPr>
            <w:tcW w:type="dxa" w:w="2160"/>
            <w:shd w:fill="EBF0F7" w:val="clear"/>
          </w:tcPr>
          <w:p>
            <w:r>
              <w:rPr>
                <w:rFonts w:ascii="Times New Roman" w:hAnsi="Times New Roman"/>
                <w:b w:val="0"/>
                <w:i w:val="0"/>
                <w:sz w:val="20"/>
              </w:rPr>
              <w:t>36.4 min</w:t>
            </w:r>
          </w:p>
        </w:tc>
        <w:tc>
          <w:tcPr>
            <w:tcW w:type="dxa" w:w="2160"/>
            <w:shd w:fill="EBF0F7" w:val="clear"/>
          </w:tcPr>
          <w:p>
            <w:r>
              <w:rPr>
                <w:rFonts w:ascii="Times New Roman" w:hAnsi="Times New Roman"/>
                <w:b w:val="0"/>
                <w:i w:val="0"/>
                <w:sz w:val="20"/>
              </w:rPr>
              <w:t>34.7 min</w:t>
            </w:r>
          </w:p>
        </w:tc>
        <w:tc>
          <w:tcPr>
            <w:tcW w:type="dxa" w:w="2160"/>
            <w:shd w:fill="EBF0F7" w:val="clear"/>
          </w:tcPr>
          <w:p>
            <w:r>
              <w:rPr>
                <w:rFonts w:ascii="Times New Roman" w:hAnsi="Times New Roman"/>
                <w:b w:val="0"/>
                <w:i w:val="0"/>
                <w:sz w:val="20"/>
              </w:rPr>
              <w:t>−1.7 min</w:t>
            </w:r>
          </w:p>
        </w:tc>
      </w:tr>
      <w:tr>
        <w:tc>
          <w:tcPr>
            <w:tcW w:type="dxa" w:w="2160"/>
          </w:tcPr>
          <w:p>
            <w:r>
              <w:rPr>
                <w:rFonts w:ascii="Times New Roman" w:hAnsi="Times New Roman"/>
                <w:b w:val="0"/>
                <w:i w:val="0"/>
                <w:sz w:val="20"/>
              </w:rPr>
              <w:t>Shortlist relevance</w:t>
            </w:r>
          </w:p>
        </w:tc>
        <w:tc>
          <w:tcPr>
            <w:tcW w:type="dxa" w:w="2160"/>
          </w:tcPr>
          <w:p>
            <w:r>
              <w:rPr>
                <w:rFonts w:ascii="Times New Roman" w:hAnsi="Times New Roman"/>
                <w:b w:val="0"/>
                <w:i w:val="0"/>
                <w:sz w:val="20"/>
              </w:rPr>
              <w:t>—</w:t>
            </w:r>
          </w:p>
        </w:tc>
        <w:tc>
          <w:tcPr>
            <w:tcW w:type="dxa" w:w="2160"/>
          </w:tcPr>
          <w:p>
            <w:r>
              <w:rPr>
                <w:rFonts w:ascii="Times New Roman" w:hAnsi="Times New Roman"/>
                <w:b w:val="0"/>
                <w:i w:val="0"/>
                <w:sz w:val="20"/>
              </w:rPr>
              <w:t>0.972</w:t>
            </w:r>
          </w:p>
        </w:tc>
        <w:tc>
          <w:tcPr>
            <w:tcW w:type="dxa" w:w="2160"/>
          </w:tcPr>
          <w:p>
            <w:r>
              <w:rPr>
                <w:rFonts w:ascii="Times New Roman" w:hAnsi="Times New Roman"/>
                <w:b w:val="0"/>
                <w:i w:val="0"/>
                <w:sz w:val="20"/>
              </w:rPr>
              <w:t>—</w:t>
            </w:r>
          </w:p>
        </w:tc>
      </w:tr>
      <w:tr>
        <w:tc>
          <w:tcPr>
            <w:tcW w:type="dxa" w:w="2160"/>
            <w:shd w:fill="EBF0F7" w:val="clear"/>
          </w:tcPr>
          <w:p>
            <w:r>
              <w:rPr>
                <w:rFonts w:ascii="Times New Roman" w:hAnsi="Times New Roman"/>
                <w:b w:val="0"/>
                <w:i w:val="0"/>
                <w:sz w:val="20"/>
              </w:rPr>
              <w:t>LLM click-through rate</w:t>
            </w:r>
          </w:p>
        </w:tc>
        <w:tc>
          <w:tcPr>
            <w:tcW w:type="dxa" w:w="2160"/>
            <w:shd w:fill="EBF0F7" w:val="clear"/>
          </w:tcPr>
          <w:p>
            <w:r>
              <w:rPr>
                <w:rFonts w:ascii="Times New Roman" w:hAnsi="Times New Roman"/>
                <w:b w:val="0"/>
                <w:i w:val="0"/>
                <w:sz w:val="20"/>
              </w:rPr>
              <w:t>—</w:t>
            </w:r>
          </w:p>
        </w:tc>
        <w:tc>
          <w:tcPr>
            <w:tcW w:type="dxa" w:w="2160"/>
            <w:shd w:fill="EBF0F7" w:val="clear"/>
          </w:tcPr>
          <w:p>
            <w:r>
              <w:rPr>
                <w:rFonts w:ascii="Times New Roman" w:hAnsi="Times New Roman"/>
                <w:b w:val="0"/>
                <w:i w:val="0"/>
                <w:sz w:val="20"/>
              </w:rPr>
              <w:t>93.9%</w:t>
            </w:r>
          </w:p>
        </w:tc>
        <w:tc>
          <w:tcPr>
            <w:tcW w:type="dxa" w:w="2160"/>
            <w:shd w:fill="EBF0F7" w:val="clear"/>
          </w:tcPr>
          <w:p>
            <w:r>
              <w:rPr>
                <w:rFonts w:ascii="Times New Roman" w:hAnsi="Times New Roman"/>
                <w:b w:val="0"/>
                <w:i w:val="0"/>
                <w:sz w:val="20"/>
              </w:rPr>
              <w:t>—</w:t>
            </w:r>
          </w:p>
        </w:tc>
      </w:tr>
      <w:tr>
        <w:tc>
          <w:tcPr>
            <w:tcW w:type="dxa" w:w="2160"/>
          </w:tcPr>
          <w:p>
            <w:r>
              <w:rPr>
                <w:rFonts w:ascii="Times New Roman" w:hAnsi="Times New Roman"/>
                <w:b w:val="0"/>
                <w:i w:val="0"/>
                <w:sz w:val="20"/>
              </w:rPr>
              <w:t>Platforms inspected</w:t>
            </w:r>
          </w:p>
        </w:tc>
        <w:tc>
          <w:tcPr>
            <w:tcW w:type="dxa" w:w="2160"/>
          </w:tcPr>
          <w:p>
            <w:r>
              <w:rPr>
                <w:rFonts w:ascii="Times New Roman" w:hAnsi="Times New Roman"/>
                <w:b w:val="0"/>
                <w:i w:val="0"/>
                <w:sz w:val="20"/>
              </w:rPr>
              <w:t>2.0</w:t>
            </w:r>
          </w:p>
        </w:tc>
        <w:tc>
          <w:tcPr>
            <w:tcW w:type="dxa" w:w="2160"/>
          </w:tcPr>
          <w:p>
            <w:r>
              <w:rPr>
                <w:rFonts w:ascii="Times New Roman" w:hAnsi="Times New Roman"/>
                <w:b w:val="0"/>
                <w:i w:val="0"/>
                <w:sz w:val="20"/>
              </w:rPr>
              <w:t>1.0</w:t>
            </w:r>
          </w:p>
        </w:tc>
        <w:tc>
          <w:tcPr>
            <w:tcW w:type="dxa" w:w="2160"/>
          </w:tcPr>
          <w:p>
            <w:r>
              <w:rPr>
                <w:rFonts w:ascii="Times New Roman" w:hAnsi="Times New Roman"/>
                <w:b w:val="0"/>
                <w:i w:val="0"/>
                <w:sz w:val="20"/>
              </w:rPr>
              <w:t>−50% friction</w:t>
            </w:r>
          </w:p>
        </w:tc>
      </w:tr>
      <w:tr>
        <w:tc>
          <w:tcPr>
            <w:tcW w:type="dxa" w:w="2160"/>
            <w:shd w:fill="EBF0F7" w:val="clear"/>
          </w:tcPr>
          <w:p>
            <w:r>
              <w:rPr>
                <w:rFonts w:ascii="Times New Roman" w:hAnsi="Times New Roman"/>
                <w:b w:val="0"/>
                <w:i w:val="0"/>
                <w:sz w:val="20"/>
              </w:rPr>
              <w:t>Restaurant profit/order</w:t>
            </w:r>
          </w:p>
        </w:tc>
        <w:tc>
          <w:tcPr>
            <w:tcW w:type="dxa" w:w="2160"/>
            <w:shd w:fill="EBF0F7" w:val="clear"/>
          </w:tcPr>
          <w:p>
            <w:r>
              <w:rPr>
                <w:rFonts w:ascii="Times New Roman" w:hAnsi="Times New Roman"/>
                <w:b w:val="0"/>
                <w:i w:val="0"/>
                <w:sz w:val="20"/>
              </w:rPr>
              <w:t>$11.45</w:t>
            </w:r>
          </w:p>
        </w:tc>
        <w:tc>
          <w:tcPr>
            <w:tcW w:type="dxa" w:w="2160"/>
            <w:shd w:fill="EBF0F7" w:val="clear"/>
          </w:tcPr>
          <w:p>
            <w:r>
              <w:rPr>
                <w:rFonts w:ascii="Times New Roman" w:hAnsi="Times New Roman"/>
                <w:b w:val="0"/>
                <w:i w:val="0"/>
                <w:sz w:val="20"/>
              </w:rPr>
              <w:t>$10.47</w:t>
            </w:r>
          </w:p>
        </w:tc>
        <w:tc>
          <w:tcPr>
            <w:tcW w:type="dxa" w:w="2160"/>
            <w:shd w:fill="EBF0F7" w:val="clear"/>
          </w:tcPr>
          <w:p>
            <w:r>
              <w:rPr>
                <w:rFonts w:ascii="Times New Roman" w:hAnsi="Times New Roman"/>
                <w:b w:val="0"/>
                <w:i w:val="0"/>
                <w:sz w:val="20"/>
              </w:rPr>
              <w:t>−8.6%</w:t>
            </w:r>
          </w:p>
        </w:tc>
      </w:tr>
      <w:tr>
        <w:tc>
          <w:tcPr>
            <w:tcW w:type="dxa" w:w="2160"/>
          </w:tcPr>
          <w:p>
            <w:r>
              <w:rPr>
                <w:rFonts w:ascii="Times New Roman" w:hAnsi="Times New Roman"/>
                <w:b w:val="0"/>
                <w:i w:val="0"/>
                <w:sz w:val="20"/>
              </w:rPr>
              <w:t>Platform net revenue</w:t>
            </w:r>
          </w:p>
        </w:tc>
        <w:tc>
          <w:tcPr>
            <w:tcW w:type="dxa" w:w="2160"/>
          </w:tcPr>
          <w:p>
            <w:r>
              <w:rPr>
                <w:rFonts w:ascii="Times New Roman" w:hAnsi="Times New Roman"/>
                <w:b w:val="0"/>
                <w:i w:val="0"/>
                <w:sz w:val="20"/>
              </w:rPr>
              <w:t>$69,366</w:t>
            </w:r>
          </w:p>
        </w:tc>
        <w:tc>
          <w:tcPr>
            <w:tcW w:type="dxa" w:w="2160"/>
          </w:tcPr>
          <w:p>
            <w:r>
              <w:rPr>
                <w:rFonts w:ascii="Times New Roman" w:hAnsi="Times New Roman"/>
                <w:b w:val="0"/>
                <w:i w:val="0"/>
                <w:sz w:val="20"/>
              </w:rPr>
              <w:t>$67,884</w:t>
            </w:r>
          </w:p>
        </w:tc>
        <w:tc>
          <w:tcPr>
            <w:tcW w:type="dxa" w:w="2160"/>
          </w:tcPr>
          <w:p>
            <w:r>
              <w:rPr>
                <w:rFonts w:ascii="Times New Roman" w:hAnsi="Times New Roman"/>
                <w:b w:val="0"/>
                <w:i w:val="0"/>
                <w:sz w:val="20"/>
              </w:rPr>
              <w:t>−2.1%</w:t>
            </w:r>
          </w:p>
        </w:tc>
      </w:tr>
      <w:tr>
        <w:tc>
          <w:tcPr>
            <w:tcW w:type="dxa" w:w="2160"/>
            <w:shd w:fill="EBF0F7" w:val="clear"/>
          </w:tcPr>
          <w:p>
            <w:r>
              <w:rPr>
                <w:rFonts w:ascii="Times New Roman" w:hAnsi="Times New Roman"/>
                <w:b w:val="0"/>
                <w:i w:val="0"/>
                <w:sz w:val="20"/>
              </w:rPr>
              <w:t>Restaurant exposure HHI</w:t>
            </w:r>
          </w:p>
        </w:tc>
        <w:tc>
          <w:tcPr>
            <w:tcW w:type="dxa" w:w="2160"/>
            <w:shd w:fill="EBF0F7" w:val="clear"/>
          </w:tcPr>
          <w:p>
            <w:r>
              <w:rPr>
                <w:rFonts w:ascii="Times New Roman" w:hAnsi="Times New Roman"/>
                <w:b w:val="0"/>
                <w:i w:val="0"/>
                <w:sz w:val="20"/>
              </w:rPr>
              <w:t>0.0202</w:t>
            </w:r>
          </w:p>
        </w:tc>
        <w:tc>
          <w:tcPr>
            <w:tcW w:type="dxa" w:w="2160"/>
            <w:shd w:fill="EBF0F7" w:val="clear"/>
          </w:tcPr>
          <w:p>
            <w:r>
              <w:rPr>
                <w:rFonts w:ascii="Times New Roman" w:hAnsi="Times New Roman"/>
                <w:b w:val="0"/>
                <w:i w:val="0"/>
                <w:sz w:val="20"/>
              </w:rPr>
              <w:t>0.0215</w:t>
            </w:r>
          </w:p>
        </w:tc>
        <w:tc>
          <w:tcPr>
            <w:tcW w:type="dxa" w:w="2160"/>
            <w:shd w:fill="EBF0F7" w:val="clear"/>
          </w:tcPr>
          <w:p>
            <w:r>
              <w:rPr>
                <w:rFonts w:ascii="Times New Roman" w:hAnsi="Times New Roman"/>
                <w:b w:val="0"/>
                <w:i w:val="0"/>
                <w:sz w:val="20"/>
              </w:rPr>
              <w:t>+6.4%</w:t>
            </w:r>
          </w:p>
        </w:tc>
      </w:tr>
    </w:tbl>
    <w:p/>
    <w:p>
      <w:pPr>
        <w:spacing w:after="80" w:before="0"/>
        <w:ind w:firstLine="0"/>
      </w:pPr>
      <w:r>
        <w:rPr>
          <w:rFonts w:ascii="Times New Roman" w:hAnsi="Times New Roman"/>
          <w:b w:val="0"/>
          <w:i w:val="0"/>
          <w:sz w:val="22"/>
        </w:rPr>
        <w:t>Three mechanisms drive the intent fulfilment gain. First, the LLM aggregates all three platforms, eliminating the risk that a consumer's two most-loyal platforms both lack the desired cuisine. Second, the LLM's scoring simultaneously balances cuisine match, affordability, quality, and delivery time. Third, the LLM applies a quality adjustment in its intent score, surfacing higher-rated options within the consumer's budget.</w:t>
      </w:r>
    </w:p>
    <w:p>
      <w:pPr>
        <w:spacing w:after="80" w:before="0"/>
        <w:ind w:firstLine="0"/>
      </w:pPr>
      <w:r>
        <w:rPr>
          <w:rFonts w:ascii="Times New Roman" w:hAnsi="Times New Roman"/>
          <w:b w:val="0"/>
          <w:i w:val="0"/>
          <w:sz w:val="22"/>
        </w:rPr>
        <w:t>Critically, the neutral LLM generates a negative platform willingness-to-pay (−$1,483 aggregate net vs. no-LLM). By routing consumers to the best-fitting restaurants across all platforms — which are often lower-commission or lower-sponsored — the LLM reduces platform net revenue relative to a world where loyal consumers browse the highest-commission platforms first. Restaurant HHI increases slightly (+6.4%), since the LLM concentrates attention on the same high-fit restaurants across all sessions.</w:t>
      </w:r>
    </w:p>
    <w:p>
      <w:pPr>
        <w:spacing w:before="160" w:after="40"/>
      </w:pPr>
      <w:r>
        <w:rPr>
          <w:rFonts w:ascii="Times New Roman" w:hAnsi="Times New Roman"/>
          <w:b/>
          <w:i w:val="0"/>
          <w:sz w:val="22"/>
        </w:rPr>
        <w:t>5.2  Experiment 2: Monetisation Regimes</w:t>
      </w:r>
    </w:p>
    <w:p>
      <w:pPr>
        <w:spacing w:after="80" w:before="0"/>
        <w:ind w:firstLine="0"/>
      </w:pPr>
      <w:r>
        <w:rPr>
          <w:rFonts w:ascii="Times New Roman" w:hAnsi="Times New Roman"/>
          <w:b w:val="0"/>
          <w:i w:val="0"/>
          <w:sz w:val="22"/>
        </w:rPr>
        <w:t>Introducing payment structures re-establishes positive platform WTP in all paid regimes, but at different costs to consumer welfare and market structure. All paid regime payments are calibrated to 50% of the regime-specific aggregate gross platform surplus.</w:t>
      </w:r>
    </w:p>
    <w:p>
      <w:pPr>
        <w:spacing w:before="80" w:after="120"/>
      </w:pPr>
      <w:r>
        <w:rPr>
          <w:rFonts w:ascii="Times New Roman" w:hAnsi="Times New Roman"/>
          <w:b/>
          <w:i/>
          <w:sz w:val="20"/>
        </w:rPr>
        <w:t>Table 3. Experiment 2 results across monetisation regimes.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578" w:color="FFFFFF" w:val="clear"/>
          </w:tcPr>
          <w:p>
            <w:r>
              <w:rPr>
                <w:rFonts w:ascii="Times New Roman" w:hAnsi="Times New Roman"/>
                <w:b/>
                <w:i w:val="0"/>
                <w:color w:val="FFFFFF"/>
                <w:sz w:val="20"/>
              </w:rPr>
              <w:t>Metric</w:t>
            </w:r>
          </w:p>
        </w:tc>
        <w:tc>
          <w:tcPr>
            <w:tcW w:type="dxa" w:w="1728"/>
            <w:shd w:fill="1F4578" w:color="FFFFFF" w:val="clear"/>
          </w:tcPr>
          <w:p>
            <w:r>
              <w:rPr>
                <w:rFonts w:ascii="Times New Roman" w:hAnsi="Times New Roman"/>
                <w:b/>
                <w:i w:val="0"/>
                <w:color w:val="FFFFFF"/>
                <w:sz w:val="20"/>
              </w:rPr>
              <w:t>Neutral</w:t>
            </w:r>
          </w:p>
        </w:tc>
        <w:tc>
          <w:tcPr>
            <w:tcW w:type="dxa" w:w="1728"/>
            <w:shd w:fill="1F4578" w:color="FFFFFF" w:val="clear"/>
          </w:tcPr>
          <w:p>
            <w:r>
              <w:rPr>
                <w:rFonts w:ascii="Times New Roman" w:hAnsi="Times New Roman"/>
                <w:b/>
                <w:i w:val="0"/>
                <w:color w:val="FFFFFF"/>
                <w:sz w:val="20"/>
              </w:rPr>
              <w:t>CPC</w:t>
            </w:r>
          </w:p>
        </w:tc>
        <w:tc>
          <w:tcPr>
            <w:tcW w:type="dxa" w:w="1728"/>
            <w:shd w:fill="1F4578" w:color="FFFFFF" w:val="clear"/>
          </w:tcPr>
          <w:p>
            <w:r>
              <w:rPr>
                <w:rFonts w:ascii="Times New Roman" w:hAnsi="Times New Roman"/>
                <w:b/>
                <w:i w:val="0"/>
                <w:color w:val="FFFFFF"/>
                <w:sz w:val="20"/>
              </w:rPr>
              <w:t>CPA</w:t>
            </w:r>
          </w:p>
        </w:tc>
        <w:tc>
          <w:tcPr>
            <w:tcW w:type="dxa" w:w="1728"/>
            <w:shd w:fill="1F4578" w:color="FFFFFF" w:val="clear"/>
          </w:tcPr>
          <w:p>
            <w:r>
              <w:rPr>
                <w:rFonts w:ascii="Times New Roman" w:hAnsi="Times New Roman"/>
                <w:b/>
                <w:i w:val="0"/>
                <w:color w:val="FFFFFF"/>
                <w:sz w:val="20"/>
              </w:rPr>
              <w:t>CPFI</w:t>
            </w:r>
          </w:p>
        </w:tc>
      </w:tr>
      <w:tr>
        <w:tc>
          <w:tcPr>
            <w:tcW w:type="dxa" w:w="1728"/>
            <w:shd w:fill="EBF0F7" w:val="clear"/>
          </w:tcPr>
          <w:p>
            <w:r>
              <w:rPr>
                <w:rFonts w:ascii="Times New Roman" w:hAnsi="Times New Roman"/>
                <w:b w:val="0"/>
                <w:i w:val="0"/>
                <w:sz w:val="20"/>
              </w:rPr>
              <w:t>Intent fulfilment</w:t>
            </w:r>
          </w:p>
        </w:tc>
        <w:tc>
          <w:tcPr>
            <w:tcW w:type="dxa" w:w="1728"/>
            <w:shd w:fill="EBF0F7" w:val="clear"/>
          </w:tcPr>
          <w:p>
            <w:r>
              <w:rPr>
                <w:rFonts w:ascii="Times New Roman" w:hAnsi="Times New Roman"/>
                <w:b w:val="0"/>
                <w:i w:val="0"/>
                <w:sz w:val="20"/>
              </w:rPr>
              <w:t>0.747</w:t>
            </w:r>
          </w:p>
        </w:tc>
        <w:tc>
          <w:tcPr>
            <w:tcW w:type="dxa" w:w="1728"/>
            <w:shd w:fill="EBF0F7" w:val="clear"/>
          </w:tcPr>
          <w:p>
            <w:r>
              <w:rPr>
                <w:rFonts w:ascii="Times New Roman" w:hAnsi="Times New Roman"/>
                <w:b w:val="0"/>
                <w:i w:val="0"/>
                <w:sz w:val="20"/>
              </w:rPr>
              <w:t>0.716</w:t>
            </w:r>
          </w:p>
        </w:tc>
        <w:tc>
          <w:tcPr>
            <w:tcW w:type="dxa" w:w="1728"/>
            <w:shd w:fill="EBF0F7" w:val="clear"/>
          </w:tcPr>
          <w:p>
            <w:r>
              <w:rPr>
                <w:rFonts w:ascii="Times New Roman" w:hAnsi="Times New Roman"/>
                <w:b w:val="0"/>
                <w:i w:val="0"/>
                <w:sz w:val="20"/>
              </w:rPr>
              <w:t>0.726</w:t>
            </w:r>
          </w:p>
        </w:tc>
        <w:tc>
          <w:tcPr>
            <w:tcW w:type="dxa" w:w="1728"/>
            <w:shd w:fill="EBF0F7" w:val="clear"/>
          </w:tcPr>
          <w:p>
            <w:r>
              <w:rPr>
                <w:rFonts w:ascii="Times New Roman" w:hAnsi="Times New Roman"/>
                <w:b w:val="0"/>
                <w:i w:val="0"/>
                <w:sz w:val="20"/>
              </w:rPr>
              <w:t>0.747</w:t>
            </w:r>
          </w:p>
        </w:tc>
      </w:tr>
      <w:tr>
        <w:tc>
          <w:tcPr>
            <w:tcW w:type="dxa" w:w="1728"/>
          </w:tcPr>
          <w:p>
            <w:r>
              <w:rPr>
                <w:rFonts w:ascii="Times New Roman" w:hAnsi="Times New Roman"/>
                <w:b w:val="0"/>
                <w:i w:val="0"/>
                <w:sz w:val="20"/>
              </w:rPr>
              <w:t>Shortlist relevance</w:t>
            </w:r>
          </w:p>
        </w:tc>
        <w:tc>
          <w:tcPr>
            <w:tcW w:type="dxa" w:w="1728"/>
          </w:tcPr>
          <w:p>
            <w:r>
              <w:rPr>
                <w:rFonts w:ascii="Times New Roman" w:hAnsi="Times New Roman"/>
                <w:b w:val="0"/>
                <w:i w:val="0"/>
                <w:sz w:val="20"/>
              </w:rPr>
              <w:t>0.973</w:t>
            </w:r>
          </w:p>
        </w:tc>
        <w:tc>
          <w:tcPr>
            <w:tcW w:type="dxa" w:w="1728"/>
          </w:tcPr>
          <w:p>
            <w:r>
              <w:rPr>
                <w:rFonts w:ascii="Times New Roman" w:hAnsi="Times New Roman"/>
                <w:b w:val="0"/>
                <w:i w:val="0"/>
                <w:sz w:val="20"/>
              </w:rPr>
              <w:t>0.929</w:t>
            </w:r>
          </w:p>
        </w:tc>
        <w:tc>
          <w:tcPr>
            <w:tcW w:type="dxa" w:w="1728"/>
          </w:tcPr>
          <w:p>
            <w:r>
              <w:rPr>
                <w:rFonts w:ascii="Times New Roman" w:hAnsi="Times New Roman"/>
                <w:b w:val="0"/>
                <w:i w:val="0"/>
                <w:sz w:val="20"/>
              </w:rPr>
              <w:t>0.946</w:t>
            </w:r>
          </w:p>
        </w:tc>
        <w:tc>
          <w:tcPr>
            <w:tcW w:type="dxa" w:w="1728"/>
          </w:tcPr>
          <w:p>
            <w:r>
              <w:rPr>
                <w:rFonts w:ascii="Times New Roman" w:hAnsi="Times New Roman"/>
                <w:b w:val="0"/>
                <w:i w:val="0"/>
                <w:sz w:val="20"/>
              </w:rPr>
              <w:t>0.981</w:t>
            </w:r>
          </w:p>
        </w:tc>
      </w:tr>
      <w:tr>
        <w:tc>
          <w:tcPr>
            <w:tcW w:type="dxa" w:w="1728"/>
            <w:shd w:fill="EBF0F7" w:val="clear"/>
          </w:tcPr>
          <w:p>
            <w:r>
              <w:rPr>
                <w:rFonts w:ascii="Times New Roman" w:hAnsi="Times New Roman"/>
                <w:b w:val="0"/>
                <w:i w:val="0"/>
                <w:sz w:val="20"/>
              </w:rPr>
              <w:t>Consumer utility</w:t>
            </w:r>
          </w:p>
        </w:tc>
        <w:tc>
          <w:tcPr>
            <w:tcW w:type="dxa" w:w="1728"/>
            <w:shd w:fill="EBF0F7" w:val="clear"/>
          </w:tcPr>
          <w:p>
            <w:r>
              <w:rPr>
                <w:rFonts w:ascii="Times New Roman" w:hAnsi="Times New Roman"/>
                <w:b w:val="0"/>
                <w:i w:val="0"/>
                <w:sz w:val="20"/>
              </w:rPr>
              <w:t>2.375</w:t>
            </w:r>
          </w:p>
        </w:tc>
        <w:tc>
          <w:tcPr>
            <w:tcW w:type="dxa" w:w="1728"/>
            <w:shd w:fill="EBF0F7" w:val="clear"/>
          </w:tcPr>
          <w:p>
            <w:r>
              <w:rPr>
                <w:rFonts w:ascii="Times New Roman" w:hAnsi="Times New Roman"/>
                <w:b w:val="0"/>
                <w:i w:val="0"/>
                <w:sz w:val="20"/>
              </w:rPr>
              <w:t>2.310</w:t>
            </w:r>
          </w:p>
        </w:tc>
        <w:tc>
          <w:tcPr>
            <w:tcW w:type="dxa" w:w="1728"/>
            <w:shd w:fill="EBF0F7" w:val="clear"/>
          </w:tcPr>
          <w:p>
            <w:r>
              <w:rPr>
                <w:rFonts w:ascii="Times New Roman" w:hAnsi="Times New Roman"/>
                <w:b w:val="0"/>
                <w:i w:val="0"/>
                <w:sz w:val="20"/>
              </w:rPr>
              <w:t>2.331</w:t>
            </w:r>
          </w:p>
        </w:tc>
        <w:tc>
          <w:tcPr>
            <w:tcW w:type="dxa" w:w="1728"/>
            <w:shd w:fill="EBF0F7" w:val="clear"/>
          </w:tcPr>
          <w:p>
            <w:r>
              <w:rPr>
                <w:rFonts w:ascii="Times New Roman" w:hAnsi="Times New Roman"/>
                <w:b w:val="0"/>
                <w:i w:val="0"/>
                <w:sz w:val="20"/>
              </w:rPr>
              <w:t>2.363</w:t>
            </w:r>
          </w:p>
        </w:tc>
      </w:tr>
      <w:tr>
        <w:tc>
          <w:tcPr>
            <w:tcW w:type="dxa" w:w="1728"/>
          </w:tcPr>
          <w:p>
            <w:r>
              <w:rPr>
                <w:rFonts w:ascii="Times New Roman" w:hAnsi="Times New Roman"/>
                <w:b w:val="0"/>
                <w:i w:val="0"/>
                <w:sz w:val="20"/>
              </w:rPr>
              <w:t>Avg total price</w:t>
            </w:r>
          </w:p>
        </w:tc>
        <w:tc>
          <w:tcPr>
            <w:tcW w:type="dxa" w:w="1728"/>
          </w:tcPr>
          <w:p>
            <w:r>
              <w:rPr>
                <w:rFonts w:ascii="Times New Roman" w:hAnsi="Times New Roman"/>
                <w:b w:val="0"/>
                <w:i w:val="0"/>
                <w:sz w:val="20"/>
              </w:rPr>
              <w:t>$32.48</w:t>
            </w:r>
          </w:p>
        </w:tc>
        <w:tc>
          <w:tcPr>
            <w:tcW w:type="dxa" w:w="1728"/>
          </w:tcPr>
          <w:p>
            <w:r>
              <w:rPr>
                <w:rFonts w:ascii="Times New Roman" w:hAnsi="Times New Roman"/>
                <w:b w:val="0"/>
                <w:i w:val="0"/>
                <w:sz w:val="20"/>
              </w:rPr>
              <w:t>$32.23</w:t>
            </w:r>
          </w:p>
        </w:tc>
        <w:tc>
          <w:tcPr>
            <w:tcW w:type="dxa" w:w="1728"/>
          </w:tcPr>
          <w:p>
            <w:r>
              <w:rPr>
                <w:rFonts w:ascii="Times New Roman" w:hAnsi="Times New Roman"/>
                <w:b w:val="0"/>
                <w:i w:val="0"/>
                <w:sz w:val="20"/>
              </w:rPr>
              <w:t>$32.21</w:t>
            </w:r>
          </w:p>
        </w:tc>
        <w:tc>
          <w:tcPr>
            <w:tcW w:type="dxa" w:w="1728"/>
          </w:tcPr>
          <w:p>
            <w:r>
              <w:rPr>
                <w:rFonts w:ascii="Times New Roman" w:hAnsi="Times New Roman"/>
                <w:b w:val="0"/>
                <w:i w:val="0"/>
                <w:sz w:val="20"/>
              </w:rPr>
              <w:t>$32.83</w:t>
            </w:r>
          </w:p>
        </w:tc>
      </w:tr>
      <w:tr>
        <w:tc>
          <w:tcPr>
            <w:tcW w:type="dxa" w:w="1728"/>
            <w:shd w:fill="EBF0F7" w:val="clear"/>
          </w:tcPr>
          <w:p>
            <w:r>
              <w:rPr>
                <w:rFonts w:ascii="Times New Roman" w:hAnsi="Times New Roman"/>
                <w:b w:val="0"/>
                <w:i w:val="0"/>
                <w:sz w:val="20"/>
              </w:rPr>
              <w:t>LLM revenue</w:t>
            </w:r>
          </w:p>
        </w:tc>
        <w:tc>
          <w:tcPr>
            <w:tcW w:type="dxa" w:w="1728"/>
            <w:shd w:fill="EBF0F7" w:val="clear"/>
          </w:tcPr>
          <w:p>
            <w:r>
              <w:rPr>
                <w:rFonts w:ascii="Times New Roman" w:hAnsi="Times New Roman"/>
                <w:b w:val="0"/>
                <w:i w:val="0"/>
                <w:sz w:val="20"/>
              </w:rPr>
              <w:t>$0</w:t>
            </w:r>
          </w:p>
        </w:tc>
        <w:tc>
          <w:tcPr>
            <w:tcW w:type="dxa" w:w="1728"/>
            <w:shd w:fill="EBF0F7" w:val="clear"/>
          </w:tcPr>
          <w:p>
            <w:r>
              <w:rPr>
                <w:rFonts w:ascii="Times New Roman" w:hAnsi="Times New Roman"/>
                <w:b w:val="0"/>
                <w:i w:val="0"/>
                <w:sz w:val="20"/>
              </w:rPr>
              <w:t>$3,101</w:t>
            </w:r>
          </w:p>
        </w:tc>
        <w:tc>
          <w:tcPr>
            <w:tcW w:type="dxa" w:w="1728"/>
            <w:shd w:fill="EBF0F7" w:val="clear"/>
          </w:tcPr>
          <w:p>
            <w:r>
              <w:rPr>
                <w:rFonts w:ascii="Times New Roman" w:hAnsi="Times New Roman"/>
                <w:b w:val="0"/>
                <w:i w:val="0"/>
                <w:sz w:val="20"/>
              </w:rPr>
              <w:t>$2,873</w:t>
            </w:r>
          </w:p>
        </w:tc>
        <w:tc>
          <w:tcPr>
            <w:tcW w:type="dxa" w:w="1728"/>
            <w:shd w:fill="EBF0F7" w:val="clear"/>
          </w:tcPr>
          <w:p>
            <w:r>
              <w:rPr>
                <w:rFonts w:ascii="Times New Roman" w:hAnsi="Times New Roman"/>
                <w:b w:val="0"/>
                <w:i w:val="0"/>
                <w:sz w:val="20"/>
              </w:rPr>
              <w:t>$1,942</w:t>
            </w:r>
          </w:p>
        </w:tc>
      </w:tr>
      <w:tr>
        <w:tc>
          <w:tcPr>
            <w:tcW w:type="dxa" w:w="1728"/>
          </w:tcPr>
          <w:p>
            <w:r>
              <w:rPr>
                <w:rFonts w:ascii="Times New Roman" w:hAnsi="Times New Roman"/>
                <w:b w:val="0"/>
                <w:i w:val="0"/>
                <w:sz w:val="20"/>
              </w:rPr>
              <w:t>Effective LLM rate/order</w:t>
            </w:r>
          </w:p>
        </w:tc>
        <w:tc>
          <w:tcPr>
            <w:tcW w:type="dxa" w:w="1728"/>
          </w:tcPr>
          <w:p>
            <w:r>
              <w:rPr>
                <w:rFonts w:ascii="Times New Roman" w:hAnsi="Times New Roman"/>
                <w:b w:val="0"/>
                <w:i w:val="0"/>
                <w:sz w:val="20"/>
              </w:rPr>
              <w:t>$0.00</w:t>
            </w:r>
          </w:p>
        </w:tc>
        <w:tc>
          <w:tcPr>
            <w:tcW w:type="dxa" w:w="1728"/>
          </w:tcPr>
          <w:p>
            <w:r>
              <w:rPr>
                <w:rFonts w:ascii="Times New Roman" w:hAnsi="Times New Roman"/>
                <w:b w:val="0"/>
                <w:i w:val="0"/>
                <w:sz w:val="20"/>
              </w:rPr>
              <w:t>$0.39</w:t>
            </w:r>
          </w:p>
        </w:tc>
        <w:tc>
          <w:tcPr>
            <w:tcW w:type="dxa" w:w="1728"/>
          </w:tcPr>
          <w:p>
            <w:r>
              <w:rPr>
                <w:rFonts w:ascii="Times New Roman" w:hAnsi="Times New Roman"/>
                <w:b w:val="0"/>
                <w:i w:val="0"/>
                <w:sz w:val="20"/>
              </w:rPr>
              <w:t>$0.36</w:t>
            </w:r>
          </w:p>
        </w:tc>
        <w:tc>
          <w:tcPr>
            <w:tcW w:type="dxa" w:w="1728"/>
          </w:tcPr>
          <w:p>
            <w:r>
              <w:rPr>
                <w:rFonts w:ascii="Times New Roman" w:hAnsi="Times New Roman"/>
                <w:b w:val="0"/>
                <w:i w:val="0"/>
                <w:sz w:val="20"/>
              </w:rPr>
              <w:t>$0.24</w:t>
            </w:r>
          </w:p>
        </w:tc>
      </w:tr>
      <w:tr>
        <w:tc>
          <w:tcPr>
            <w:tcW w:type="dxa" w:w="1728"/>
            <w:shd w:fill="EBF0F7" w:val="clear"/>
          </w:tcPr>
          <w:p>
            <w:r>
              <w:rPr>
                <w:rFonts w:ascii="Times New Roman" w:hAnsi="Times New Roman"/>
                <w:b w:val="0"/>
                <w:i w:val="0"/>
                <w:sz w:val="20"/>
              </w:rPr>
              <w:t>Platform net revenue</w:t>
            </w:r>
          </w:p>
        </w:tc>
        <w:tc>
          <w:tcPr>
            <w:tcW w:type="dxa" w:w="1728"/>
            <w:shd w:fill="EBF0F7" w:val="clear"/>
          </w:tcPr>
          <w:p>
            <w:r>
              <w:rPr>
                <w:rFonts w:ascii="Times New Roman" w:hAnsi="Times New Roman"/>
                <w:b w:val="0"/>
                <w:i w:val="0"/>
                <w:sz w:val="20"/>
              </w:rPr>
              <w:t>$67,884</w:t>
            </w:r>
          </w:p>
        </w:tc>
        <w:tc>
          <w:tcPr>
            <w:tcW w:type="dxa" w:w="1728"/>
            <w:shd w:fill="EBF0F7" w:val="clear"/>
          </w:tcPr>
          <w:p>
            <w:r>
              <w:rPr>
                <w:rFonts w:ascii="Times New Roman" w:hAnsi="Times New Roman"/>
                <w:b w:val="0"/>
                <w:i w:val="0"/>
                <w:sz w:val="20"/>
              </w:rPr>
              <w:t>$72,468</w:t>
            </w:r>
          </w:p>
        </w:tc>
        <w:tc>
          <w:tcPr>
            <w:tcW w:type="dxa" w:w="1728"/>
            <w:shd w:fill="EBF0F7" w:val="clear"/>
          </w:tcPr>
          <w:p>
            <w:r>
              <w:rPr>
                <w:rFonts w:ascii="Times New Roman" w:hAnsi="Times New Roman"/>
                <w:b w:val="0"/>
                <w:i w:val="0"/>
                <w:sz w:val="20"/>
              </w:rPr>
              <w:t>$72,239</w:t>
            </w:r>
          </w:p>
        </w:tc>
        <w:tc>
          <w:tcPr>
            <w:tcW w:type="dxa" w:w="1728"/>
            <w:shd w:fill="EBF0F7" w:val="clear"/>
          </w:tcPr>
          <w:p>
            <w:r>
              <w:rPr>
                <w:rFonts w:ascii="Times New Roman" w:hAnsi="Times New Roman"/>
                <w:b w:val="0"/>
                <w:i w:val="0"/>
                <w:sz w:val="20"/>
              </w:rPr>
              <w:t>$71,309</w:t>
            </w:r>
          </w:p>
        </w:tc>
      </w:tr>
      <w:tr>
        <w:tc>
          <w:tcPr>
            <w:tcW w:type="dxa" w:w="1728"/>
          </w:tcPr>
          <w:p>
            <w:r>
              <w:rPr>
                <w:rFonts w:ascii="Times New Roman" w:hAnsi="Times New Roman"/>
                <w:b w:val="0"/>
                <w:i w:val="0"/>
                <w:sz w:val="20"/>
              </w:rPr>
              <w:t>Platform net vs. no-LLM</w:t>
            </w:r>
          </w:p>
        </w:tc>
        <w:tc>
          <w:tcPr>
            <w:tcW w:type="dxa" w:w="1728"/>
          </w:tcPr>
          <w:p>
            <w:r>
              <w:rPr>
                <w:rFonts w:ascii="Times New Roman" w:hAnsi="Times New Roman"/>
                <w:b w:val="0"/>
                <w:i w:val="0"/>
                <w:sz w:val="20"/>
              </w:rPr>
              <w:t>−$1,483</w:t>
            </w:r>
          </w:p>
        </w:tc>
        <w:tc>
          <w:tcPr>
            <w:tcW w:type="dxa" w:w="1728"/>
          </w:tcPr>
          <w:p>
            <w:r>
              <w:rPr>
                <w:rFonts w:ascii="Times New Roman" w:hAnsi="Times New Roman"/>
                <w:b w:val="0"/>
                <w:i w:val="0"/>
                <w:sz w:val="20"/>
              </w:rPr>
              <w:t>+$3,101</w:t>
            </w:r>
          </w:p>
        </w:tc>
        <w:tc>
          <w:tcPr>
            <w:tcW w:type="dxa" w:w="1728"/>
          </w:tcPr>
          <w:p>
            <w:r>
              <w:rPr>
                <w:rFonts w:ascii="Times New Roman" w:hAnsi="Times New Roman"/>
                <w:b w:val="0"/>
                <w:i w:val="0"/>
                <w:sz w:val="20"/>
              </w:rPr>
              <w:t>+$2,873</w:t>
            </w:r>
          </w:p>
        </w:tc>
        <w:tc>
          <w:tcPr>
            <w:tcW w:type="dxa" w:w="1728"/>
          </w:tcPr>
          <w:p>
            <w:r>
              <w:rPr>
                <w:rFonts w:ascii="Times New Roman" w:hAnsi="Times New Roman"/>
                <w:b w:val="0"/>
                <w:i w:val="0"/>
                <w:sz w:val="20"/>
              </w:rPr>
              <w:t>+$1,942</w:t>
            </w:r>
          </w:p>
        </w:tc>
      </w:tr>
      <w:tr>
        <w:tc>
          <w:tcPr>
            <w:tcW w:type="dxa" w:w="1728"/>
            <w:shd w:fill="EBF0F7" w:val="clear"/>
          </w:tcPr>
          <w:p>
            <w:r>
              <w:rPr>
                <w:rFonts w:ascii="Times New Roman" w:hAnsi="Times New Roman"/>
                <w:b w:val="0"/>
                <w:i w:val="0"/>
                <w:sz w:val="20"/>
              </w:rPr>
              <w:t>FoodRush order share</w:t>
            </w:r>
          </w:p>
        </w:tc>
        <w:tc>
          <w:tcPr>
            <w:tcW w:type="dxa" w:w="1728"/>
            <w:shd w:fill="EBF0F7" w:val="clear"/>
          </w:tcPr>
          <w:p>
            <w:r>
              <w:rPr>
                <w:rFonts w:ascii="Times New Roman" w:hAnsi="Times New Roman"/>
                <w:b w:val="0"/>
                <w:i w:val="0"/>
                <w:sz w:val="20"/>
              </w:rPr>
              <w:t>32.6%</w:t>
            </w:r>
          </w:p>
        </w:tc>
        <w:tc>
          <w:tcPr>
            <w:tcW w:type="dxa" w:w="1728"/>
            <w:shd w:fill="EBF0F7" w:val="clear"/>
          </w:tcPr>
          <w:p>
            <w:r>
              <w:rPr>
                <w:rFonts w:ascii="Times New Roman" w:hAnsi="Times New Roman"/>
                <w:b w:val="0"/>
                <w:i w:val="0"/>
                <w:sz w:val="20"/>
              </w:rPr>
              <w:t>66.7%</w:t>
            </w:r>
          </w:p>
        </w:tc>
        <w:tc>
          <w:tcPr>
            <w:tcW w:type="dxa" w:w="1728"/>
            <w:shd w:fill="EBF0F7" w:val="clear"/>
          </w:tcPr>
          <w:p>
            <w:r>
              <w:rPr>
                <w:rFonts w:ascii="Times New Roman" w:hAnsi="Times New Roman"/>
                <w:b w:val="0"/>
                <w:i w:val="0"/>
                <w:sz w:val="20"/>
              </w:rPr>
              <w:t>60.4%</w:t>
            </w:r>
          </w:p>
        </w:tc>
        <w:tc>
          <w:tcPr>
            <w:tcW w:type="dxa" w:w="1728"/>
            <w:shd w:fill="EBF0F7" w:val="clear"/>
          </w:tcPr>
          <w:p>
            <w:r>
              <w:rPr>
                <w:rFonts w:ascii="Times New Roman" w:hAnsi="Times New Roman"/>
                <w:b w:val="0"/>
                <w:i w:val="0"/>
                <w:sz w:val="20"/>
              </w:rPr>
              <w:t>46.5%</w:t>
            </w:r>
          </w:p>
        </w:tc>
      </w:tr>
      <w:tr>
        <w:tc>
          <w:tcPr>
            <w:tcW w:type="dxa" w:w="1728"/>
          </w:tcPr>
          <w:p>
            <w:r>
              <w:rPr>
                <w:rFonts w:ascii="Times New Roman" w:hAnsi="Times New Roman"/>
                <w:b w:val="0"/>
                <w:i w:val="0"/>
                <w:sz w:val="20"/>
              </w:rPr>
              <w:t>NomNom order share</w:t>
            </w:r>
          </w:p>
        </w:tc>
        <w:tc>
          <w:tcPr>
            <w:tcW w:type="dxa" w:w="1728"/>
          </w:tcPr>
          <w:p>
            <w:r>
              <w:rPr>
                <w:rFonts w:ascii="Times New Roman" w:hAnsi="Times New Roman"/>
                <w:b w:val="0"/>
                <w:i w:val="0"/>
                <w:sz w:val="20"/>
              </w:rPr>
              <w:t>26.9%</w:t>
            </w:r>
          </w:p>
        </w:tc>
        <w:tc>
          <w:tcPr>
            <w:tcW w:type="dxa" w:w="1728"/>
          </w:tcPr>
          <w:p>
            <w:r>
              <w:rPr>
                <w:rFonts w:ascii="Times New Roman" w:hAnsi="Times New Roman"/>
                <w:b w:val="0"/>
                <w:i w:val="0"/>
                <w:sz w:val="20"/>
              </w:rPr>
              <w:t>3.8%</w:t>
            </w:r>
          </w:p>
        </w:tc>
        <w:tc>
          <w:tcPr>
            <w:tcW w:type="dxa" w:w="1728"/>
          </w:tcPr>
          <w:p>
            <w:r>
              <w:rPr>
                <w:rFonts w:ascii="Times New Roman" w:hAnsi="Times New Roman"/>
                <w:b w:val="0"/>
                <w:i w:val="0"/>
                <w:sz w:val="20"/>
              </w:rPr>
              <w:t>3.6%</w:t>
            </w:r>
          </w:p>
        </w:tc>
        <w:tc>
          <w:tcPr>
            <w:tcW w:type="dxa" w:w="1728"/>
          </w:tcPr>
          <w:p>
            <w:r>
              <w:rPr>
                <w:rFonts w:ascii="Times New Roman" w:hAnsi="Times New Roman"/>
                <w:b w:val="0"/>
                <w:i w:val="0"/>
                <w:sz w:val="20"/>
              </w:rPr>
              <w:t>12.8%</w:t>
            </w:r>
          </w:p>
        </w:tc>
      </w:tr>
    </w:tbl>
    <w:p/>
    <w:p>
      <w:pPr>
        <w:spacing w:after="80" w:before="0"/>
      </w:pPr>
      <w:r>
        <w:rPr>
          <w:rFonts w:ascii="Times New Roman" w:hAnsi="Times New Roman"/>
          <w:b/>
          <w:i w:val="0"/>
          <w:sz w:val="22"/>
        </w:rPr>
        <w:t xml:space="preserve">CPC causes the most severe consumer harm and market distortion. </w:t>
      </w:r>
      <w:r>
        <w:rPr>
          <w:rFonts w:ascii="Times New Roman" w:hAnsi="Times New Roman"/>
          <w:b w:val="0"/>
          <w:i w:val="0"/>
          <w:sz w:val="22"/>
        </w:rPr>
        <w:t>FoodRush, which pays the highest CPC rate ($0.80/click), jumps from 33% to 67% of orders. NomNom — which pays the lowest rate ($0.30) — is nearly eliminated (3.8%). The mechanism is structural: per-click payments incentivise the LLM to maximise impressions for the highest-paying platform regardless of whether those impressions result in completed orders or satisfied intents.</w:t>
      </w:r>
    </w:p>
    <w:p>
      <w:pPr>
        <w:spacing w:after="80" w:before="0"/>
      </w:pPr>
      <w:r>
        <w:rPr>
          <w:rFonts w:ascii="Times New Roman" w:hAnsi="Times New Roman"/>
          <w:b/>
          <w:i w:val="0"/>
          <w:sz w:val="22"/>
        </w:rPr>
        <w:t xml:space="preserve">CPFI is the most consumer-aligned paid regime. </w:t>
      </w:r>
      <w:r>
        <w:rPr>
          <w:rFonts w:ascii="Times New Roman" w:hAnsi="Times New Roman"/>
          <w:b w:val="0"/>
          <w:i w:val="0"/>
          <w:sz w:val="22"/>
        </w:rPr>
        <w:t>Its intent fulfilment (0.747) and shortlist relevance (0.981) are indistinguishable from or better than neutral. The CPFI bias mechanism multiplies each offer's sponsorship boost by its predicted intent fulfilment score, so off-intent sponsored offers receive little amplification while on-intent offers receive full amplification. This aligns the LLM's sponsorship incentive with consumer welfare. CPFI generates the lowest LLM revenue ($1,942) among paid regimes, reflecting a genuine ceiling on revenue when payments require outcome satisfaction.</w:t>
      </w:r>
    </w:p>
    <w:p>
      <w:pPr>
        <w:spacing w:after="80" w:before="0"/>
        <w:ind w:firstLine="0"/>
      </w:pPr>
      <w:r>
        <w:rPr>
          <w:rFonts w:ascii="Times New Roman" w:hAnsi="Times New Roman"/>
          <w:b w:val="0"/>
          <w:i w:val="0"/>
          <w:sz w:val="22"/>
        </w:rPr>
        <w:t>All paid regimes generate positive aggregate platform net revenue vs. no-LLM (unlike neutral), because routing bias concentrates orders in higher-commission platforms. NomNom loses traffic under all paid regimes but is not itself charged by the LLM — its loss is a competitive externality from rival sponsorship.</w:t>
      </w:r>
    </w:p>
    <w:p>
      <w:pPr>
        <w:spacing w:before="160" w:after="40"/>
      </w:pPr>
      <w:r>
        <w:rPr>
          <w:rFonts w:ascii="Times New Roman" w:hAnsi="Times New Roman"/>
          <w:b/>
          <w:i w:val="0"/>
          <w:sz w:val="22"/>
        </w:rPr>
        <w:t>5.3  Experiment 3: Sponsorship Bias Sweep</w:t>
      </w:r>
    </w:p>
    <w:p>
      <w:pPr>
        <w:spacing w:after="80" w:before="0"/>
        <w:ind w:firstLine="0"/>
      </w:pPr>
      <w:r>
        <w:rPr>
          <w:rFonts w:ascii="Times New Roman" w:hAnsi="Times New Roman"/>
          <w:b w:val="0"/>
          <w:i w:val="0"/>
          <w:sz w:val="22"/>
        </w:rPr>
        <w:t>Experiment 3 maps the continuous relationship between bias strength (0.0–1.0) and consumer outcomes under the CPC regime.</w:t>
      </w:r>
    </w:p>
    <w:p>
      <w:pPr>
        <w:spacing w:before="80" w:after="120"/>
      </w:pPr>
      <w:r>
        <w:rPr>
          <w:rFonts w:ascii="Times New Roman" w:hAnsi="Times New Roman"/>
          <w:b/>
          <w:i/>
          <w:sz w:val="20"/>
        </w:rPr>
        <w:t>Table 4. Experiment 3: Bias strength sweep under CPC regime. No-LLM baseline: intent fulfilment = 0.683.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578" w:color="FFFFFF" w:val="clear"/>
          </w:tcPr>
          <w:p>
            <w:r>
              <w:rPr>
                <w:rFonts w:ascii="Times New Roman" w:hAnsi="Times New Roman"/>
                <w:b/>
                <w:i w:val="0"/>
                <w:color w:val="FFFFFF"/>
                <w:sz w:val="20"/>
              </w:rPr>
              <w:t>Bias Strength</w:t>
            </w:r>
          </w:p>
        </w:tc>
        <w:tc>
          <w:tcPr>
            <w:tcW w:type="dxa" w:w="1728"/>
            <w:shd w:fill="1F4578" w:color="FFFFFF" w:val="clear"/>
          </w:tcPr>
          <w:p>
            <w:r>
              <w:rPr>
                <w:rFonts w:ascii="Times New Roman" w:hAnsi="Times New Roman"/>
                <w:b/>
                <w:i w:val="0"/>
                <w:color w:val="FFFFFF"/>
                <w:sz w:val="20"/>
              </w:rPr>
              <w:t>Shortlist Relevance</w:t>
            </w:r>
          </w:p>
        </w:tc>
        <w:tc>
          <w:tcPr>
            <w:tcW w:type="dxa" w:w="1728"/>
            <w:shd w:fill="1F4578" w:color="FFFFFF" w:val="clear"/>
          </w:tcPr>
          <w:p>
            <w:r>
              <w:rPr>
                <w:rFonts w:ascii="Times New Roman" w:hAnsi="Times New Roman"/>
                <w:b/>
                <w:i w:val="0"/>
                <w:color w:val="FFFFFF"/>
                <w:sz w:val="20"/>
              </w:rPr>
              <w:t>Intent Fulfilment</w:t>
            </w:r>
          </w:p>
        </w:tc>
        <w:tc>
          <w:tcPr>
            <w:tcW w:type="dxa" w:w="1728"/>
            <w:shd w:fill="1F4578" w:color="FFFFFF" w:val="clear"/>
          </w:tcPr>
          <w:p>
            <w:r>
              <w:rPr>
                <w:rFonts w:ascii="Times New Roman" w:hAnsi="Times New Roman"/>
                <w:b/>
                <w:i w:val="0"/>
                <w:color w:val="FFFFFF"/>
                <w:sz w:val="20"/>
              </w:rPr>
              <w:t>LLM Revenue</w:t>
            </w:r>
          </w:p>
        </w:tc>
        <w:tc>
          <w:tcPr>
            <w:tcW w:type="dxa" w:w="1728"/>
            <w:shd w:fill="1F4578" w:color="FFFFFF" w:val="clear"/>
          </w:tcPr>
          <w:p>
            <w:r>
              <w:rPr>
                <w:rFonts w:ascii="Times New Roman" w:hAnsi="Times New Roman"/>
                <w:b/>
                <w:i w:val="0"/>
                <w:color w:val="FFFFFF"/>
                <w:sz w:val="20"/>
              </w:rPr>
              <w:t>Platform Net</w:t>
            </w:r>
          </w:p>
        </w:tc>
      </w:tr>
      <w:tr>
        <w:tc>
          <w:tcPr>
            <w:tcW w:type="dxa" w:w="1728"/>
            <w:shd w:fill="EBF0F7" w:val="clear"/>
          </w:tcPr>
          <w:p>
            <w:r>
              <w:rPr>
                <w:rFonts w:ascii="Times New Roman" w:hAnsi="Times New Roman"/>
                <w:b w:val="0"/>
                <w:i w:val="0"/>
                <w:sz w:val="20"/>
              </w:rPr>
              <w:t>0.0 (neutral ranking)</w:t>
            </w:r>
          </w:p>
        </w:tc>
        <w:tc>
          <w:tcPr>
            <w:tcW w:type="dxa" w:w="1728"/>
            <w:shd w:fill="EBF0F7" w:val="clear"/>
          </w:tcPr>
          <w:p>
            <w:r>
              <w:rPr>
                <w:rFonts w:ascii="Times New Roman" w:hAnsi="Times New Roman"/>
                <w:b w:val="0"/>
                <w:i w:val="0"/>
                <w:sz w:val="20"/>
              </w:rPr>
              <w:t>0.973</w:t>
            </w:r>
          </w:p>
        </w:tc>
        <w:tc>
          <w:tcPr>
            <w:tcW w:type="dxa" w:w="1728"/>
            <w:shd w:fill="EBF0F7" w:val="clear"/>
          </w:tcPr>
          <w:p>
            <w:r>
              <w:rPr>
                <w:rFonts w:ascii="Times New Roman" w:hAnsi="Times New Roman"/>
                <w:b w:val="0"/>
                <w:i w:val="0"/>
                <w:sz w:val="20"/>
              </w:rPr>
              <w:t>0.747</w:t>
            </w:r>
          </w:p>
        </w:tc>
        <w:tc>
          <w:tcPr>
            <w:tcW w:type="dxa" w:w="1728"/>
            <w:shd w:fill="EBF0F7" w:val="clear"/>
          </w:tcPr>
          <w:p>
            <w:r>
              <w:rPr>
                <w:rFonts w:ascii="Times New Roman" w:hAnsi="Times New Roman"/>
                <w:b w:val="0"/>
                <w:i w:val="0"/>
                <w:sz w:val="20"/>
              </w:rPr>
              <w:t>$5,113</w:t>
            </w:r>
          </w:p>
        </w:tc>
        <w:tc>
          <w:tcPr>
            <w:tcW w:type="dxa" w:w="1728"/>
            <w:shd w:fill="EBF0F7" w:val="clear"/>
          </w:tcPr>
          <w:p>
            <w:r>
              <w:rPr>
                <w:rFonts w:ascii="Times New Roman" w:hAnsi="Times New Roman"/>
                <w:b w:val="0"/>
                <w:i w:val="0"/>
                <w:sz w:val="20"/>
              </w:rPr>
              <w:t>$62,770</w:t>
            </w:r>
          </w:p>
        </w:tc>
      </w:tr>
      <w:tr>
        <w:tc>
          <w:tcPr>
            <w:tcW w:type="dxa" w:w="1728"/>
          </w:tcPr>
          <w:p>
            <w:r>
              <w:rPr>
                <w:rFonts w:ascii="Times New Roman" w:hAnsi="Times New Roman"/>
                <w:b w:val="0"/>
                <w:i w:val="0"/>
                <w:sz w:val="20"/>
              </w:rPr>
              <w:t>0.1</w:t>
            </w:r>
          </w:p>
        </w:tc>
        <w:tc>
          <w:tcPr>
            <w:tcW w:type="dxa" w:w="1728"/>
          </w:tcPr>
          <w:p>
            <w:r>
              <w:rPr>
                <w:rFonts w:ascii="Times New Roman" w:hAnsi="Times New Roman"/>
                <w:b w:val="0"/>
                <w:i w:val="0"/>
                <w:sz w:val="20"/>
              </w:rPr>
              <w:t>0.969</w:t>
            </w:r>
          </w:p>
        </w:tc>
        <w:tc>
          <w:tcPr>
            <w:tcW w:type="dxa" w:w="1728"/>
          </w:tcPr>
          <w:p>
            <w:r>
              <w:rPr>
                <w:rFonts w:ascii="Times New Roman" w:hAnsi="Times New Roman"/>
                <w:b w:val="0"/>
                <w:i w:val="0"/>
                <w:sz w:val="20"/>
              </w:rPr>
              <w:t>0.741</w:t>
            </w:r>
          </w:p>
        </w:tc>
        <w:tc>
          <w:tcPr>
            <w:tcW w:type="dxa" w:w="1728"/>
          </w:tcPr>
          <w:p>
            <w:r>
              <w:rPr>
                <w:rFonts w:ascii="Times New Roman" w:hAnsi="Times New Roman"/>
                <w:b w:val="0"/>
                <w:i w:val="0"/>
                <w:sz w:val="20"/>
              </w:rPr>
              <w:t>$5,787</w:t>
            </w:r>
          </w:p>
        </w:tc>
        <w:tc>
          <w:tcPr>
            <w:tcW w:type="dxa" w:w="1728"/>
          </w:tcPr>
          <w:p>
            <w:r>
              <w:rPr>
                <w:rFonts w:ascii="Times New Roman" w:hAnsi="Times New Roman"/>
                <w:b w:val="0"/>
                <w:i w:val="0"/>
                <w:sz w:val="20"/>
              </w:rPr>
              <w:t>$66,586</w:t>
            </w:r>
          </w:p>
        </w:tc>
      </w:tr>
      <w:tr>
        <w:tc>
          <w:tcPr>
            <w:tcW w:type="dxa" w:w="1728"/>
            <w:shd w:fill="EBF0F7" w:val="clear"/>
          </w:tcPr>
          <w:p>
            <w:r>
              <w:rPr>
                <w:rFonts w:ascii="Times New Roman" w:hAnsi="Times New Roman"/>
                <w:b w:val="0"/>
                <w:i w:val="0"/>
                <w:sz w:val="20"/>
              </w:rPr>
              <w:t>0.2</w:t>
            </w:r>
          </w:p>
        </w:tc>
        <w:tc>
          <w:tcPr>
            <w:tcW w:type="dxa" w:w="1728"/>
            <w:shd w:fill="EBF0F7" w:val="clear"/>
          </w:tcPr>
          <w:p>
            <w:r>
              <w:rPr>
                <w:rFonts w:ascii="Times New Roman" w:hAnsi="Times New Roman"/>
                <w:b w:val="0"/>
                <w:i w:val="0"/>
                <w:sz w:val="20"/>
              </w:rPr>
              <w:t>0.954</w:t>
            </w:r>
          </w:p>
        </w:tc>
        <w:tc>
          <w:tcPr>
            <w:tcW w:type="dxa" w:w="1728"/>
            <w:shd w:fill="EBF0F7" w:val="clear"/>
          </w:tcPr>
          <w:p>
            <w:r>
              <w:rPr>
                <w:rFonts w:ascii="Times New Roman" w:hAnsi="Times New Roman"/>
                <w:b w:val="0"/>
                <w:i w:val="0"/>
                <w:sz w:val="20"/>
              </w:rPr>
              <w:t>0.731</w:t>
            </w:r>
          </w:p>
        </w:tc>
        <w:tc>
          <w:tcPr>
            <w:tcW w:type="dxa" w:w="1728"/>
            <w:shd w:fill="EBF0F7" w:val="clear"/>
          </w:tcPr>
          <w:p>
            <w:r>
              <w:rPr>
                <w:rFonts w:ascii="Times New Roman" w:hAnsi="Times New Roman"/>
                <w:b w:val="0"/>
                <w:i w:val="0"/>
                <w:sz w:val="20"/>
              </w:rPr>
              <w:t>$6,177</w:t>
            </w:r>
          </w:p>
        </w:tc>
        <w:tc>
          <w:tcPr>
            <w:tcW w:type="dxa" w:w="1728"/>
            <w:shd w:fill="EBF0F7" w:val="clear"/>
          </w:tcPr>
          <w:p>
            <w:r>
              <w:rPr>
                <w:rFonts w:ascii="Times New Roman" w:hAnsi="Times New Roman"/>
                <w:b w:val="0"/>
                <w:i w:val="0"/>
                <w:sz w:val="20"/>
              </w:rPr>
              <w:t>$67,984</w:t>
            </w:r>
          </w:p>
        </w:tc>
      </w:tr>
      <w:tr>
        <w:tc>
          <w:tcPr>
            <w:tcW w:type="dxa" w:w="1728"/>
          </w:tcPr>
          <w:p>
            <w:r>
              <w:rPr>
                <w:rFonts w:ascii="Times New Roman" w:hAnsi="Times New Roman"/>
                <w:b w:val="0"/>
                <w:i w:val="0"/>
                <w:sz w:val="20"/>
              </w:rPr>
              <w:t>0.3 (default)</w:t>
            </w:r>
          </w:p>
        </w:tc>
        <w:tc>
          <w:tcPr>
            <w:tcW w:type="dxa" w:w="1728"/>
          </w:tcPr>
          <w:p>
            <w:r>
              <w:rPr>
                <w:rFonts w:ascii="Times New Roman" w:hAnsi="Times New Roman"/>
                <w:b w:val="0"/>
                <w:i w:val="0"/>
                <w:sz w:val="20"/>
              </w:rPr>
              <w:t>0.929</w:t>
            </w:r>
          </w:p>
        </w:tc>
        <w:tc>
          <w:tcPr>
            <w:tcW w:type="dxa" w:w="1728"/>
          </w:tcPr>
          <w:p>
            <w:r>
              <w:rPr>
                <w:rFonts w:ascii="Times New Roman" w:hAnsi="Times New Roman"/>
                <w:b w:val="0"/>
                <w:i w:val="0"/>
                <w:sz w:val="20"/>
              </w:rPr>
              <w:t>0.716</w:t>
            </w:r>
          </w:p>
        </w:tc>
        <w:tc>
          <w:tcPr>
            <w:tcW w:type="dxa" w:w="1728"/>
          </w:tcPr>
          <w:p>
            <w:r>
              <w:rPr>
                <w:rFonts w:ascii="Times New Roman" w:hAnsi="Times New Roman"/>
                <w:b w:val="0"/>
                <w:i w:val="0"/>
                <w:sz w:val="20"/>
              </w:rPr>
              <w:t>$6,492</w:t>
            </w:r>
          </w:p>
        </w:tc>
        <w:tc>
          <w:tcPr>
            <w:tcW w:type="dxa" w:w="1728"/>
          </w:tcPr>
          <w:p>
            <w:r>
              <w:rPr>
                <w:rFonts w:ascii="Times New Roman" w:hAnsi="Times New Roman"/>
                <w:b w:val="0"/>
                <w:i w:val="0"/>
                <w:sz w:val="20"/>
              </w:rPr>
              <w:t>$69,077</w:t>
            </w:r>
          </w:p>
        </w:tc>
      </w:tr>
      <w:tr>
        <w:tc>
          <w:tcPr>
            <w:tcW w:type="dxa" w:w="1728"/>
            <w:shd w:fill="EBF0F7" w:val="clear"/>
          </w:tcPr>
          <w:p>
            <w:r>
              <w:rPr>
                <w:rFonts w:ascii="Times New Roman" w:hAnsi="Times New Roman"/>
                <w:b w:val="0"/>
                <w:i w:val="0"/>
                <w:sz w:val="20"/>
              </w:rPr>
              <w:t>0.5</w:t>
            </w:r>
          </w:p>
        </w:tc>
        <w:tc>
          <w:tcPr>
            <w:tcW w:type="dxa" w:w="1728"/>
            <w:shd w:fill="EBF0F7" w:val="clear"/>
          </w:tcPr>
          <w:p>
            <w:r>
              <w:rPr>
                <w:rFonts w:ascii="Times New Roman" w:hAnsi="Times New Roman"/>
                <w:b w:val="0"/>
                <w:i w:val="0"/>
                <w:sz w:val="20"/>
              </w:rPr>
              <w:t>0.865</w:t>
            </w:r>
          </w:p>
        </w:tc>
        <w:tc>
          <w:tcPr>
            <w:tcW w:type="dxa" w:w="1728"/>
            <w:shd w:fill="EBF0F7" w:val="clear"/>
          </w:tcPr>
          <w:p>
            <w:r>
              <w:rPr>
                <w:rFonts w:ascii="Times New Roman" w:hAnsi="Times New Roman"/>
                <w:b w:val="0"/>
                <w:i w:val="0"/>
                <w:sz w:val="20"/>
              </w:rPr>
              <w:t>0.689</w:t>
            </w:r>
          </w:p>
        </w:tc>
        <w:tc>
          <w:tcPr>
            <w:tcW w:type="dxa" w:w="1728"/>
            <w:shd w:fill="EBF0F7" w:val="clear"/>
          </w:tcPr>
          <w:p>
            <w:r>
              <w:rPr>
                <w:rFonts w:ascii="Times New Roman" w:hAnsi="Times New Roman"/>
                <w:b w:val="0"/>
                <w:i w:val="0"/>
                <w:sz w:val="20"/>
              </w:rPr>
              <w:t>$6,901</w:t>
            </w:r>
          </w:p>
        </w:tc>
        <w:tc>
          <w:tcPr>
            <w:tcW w:type="dxa" w:w="1728"/>
            <w:shd w:fill="EBF0F7" w:val="clear"/>
          </w:tcPr>
          <w:p>
            <w:r>
              <w:rPr>
                <w:rFonts w:ascii="Times New Roman" w:hAnsi="Times New Roman"/>
                <w:b w:val="0"/>
                <w:i w:val="0"/>
                <w:sz w:val="20"/>
              </w:rPr>
              <w:t>$69,444</w:t>
            </w:r>
          </w:p>
        </w:tc>
      </w:tr>
      <w:tr>
        <w:tc>
          <w:tcPr>
            <w:tcW w:type="dxa" w:w="1728"/>
          </w:tcPr>
          <w:p>
            <w:r>
              <w:rPr>
                <w:rFonts w:ascii="Times New Roman" w:hAnsi="Times New Roman"/>
                <w:b w:val="0"/>
                <w:i w:val="0"/>
                <w:sz w:val="20"/>
              </w:rPr>
              <w:t>0.7</w:t>
            </w:r>
          </w:p>
        </w:tc>
        <w:tc>
          <w:tcPr>
            <w:tcW w:type="dxa" w:w="1728"/>
          </w:tcPr>
          <w:p>
            <w:r>
              <w:rPr>
                <w:rFonts w:ascii="Times New Roman" w:hAnsi="Times New Roman"/>
                <w:b w:val="0"/>
                <w:i w:val="0"/>
                <w:sz w:val="20"/>
              </w:rPr>
              <w:t>0.816</w:t>
            </w:r>
          </w:p>
        </w:tc>
        <w:tc>
          <w:tcPr>
            <w:tcW w:type="dxa" w:w="1728"/>
          </w:tcPr>
          <w:p>
            <w:r>
              <w:rPr>
                <w:rFonts w:ascii="Times New Roman" w:hAnsi="Times New Roman"/>
                <w:b w:val="0"/>
                <w:i w:val="0"/>
                <w:sz w:val="20"/>
              </w:rPr>
              <w:t>0.663</w:t>
            </w:r>
          </w:p>
        </w:tc>
        <w:tc>
          <w:tcPr>
            <w:tcW w:type="dxa" w:w="1728"/>
          </w:tcPr>
          <w:p>
            <w:r>
              <w:rPr>
                <w:rFonts w:ascii="Times New Roman" w:hAnsi="Times New Roman"/>
                <w:b w:val="0"/>
                <w:i w:val="0"/>
                <w:sz w:val="20"/>
              </w:rPr>
              <w:t>$7,174</w:t>
            </w:r>
          </w:p>
        </w:tc>
        <w:tc>
          <w:tcPr>
            <w:tcW w:type="dxa" w:w="1728"/>
          </w:tcPr>
          <w:p>
            <w:r>
              <w:rPr>
                <w:rFonts w:ascii="Times New Roman" w:hAnsi="Times New Roman"/>
                <w:b w:val="0"/>
                <w:i w:val="0"/>
                <w:sz w:val="20"/>
              </w:rPr>
              <w:t>$70,195</w:t>
            </w:r>
          </w:p>
        </w:tc>
      </w:tr>
      <w:tr>
        <w:tc>
          <w:tcPr>
            <w:tcW w:type="dxa" w:w="1728"/>
            <w:shd w:fill="EBF0F7" w:val="clear"/>
          </w:tcPr>
          <w:p>
            <w:r>
              <w:rPr>
                <w:rFonts w:ascii="Times New Roman" w:hAnsi="Times New Roman"/>
                <w:b w:val="0"/>
                <w:i w:val="0"/>
                <w:sz w:val="20"/>
              </w:rPr>
              <w:t>1.0 (maximum)</w:t>
            </w:r>
          </w:p>
        </w:tc>
        <w:tc>
          <w:tcPr>
            <w:tcW w:type="dxa" w:w="1728"/>
            <w:shd w:fill="EBF0F7" w:val="clear"/>
          </w:tcPr>
          <w:p>
            <w:r>
              <w:rPr>
                <w:rFonts w:ascii="Times New Roman" w:hAnsi="Times New Roman"/>
                <w:b w:val="0"/>
                <w:i w:val="0"/>
                <w:sz w:val="20"/>
              </w:rPr>
              <w:t>0.801</w:t>
            </w:r>
          </w:p>
        </w:tc>
        <w:tc>
          <w:tcPr>
            <w:tcW w:type="dxa" w:w="1728"/>
            <w:shd w:fill="EBF0F7" w:val="clear"/>
          </w:tcPr>
          <w:p>
            <w:r>
              <w:rPr>
                <w:rFonts w:ascii="Times New Roman" w:hAnsi="Times New Roman"/>
                <w:b w:val="0"/>
                <w:i w:val="0"/>
                <w:sz w:val="20"/>
              </w:rPr>
              <w:t>0.649</w:t>
            </w:r>
          </w:p>
        </w:tc>
        <w:tc>
          <w:tcPr>
            <w:tcW w:type="dxa" w:w="1728"/>
            <w:shd w:fill="EBF0F7" w:val="clear"/>
          </w:tcPr>
          <w:p>
            <w:r>
              <w:rPr>
                <w:rFonts w:ascii="Times New Roman" w:hAnsi="Times New Roman"/>
                <w:b w:val="0"/>
                <w:i w:val="0"/>
                <w:sz w:val="20"/>
              </w:rPr>
              <w:t>$7,259</w:t>
            </w:r>
          </w:p>
        </w:tc>
        <w:tc>
          <w:tcPr>
            <w:tcW w:type="dxa" w:w="1728"/>
            <w:shd w:fill="EBF0F7" w:val="clear"/>
          </w:tcPr>
          <w:p>
            <w:r>
              <w:rPr>
                <w:rFonts w:ascii="Times New Roman" w:hAnsi="Times New Roman"/>
                <w:b w:val="0"/>
                <w:i w:val="0"/>
                <w:sz w:val="20"/>
              </w:rPr>
              <w:t>$70,076</w:t>
            </w:r>
          </w:p>
        </w:tc>
      </w:tr>
    </w:tbl>
    <w:p/>
    <w:p>
      <w:pPr>
        <w:spacing w:after="80" w:before="0"/>
        <w:ind w:firstLine="0"/>
      </w:pPr>
      <w:r>
        <w:rPr>
          <w:rFonts w:ascii="Times New Roman" w:hAnsi="Times New Roman"/>
          <w:b w:val="0"/>
          <w:i w:val="0"/>
          <w:sz w:val="22"/>
        </w:rPr>
        <w:t>Consumer harm is monotonically increasing in bias strength but LLM revenue gains are sharply diminishing above bias = 0.5. Raising bias from 0.5 to 1.0 adds only $358 (+5.2%) in LLM revenue while reducing intent fulfilment by 4.0 pp. At maximum bias (1.0), intent fulfilment (0.649) falls below the no-LLM baseline of 0.683 — the LLM with strong paid bias is worse for consumers than loyal direct platform search. A regulatory bias cap in the 0.1–0.2 range would preserve nearly all consumer welfare gains at minimal LLM revenue cost.</w:t>
      </w:r>
    </w:p>
    <w:p>
      <w:pPr>
        <w:spacing w:before="160" w:after="40"/>
      </w:pPr>
      <w:r>
        <w:rPr>
          <w:rFonts w:ascii="Times New Roman" w:hAnsi="Times New Roman"/>
          <w:b/>
          <w:i w:val="0"/>
          <w:sz w:val="22"/>
        </w:rPr>
        <w:t>5.4  Experiment 4: Consumer LLM Trust Sweep</w:t>
      </w:r>
    </w:p>
    <w:p>
      <w:pPr>
        <w:spacing w:after="80" w:before="0"/>
        <w:ind w:firstLine="0"/>
      </w:pPr>
      <w:r>
        <w:rPr>
          <w:rFonts w:ascii="Times New Roman" w:hAnsi="Times New Roman"/>
          <w:b w:val="0"/>
          <w:i w:val="0"/>
          <w:sz w:val="22"/>
        </w:rPr>
        <w:t>Experiment 4 tests whether the LLM's effects on market structure and match quality depend on the level of consumer trust in the AI.</w:t>
      </w:r>
    </w:p>
    <w:p>
      <w:pPr>
        <w:spacing w:before="80" w:after="120"/>
      </w:pPr>
      <w:r>
        <w:rPr>
          <w:rFonts w:ascii="Times New Roman" w:hAnsi="Times New Roman"/>
          <w:b/>
          <w:i/>
          <w:sz w:val="20"/>
        </w:rPr>
        <w:t>Table 5. Experiment 4: Consumer LLM trust sweep.</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578" w:color="FFFFFF" w:val="clear"/>
          </w:tcPr>
          <w:p>
            <w:r>
              <w:rPr>
                <w:rFonts w:ascii="Times New Roman" w:hAnsi="Times New Roman"/>
                <w:b/>
                <w:i w:val="0"/>
                <w:color w:val="FFFFFF"/>
                <w:sz w:val="20"/>
              </w:rPr>
              <w:t>Trust Range</w:t>
            </w:r>
          </w:p>
        </w:tc>
        <w:tc>
          <w:tcPr>
            <w:tcW w:type="dxa" w:w="1440"/>
            <w:shd w:fill="1F4578" w:color="FFFFFF" w:val="clear"/>
          </w:tcPr>
          <w:p>
            <w:r>
              <w:rPr>
                <w:rFonts w:ascii="Times New Roman" w:hAnsi="Times New Roman"/>
                <w:b/>
                <w:i w:val="0"/>
                <w:color w:val="FFFFFF"/>
                <w:sz w:val="20"/>
              </w:rPr>
              <w:t>Conv. Rate (LLM)</w:t>
            </w:r>
          </w:p>
        </w:tc>
        <w:tc>
          <w:tcPr>
            <w:tcW w:type="dxa" w:w="1440"/>
            <w:shd w:fill="1F4578" w:color="FFFFFF" w:val="clear"/>
          </w:tcPr>
          <w:p>
            <w:r>
              <w:rPr>
                <w:rFonts w:ascii="Times New Roman" w:hAnsi="Times New Roman"/>
                <w:b/>
                <w:i w:val="0"/>
                <w:color w:val="FFFFFF"/>
                <w:sz w:val="20"/>
              </w:rPr>
              <w:t>Conv. Rate (No-LLM)</w:t>
            </w:r>
          </w:p>
        </w:tc>
        <w:tc>
          <w:tcPr>
            <w:tcW w:type="dxa" w:w="1440"/>
            <w:shd w:fill="1F4578" w:color="FFFFFF" w:val="clear"/>
          </w:tcPr>
          <w:p>
            <w:r>
              <w:rPr>
                <w:rFonts w:ascii="Times New Roman" w:hAnsi="Times New Roman"/>
                <w:b/>
                <w:i w:val="0"/>
                <w:color w:val="FFFFFF"/>
                <w:sz w:val="20"/>
              </w:rPr>
              <w:t>HHI (LLM)</w:t>
            </w:r>
          </w:p>
        </w:tc>
        <w:tc>
          <w:tcPr>
            <w:tcW w:type="dxa" w:w="1440"/>
            <w:shd w:fill="1F4578" w:color="FFFFFF" w:val="clear"/>
          </w:tcPr>
          <w:p>
            <w:r>
              <w:rPr>
                <w:rFonts w:ascii="Times New Roman" w:hAnsi="Times New Roman"/>
                <w:b/>
                <w:i w:val="0"/>
                <w:color w:val="FFFFFF"/>
                <w:sz w:val="20"/>
              </w:rPr>
              <w:t>HHI (No-LLM)</w:t>
            </w:r>
          </w:p>
        </w:tc>
        <w:tc>
          <w:tcPr>
            <w:tcW w:type="dxa" w:w="1440"/>
            <w:shd w:fill="1F4578" w:color="FFFFFF" w:val="clear"/>
          </w:tcPr>
          <w:p>
            <w:r>
              <w:rPr>
                <w:rFonts w:ascii="Times New Roman" w:hAnsi="Times New Roman"/>
                <w:b/>
                <w:i w:val="0"/>
                <w:color w:val="FFFFFF"/>
                <w:sz w:val="20"/>
              </w:rPr>
              <w:t>Intent Fulfilment</w:t>
            </w:r>
          </w:p>
        </w:tc>
      </w:tr>
      <w:tr>
        <w:tc>
          <w:tcPr>
            <w:tcW w:type="dxa" w:w="1440"/>
            <w:shd w:fill="EBF0F7" w:val="clear"/>
          </w:tcPr>
          <w:p>
            <w:r>
              <w:rPr>
                <w:rFonts w:ascii="Times New Roman" w:hAnsi="Times New Roman"/>
                <w:b w:val="0"/>
                <w:i w:val="0"/>
                <w:sz w:val="20"/>
              </w:rPr>
              <w:t>Very Low (0.0–0.2)</w:t>
            </w:r>
          </w:p>
        </w:tc>
        <w:tc>
          <w:tcPr>
            <w:tcW w:type="dxa" w:w="1440"/>
            <w:shd w:fill="EBF0F7" w:val="clear"/>
          </w:tcPr>
          <w:p>
            <w:r>
              <w:rPr>
                <w:rFonts w:ascii="Times New Roman" w:hAnsi="Times New Roman"/>
                <w:b w:val="0"/>
                <w:i w:val="0"/>
                <w:sz w:val="20"/>
              </w:rPr>
              <w:t>78.6%</w:t>
            </w:r>
          </w:p>
        </w:tc>
        <w:tc>
          <w:tcPr>
            <w:tcW w:type="dxa" w:w="1440"/>
            <w:shd w:fill="EBF0F7" w:val="clear"/>
          </w:tcPr>
          <w:p>
            <w:r>
              <w:rPr>
                <w:rFonts w:ascii="Times New Roman" w:hAnsi="Times New Roman"/>
                <w:b w:val="0"/>
                <w:i w:val="0"/>
                <w:sz w:val="20"/>
              </w:rPr>
              <w:t>80.4%</w:t>
            </w:r>
          </w:p>
        </w:tc>
        <w:tc>
          <w:tcPr>
            <w:tcW w:type="dxa" w:w="1440"/>
            <w:shd w:fill="EBF0F7" w:val="clear"/>
          </w:tcPr>
          <w:p>
            <w:r>
              <w:rPr>
                <w:rFonts w:ascii="Times New Roman" w:hAnsi="Times New Roman"/>
                <w:b w:val="0"/>
                <w:i w:val="0"/>
                <w:sz w:val="20"/>
              </w:rPr>
              <w:t>0.0216</w:t>
            </w:r>
          </w:p>
        </w:tc>
        <w:tc>
          <w:tcPr>
            <w:tcW w:type="dxa" w:w="1440"/>
            <w:shd w:fill="EBF0F7" w:val="clear"/>
          </w:tcPr>
          <w:p>
            <w:r>
              <w:rPr>
                <w:rFonts w:ascii="Times New Roman" w:hAnsi="Times New Roman"/>
                <w:b w:val="0"/>
                <w:i w:val="0"/>
                <w:sz w:val="20"/>
              </w:rPr>
              <w:t>0.0202</w:t>
            </w:r>
          </w:p>
        </w:tc>
        <w:tc>
          <w:tcPr>
            <w:tcW w:type="dxa" w:w="1440"/>
            <w:shd w:fill="EBF0F7" w:val="clear"/>
          </w:tcPr>
          <w:p>
            <w:r>
              <w:rPr>
                <w:rFonts w:ascii="Times New Roman" w:hAnsi="Times New Roman"/>
                <w:b w:val="0"/>
                <w:i w:val="0"/>
                <w:sz w:val="20"/>
              </w:rPr>
              <w:t>0.748</w:t>
            </w:r>
          </w:p>
        </w:tc>
      </w:tr>
      <w:tr>
        <w:tc>
          <w:tcPr>
            <w:tcW w:type="dxa" w:w="1440"/>
          </w:tcPr>
          <w:p>
            <w:r>
              <w:rPr>
                <w:rFonts w:ascii="Times New Roman" w:hAnsi="Times New Roman"/>
                <w:b w:val="0"/>
                <w:i w:val="0"/>
                <w:sz w:val="20"/>
              </w:rPr>
              <w:t>Low (0.2–0.4)</w:t>
            </w:r>
          </w:p>
        </w:tc>
        <w:tc>
          <w:tcPr>
            <w:tcW w:type="dxa" w:w="1440"/>
          </w:tcPr>
          <w:p>
            <w:r>
              <w:rPr>
                <w:rFonts w:ascii="Times New Roman" w:hAnsi="Times New Roman"/>
                <w:b w:val="0"/>
                <w:i w:val="0"/>
                <w:sz w:val="20"/>
              </w:rPr>
              <w:t>80.2%</w:t>
            </w:r>
          </w:p>
        </w:tc>
        <w:tc>
          <w:tcPr>
            <w:tcW w:type="dxa" w:w="1440"/>
          </w:tcPr>
          <w:p>
            <w:r>
              <w:rPr>
                <w:rFonts w:ascii="Times New Roman" w:hAnsi="Times New Roman"/>
                <w:b w:val="0"/>
                <w:i w:val="0"/>
                <w:sz w:val="20"/>
              </w:rPr>
              <w:t>80.4%</w:t>
            </w:r>
          </w:p>
        </w:tc>
        <w:tc>
          <w:tcPr>
            <w:tcW w:type="dxa" w:w="1440"/>
          </w:tcPr>
          <w:p>
            <w:r>
              <w:rPr>
                <w:rFonts w:ascii="Times New Roman" w:hAnsi="Times New Roman"/>
                <w:b w:val="0"/>
                <w:i w:val="0"/>
                <w:sz w:val="20"/>
              </w:rPr>
              <w:t>0.0216</w:t>
            </w:r>
          </w:p>
        </w:tc>
        <w:tc>
          <w:tcPr>
            <w:tcW w:type="dxa" w:w="1440"/>
          </w:tcPr>
          <w:p>
            <w:r>
              <w:rPr>
                <w:rFonts w:ascii="Times New Roman" w:hAnsi="Times New Roman"/>
                <w:b w:val="0"/>
                <w:i w:val="0"/>
                <w:sz w:val="20"/>
              </w:rPr>
              <w:t>0.0202</w:t>
            </w:r>
          </w:p>
        </w:tc>
        <w:tc>
          <w:tcPr>
            <w:tcW w:type="dxa" w:w="1440"/>
          </w:tcPr>
          <w:p>
            <w:r>
              <w:rPr>
                <w:rFonts w:ascii="Times New Roman" w:hAnsi="Times New Roman"/>
                <w:b w:val="0"/>
                <w:i w:val="0"/>
                <w:sz w:val="20"/>
              </w:rPr>
              <w:t>0.747</w:t>
            </w:r>
          </w:p>
        </w:tc>
      </w:tr>
      <w:tr>
        <w:tc>
          <w:tcPr>
            <w:tcW w:type="dxa" w:w="1440"/>
            <w:shd w:fill="EBF0F7" w:val="clear"/>
          </w:tcPr>
          <w:p>
            <w:r>
              <w:rPr>
                <w:rFonts w:ascii="Times New Roman" w:hAnsi="Times New Roman"/>
                <w:b w:val="0"/>
                <w:i w:val="0"/>
                <w:sz w:val="20"/>
              </w:rPr>
              <w:t>Medium (0.4–0.6)</w:t>
            </w:r>
          </w:p>
        </w:tc>
        <w:tc>
          <w:tcPr>
            <w:tcW w:type="dxa" w:w="1440"/>
            <w:shd w:fill="EBF0F7" w:val="clear"/>
          </w:tcPr>
          <w:p>
            <w:r>
              <w:rPr>
                <w:rFonts w:ascii="Times New Roman" w:hAnsi="Times New Roman"/>
                <w:b w:val="0"/>
                <w:i w:val="0"/>
                <w:sz w:val="20"/>
              </w:rPr>
              <w:t>82.0%</w:t>
            </w:r>
          </w:p>
        </w:tc>
        <w:tc>
          <w:tcPr>
            <w:tcW w:type="dxa" w:w="1440"/>
            <w:shd w:fill="EBF0F7" w:val="clear"/>
          </w:tcPr>
          <w:p>
            <w:r>
              <w:rPr>
                <w:rFonts w:ascii="Times New Roman" w:hAnsi="Times New Roman"/>
                <w:b w:val="0"/>
                <w:i w:val="0"/>
                <w:sz w:val="20"/>
              </w:rPr>
              <w:t>80.4%</w:t>
            </w:r>
          </w:p>
        </w:tc>
        <w:tc>
          <w:tcPr>
            <w:tcW w:type="dxa" w:w="1440"/>
            <w:shd w:fill="EBF0F7" w:val="clear"/>
          </w:tcPr>
          <w:p>
            <w:r>
              <w:rPr>
                <w:rFonts w:ascii="Times New Roman" w:hAnsi="Times New Roman"/>
                <w:b w:val="0"/>
                <w:i w:val="0"/>
                <w:sz w:val="20"/>
              </w:rPr>
              <w:t>0.0216</w:t>
            </w:r>
          </w:p>
        </w:tc>
        <w:tc>
          <w:tcPr>
            <w:tcW w:type="dxa" w:w="1440"/>
            <w:shd w:fill="EBF0F7" w:val="clear"/>
          </w:tcPr>
          <w:p>
            <w:r>
              <w:rPr>
                <w:rFonts w:ascii="Times New Roman" w:hAnsi="Times New Roman"/>
                <w:b w:val="0"/>
                <w:i w:val="0"/>
                <w:sz w:val="20"/>
              </w:rPr>
              <w:t>0.0202</w:t>
            </w:r>
          </w:p>
        </w:tc>
        <w:tc>
          <w:tcPr>
            <w:tcW w:type="dxa" w:w="1440"/>
            <w:shd w:fill="EBF0F7" w:val="clear"/>
          </w:tcPr>
          <w:p>
            <w:r>
              <w:rPr>
                <w:rFonts w:ascii="Times New Roman" w:hAnsi="Times New Roman"/>
                <w:b w:val="0"/>
                <w:i w:val="0"/>
                <w:sz w:val="20"/>
              </w:rPr>
              <w:t>0.747</w:t>
            </w:r>
          </w:p>
        </w:tc>
      </w:tr>
      <w:tr>
        <w:tc>
          <w:tcPr>
            <w:tcW w:type="dxa" w:w="1440"/>
          </w:tcPr>
          <w:p>
            <w:r>
              <w:rPr>
                <w:rFonts w:ascii="Times New Roman" w:hAnsi="Times New Roman"/>
                <w:b w:val="0"/>
                <w:i w:val="0"/>
                <w:sz w:val="20"/>
              </w:rPr>
              <w:t>High (0.6–0.8)</w:t>
            </w:r>
          </w:p>
        </w:tc>
        <w:tc>
          <w:tcPr>
            <w:tcW w:type="dxa" w:w="1440"/>
          </w:tcPr>
          <w:p>
            <w:r>
              <w:rPr>
                <w:rFonts w:ascii="Times New Roman" w:hAnsi="Times New Roman"/>
                <w:b w:val="0"/>
                <w:i w:val="0"/>
                <w:sz w:val="20"/>
              </w:rPr>
              <w:t>83.7%</w:t>
            </w:r>
          </w:p>
        </w:tc>
        <w:tc>
          <w:tcPr>
            <w:tcW w:type="dxa" w:w="1440"/>
          </w:tcPr>
          <w:p>
            <w:r>
              <w:rPr>
                <w:rFonts w:ascii="Times New Roman" w:hAnsi="Times New Roman"/>
                <w:b w:val="0"/>
                <w:i w:val="0"/>
                <w:sz w:val="20"/>
              </w:rPr>
              <w:t>80.4%</w:t>
            </w:r>
          </w:p>
        </w:tc>
        <w:tc>
          <w:tcPr>
            <w:tcW w:type="dxa" w:w="1440"/>
          </w:tcPr>
          <w:p>
            <w:r>
              <w:rPr>
                <w:rFonts w:ascii="Times New Roman" w:hAnsi="Times New Roman"/>
                <w:b w:val="0"/>
                <w:i w:val="0"/>
                <w:sz w:val="20"/>
              </w:rPr>
              <w:t>0.0215</w:t>
            </w:r>
          </w:p>
        </w:tc>
        <w:tc>
          <w:tcPr>
            <w:tcW w:type="dxa" w:w="1440"/>
          </w:tcPr>
          <w:p>
            <w:r>
              <w:rPr>
                <w:rFonts w:ascii="Times New Roman" w:hAnsi="Times New Roman"/>
                <w:b w:val="0"/>
                <w:i w:val="0"/>
                <w:sz w:val="20"/>
              </w:rPr>
              <w:t>0.0202</w:t>
            </w:r>
          </w:p>
        </w:tc>
        <w:tc>
          <w:tcPr>
            <w:tcW w:type="dxa" w:w="1440"/>
          </w:tcPr>
          <w:p>
            <w:r>
              <w:rPr>
                <w:rFonts w:ascii="Times New Roman" w:hAnsi="Times New Roman"/>
                <w:b w:val="0"/>
                <w:i w:val="0"/>
                <w:sz w:val="20"/>
              </w:rPr>
              <w:t>0.748</w:t>
            </w:r>
          </w:p>
        </w:tc>
      </w:tr>
      <w:tr>
        <w:tc>
          <w:tcPr>
            <w:tcW w:type="dxa" w:w="1440"/>
            <w:shd w:fill="EBF0F7" w:val="clear"/>
          </w:tcPr>
          <w:p>
            <w:r>
              <w:rPr>
                <w:rFonts w:ascii="Times New Roman" w:hAnsi="Times New Roman"/>
                <w:b w:val="0"/>
                <w:i w:val="0"/>
                <w:sz w:val="20"/>
              </w:rPr>
              <w:t>Very High (0.8–1.0)</w:t>
            </w:r>
          </w:p>
        </w:tc>
        <w:tc>
          <w:tcPr>
            <w:tcW w:type="dxa" w:w="1440"/>
            <w:shd w:fill="EBF0F7" w:val="clear"/>
          </w:tcPr>
          <w:p>
            <w:r>
              <w:rPr>
                <w:rFonts w:ascii="Times New Roman" w:hAnsi="Times New Roman"/>
                <w:b w:val="0"/>
                <w:i w:val="0"/>
                <w:sz w:val="20"/>
              </w:rPr>
              <w:t>85.2%</w:t>
            </w:r>
          </w:p>
        </w:tc>
        <w:tc>
          <w:tcPr>
            <w:tcW w:type="dxa" w:w="1440"/>
            <w:shd w:fill="EBF0F7" w:val="clear"/>
          </w:tcPr>
          <w:p>
            <w:r>
              <w:rPr>
                <w:rFonts w:ascii="Times New Roman" w:hAnsi="Times New Roman"/>
                <w:b w:val="0"/>
                <w:i w:val="0"/>
                <w:sz w:val="20"/>
              </w:rPr>
              <w:t>80.4%</w:t>
            </w:r>
          </w:p>
        </w:tc>
        <w:tc>
          <w:tcPr>
            <w:tcW w:type="dxa" w:w="1440"/>
            <w:shd w:fill="EBF0F7" w:val="clear"/>
          </w:tcPr>
          <w:p>
            <w:r>
              <w:rPr>
                <w:rFonts w:ascii="Times New Roman" w:hAnsi="Times New Roman"/>
                <w:b w:val="0"/>
                <w:i w:val="0"/>
                <w:sz w:val="20"/>
              </w:rPr>
              <w:t>0.0216</w:t>
            </w:r>
          </w:p>
        </w:tc>
        <w:tc>
          <w:tcPr>
            <w:tcW w:type="dxa" w:w="1440"/>
            <w:shd w:fill="EBF0F7" w:val="clear"/>
          </w:tcPr>
          <w:p>
            <w:r>
              <w:rPr>
                <w:rFonts w:ascii="Times New Roman" w:hAnsi="Times New Roman"/>
                <w:b w:val="0"/>
                <w:i w:val="0"/>
                <w:sz w:val="20"/>
              </w:rPr>
              <w:t>0.0202</w:t>
            </w:r>
          </w:p>
        </w:tc>
        <w:tc>
          <w:tcPr>
            <w:tcW w:type="dxa" w:w="1440"/>
            <w:shd w:fill="EBF0F7" w:val="clear"/>
          </w:tcPr>
          <w:p>
            <w:r>
              <w:rPr>
                <w:rFonts w:ascii="Times New Roman" w:hAnsi="Times New Roman"/>
                <w:b w:val="0"/>
                <w:i w:val="0"/>
                <w:sz w:val="20"/>
              </w:rPr>
              <w:t>0.749</w:t>
            </w:r>
          </w:p>
        </w:tc>
      </w:tr>
    </w:tbl>
    <w:p/>
    <w:p>
      <w:pPr>
        <w:spacing w:after="80" w:before="0"/>
        <w:ind w:firstLine="0"/>
      </w:pPr>
      <w:r>
        <w:rPr>
          <w:rFonts w:ascii="Times New Roman" w:hAnsi="Times New Roman"/>
          <w:b w:val="0"/>
          <w:i w:val="0"/>
          <w:sz w:val="22"/>
        </w:rPr>
        <w:t>Trust has two distinct effects. A demand effect: higher trust raises conversion by approximately 6.6 pp across the full range (78.6% to 85.2%), because consumers who trust the LLM more follow its recommendations more often. A quality effect: intent fulfilment is essentially invariant across all trust bands (0.747–0.749), because the LLM's algorithm — not consumer trust — determines which offers appear in the shortlist. Concentration (HHI) is marginally higher under the LLM (0.0215–0.0216) than under loyal direct search (0.0202) at all trust levels.</w:t>
      </w:r>
    </w:p>
    <w:p>
      <w:pPr>
        <w:spacing w:before="160" w:after="40"/>
      </w:pPr>
      <w:r>
        <w:rPr>
          <w:rFonts w:ascii="Times New Roman" w:hAnsi="Times New Roman"/>
          <w:b/>
          <w:i w:val="0"/>
          <w:sz w:val="22"/>
        </w:rPr>
        <w:t>5.5  Attribution Analysis</w:t>
      </w:r>
    </w:p>
    <w:p>
      <w:pPr>
        <w:spacing w:after="80" w:before="0"/>
        <w:ind w:firstLine="0"/>
      </w:pPr>
      <w:r>
        <w:rPr>
          <w:rFonts w:ascii="Times New Roman" w:hAnsi="Times New Roman"/>
          <w:b w:val="0"/>
          <w:i w:val="0"/>
          <w:sz w:val="22"/>
        </w:rPr>
        <w:t>The counterfactual attribution module estimates marginal treatment effects on individual purchase probability for a 30-consumer sample with 50 Monte Carlo draws each, under the CPC regime.</w:t>
      </w:r>
    </w:p>
    <w:p>
      <w:pPr>
        <w:spacing w:before="80" w:after="120"/>
      </w:pPr>
      <w:r>
        <w:rPr>
          <w:rFonts w:ascii="Times New Roman" w:hAnsi="Times New Roman"/>
          <w:b/>
          <w:i/>
          <w:sz w:val="20"/>
        </w:rPr>
        <w:t>Table 6. Attribution analysis: marginal treatment effects on purchase probability (n = 30 consumers, 50 draws each).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578" w:color="FFFFFF" w:val="clear"/>
          </w:tcPr>
          <w:p>
            <w:r>
              <w:rPr>
                <w:rFonts w:ascii="Times New Roman" w:hAnsi="Times New Roman"/>
                <w:b/>
                <w:i w:val="0"/>
                <w:color w:val="FFFFFF"/>
                <w:sz w:val="20"/>
              </w:rPr>
              <w:t>Effect</w:t>
            </w:r>
          </w:p>
        </w:tc>
        <w:tc>
          <w:tcPr>
            <w:tcW w:type="dxa" w:w="1728"/>
            <w:shd w:fill="1F4578" w:color="FFFFFF" w:val="clear"/>
          </w:tcPr>
          <w:p>
            <w:r>
              <w:rPr>
                <w:rFonts w:ascii="Times New Roman" w:hAnsi="Times New Roman"/>
                <w:b/>
                <w:i w:val="0"/>
                <w:color w:val="FFFFFF"/>
                <w:sz w:val="20"/>
              </w:rPr>
              <w:t>Mean</w:t>
            </w:r>
          </w:p>
        </w:tc>
        <w:tc>
          <w:tcPr>
            <w:tcW w:type="dxa" w:w="1728"/>
            <w:shd w:fill="1F4578" w:color="FFFFFF" w:val="clear"/>
          </w:tcPr>
          <w:p>
            <w:r>
              <w:rPr>
                <w:rFonts w:ascii="Times New Roman" w:hAnsi="Times New Roman"/>
                <w:b/>
                <w:i w:val="0"/>
                <w:color w:val="FFFFFF"/>
                <w:sz w:val="20"/>
              </w:rPr>
              <w:t>Std. Dev.</w:t>
            </w:r>
          </w:p>
        </w:tc>
        <w:tc>
          <w:tcPr>
            <w:tcW w:type="dxa" w:w="1728"/>
            <w:shd w:fill="1F4578" w:color="FFFFFF" w:val="clear"/>
          </w:tcPr>
          <w:p>
            <w:r>
              <w:rPr>
                <w:rFonts w:ascii="Times New Roman" w:hAnsi="Times New Roman"/>
                <w:b/>
                <w:i w:val="0"/>
                <w:color w:val="FFFFFF"/>
                <w:sz w:val="20"/>
              </w:rPr>
              <w:t>Min</w:t>
            </w:r>
          </w:p>
        </w:tc>
        <w:tc>
          <w:tcPr>
            <w:tcW w:type="dxa" w:w="1728"/>
            <w:shd w:fill="1F4578" w:color="FFFFFF" w:val="clear"/>
          </w:tcPr>
          <w:p>
            <w:r>
              <w:rPr>
                <w:rFonts w:ascii="Times New Roman" w:hAnsi="Times New Roman"/>
                <w:b/>
                <w:i w:val="0"/>
                <w:color w:val="FFFFFF"/>
                <w:sz w:val="20"/>
              </w:rPr>
              <w:t>Max</w:t>
            </w:r>
          </w:p>
        </w:tc>
      </w:tr>
      <w:tr>
        <w:tc>
          <w:tcPr>
            <w:tcW w:type="dxa" w:w="1728"/>
            <w:shd w:fill="EBF0F7" w:val="clear"/>
          </w:tcPr>
          <w:p>
            <w:r>
              <w:rPr>
                <w:rFonts w:ascii="Times New Roman" w:hAnsi="Times New Roman"/>
                <w:b w:val="0"/>
                <w:i w:val="0"/>
                <w:sz w:val="20"/>
              </w:rPr>
              <w:t>Marginal LLM effect</w:t>
            </w:r>
          </w:p>
        </w:tc>
        <w:tc>
          <w:tcPr>
            <w:tcW w:type="dxa" w:w="1728"/>
            <w:shd w:fill="EBF0F7" w:val="clear"/>
          </w:tcPr>
          <w:p>
            <w:r>
              <w:rPr>
                <w:rFonts w:ascii="Times New Roman" w:hAnsi="Times New Roman"/>
                <w:b w:val="0"/>
                <w:i w:val="0"/>
                <w:sz w:val="20"/>
              </w:rPr>
              <w:t>+0.014</w:t>
            </w:r>
          </w:p>
        </w:tc>
        <w:tc>
          <w:tcPr>
            <w:tcW w:type="dxa" w:w="1728"/>
            <w:shd w:fill="EBF0F7" w:val="clear"/>
          </w:tcPr>
          <w:p>
            <w:r>
              <w:rPr>
                <w:rFonts w:ascii="Times New Roman" w:hAnsi="Times New Roman"/>
                <w:b w:val="0"/>
                <w:i w:val="0"/>
                <w:sz w:val="20"/>
              </w:rPr>
              <w:t>0.023</w:t>
            </w:r>
          </w:p>
        </w:tc>
        <w:tc>
          <w:tcPr>
            <w:tcW w:type="dxa" w:w="1728"/>
            <w:shd w:fill="EBF0F7" w:val="clear"/>
          </w:tcPr>
          <w:p>
            <w:r>
              <w:rPr>
                <w:rFonts w:ascii="Times New Roman" w:hAnsi="Times New Roman"/>
                <w:b w:val="0"/>
                <w:i w:val="0"/>
                <w:sz w:val="20"/>
              </w:rPr>
              <w:t>−0.020</w:t>
            </w:r>
          </w:p>
        </w:tc>
        <w:tc>
          <w:tcPr>
            <w:tcW w:type="dxa" w:w="1728"/>
            <w:shd w:fill="EBF0F7" w:val="clear"/>
          </w:tcPr>
          <w:p>
            <w:r>
              <w:rPr>
                <w:rFonts w:ascii="Times New Roman" w:hAnsi="Times New Roman"/>
                <w:b w:val="0"/>
                <w:i w:val="0"/>
                <w:sz w:val="20"/>
              </w:rPr>
              <w:t>+0.060</w:t>
            </w:r>
          </w:p>
        </w:tc>
      </w:tr>
      <w:tr>
        <w:tc>
          <w:tcPr>
            <w:tcW w:type="dxa" w:w="1728"/>
          </w:tcPr>
          <w:p>
            <w:r>
              <w:rPr>
                <w:rFonts w:ascii="Times New Roman" w:hAnsi="Times New Roman"/>
                <w:b w:val="0"/>
                <w:i w:val="0"/>
                <w:sz w:val="20"/>
              </w:rPr>
              <w:t>Marginal bias effect</w:t>
            </w:r>
          </w:p>
        </w:tc>
        <w:tc>
          <w:tcPr>
            <w:tcW w:type="dxa" w:w="1728"/>
          </w:tcPr>
          <w:p>
            <w:r>
              <w:rPr>
                <w:rFonts w:ascii="Times New Roman" w:hAnsi="Times New Roman"/>
                <w:b w:val="0"/>
                <w:i w:val="0"/>
                <w:sz w:val="20"/>
              </w:rPr>
              <w:t>+0.003</w:t>
            </w:r>
          </w:p>
        </w:tc>
        <w:tc>
          <w:tcPr>
            <w:tcW w:type="dxa" w:w="1728"/>
          </w:tcPr>
          <w:p>
            <w:r>
              <w:rPr>
                <w:rFonts w:ascii="Times New Roman" w:hAnsi="Times New Roman"/>
                <w:b w:val="0"/>
                <w:i w:val="0"/>
                <w:sz w:val="20"/>
              </w:rPr>
              <w:t>0.016</w:t>
            </w:r>
          </w:p>
        </w:tc>
        <w:tc>
          <w:tcPr>
            <w:tcW w:type="dxa" w:w="1728"/>
          </w:tcPr>
          <w:p>
            <w:r>
              <w:rPr>
                <w:rFonts w:ascii="Times New Roman" w:hAnsi="Times New Roman"/>
                <w:b w:val="0"/>
                <w:i w:val="0"/>
                <w:sz w:val="20"/>
              </w:rPr>
              <w:t>−0.020</w:t>
            </w:r>
          </w:p>
        </w:tc>
        <w:tc>
          <w:tcPr>
            <w:tcW w:type="dxa" w:w="1728"/>
          </w:tcPr>
          <w:p>
            <w:r>
              <w:rPr>
                <w:rFonts w:ascii="Times New Roman" w:hAnsi="Times New Roman"/>
                <w:b w:val="0"/>
                <w:i w:val="0"/>
                <w:sz w:val="20"/>
              </w:rPr>
              <w:t>+0.040</w:t>
            </w:r>
          </w:p>
        </w:tc>
      </w:tr>
      <w:tr>
        <w:tc>
          <w:tcPr>
            <w:tcW w:type="dxa" w:w="1728"/>
            <w:shd w:fill="EBF0F7" w:val="clear"/>
          </w:tcPr>
          <w:p>
            <w:r>
              <w:rPr>
                <w:rFonts w:ascii="Times New Roman" w:hAnsi="Times New Roman"/>
                <w:b w:val="0"/>
                <w:i w:val="0"/>
                <w:sz w:val="20"/>
              </w:rPr>
              <w:t>Marginal promo effect</w:t>
            </w:r>
          </w:p>
        </w:tc>
        <w:tc>
          <w:tcPr>
            <w:tcW w:type="dxa" w:w="1728"/>
            <w:shd w:fill="EBF0F7" w:val="clear"/>
          </w:tcPr>
          <w:p>
            <w:r>
              <w:rPr>
                <w:rFonts w:ascii="Times New Roman" w:hAnsi="Times New Roman"/>
                <w:b w:val="0"/>
                <w:i w:val="0"/>
                <w:sz w:val="20"/>
              </w:rPr>
              <w:t>+0.001</w:t>
            </w:r>
          </w:p>
        </w:tc>
        <w:tc>
          <w:tcPr>
            <w:tcW w:type="dxa" w:w="1728"/>
            <w:shd w:fill="EBF0F7" w:val="clear"/>
          </w:tcPr>
          <w:p>
            <w:r>
              <w:rPr>
                <w:rFonts w:ascii="Times New Roman" w:hAnsi="Times New Roman"/>
                <w:b w:val="0"/>
                <w:i w:val="0"/>
                <w:sz w:val="20"/>
              </w:rPr>
              <w:t>0.018</w:t>
            </w:r>
          </w:p>
        </w:tc>
        <w:tc>
          <w:tcPr>
            <w:tcW w:type="dxa" w:w="1728"/>
            <w:shd w:fill="EBF0F7" w:val="clear"/>
          </w:tcPr>
          <w:p>
            <w:r>
              <w:rPr>
                <w:rFonts w:ascii="Times New Roman" w:hAnsi="Times New Roman"/>
                <w:b w:val="0"/>
                <w:i w:val="0"/>
                <w:sz w:val="20"/>
              </w:rPr>
              <w:t>−0.020</w:t>
            </w:r>
          </w:p>
        </w:tc>
        <w:tc>
          <w:tcPr>
            <w:tcW w:type="dxa" w:w="1728"/>
            <w:shd w:fill="EBF0F7" w:val="clear"/>
          </w:tcPr>
          <w:p>
            <w:r>
              <w:rPr>
                <w:rFonts w:ascii="Times New Roman" w:hAnsi="Times New Roman"/>
                <w:b w:val="0"/>
                <w:i w:val="0"/>
                <w:sz w:val="20"/>
              </w:rPr>
              <w:t>+0.060</w:t>
            </w:r>
          </w:p>
        </w:tc>
      </w:tr>
    </w:tbl>
    <w:p/>
    <w:p>
      <w:pPr>
        <w:spacing w:after="80" w:before="0"/>
        <w:ind w:firstLine="0"/>
      </w:pPr>
      <w:r>
        <w:rPr>
          <w:rFonts w:ascii="Times New Roman" w:hAnsi="Times New Roman"/>
          <w:b w:val="0"/>
          <w:i w:val="0"/>
          <w:sz w:val="22"/>
        </w:rPr>
        <w:t>The LLM raises individual conversion probability by approximately 1.4 pp on average — consistent with Experiment 1's aggregate 1.2 pp gain. The bias effect is small (+0.3 pp), confirming that platforms pay primarily for order-share redistribution rather than aggregate demand creation. Promotional discounts have near-zero average marginal effect.</w:t>
      </w:r>
    </w:p>
    <w:p>
      <w:pPr>
        <w:spacing w:before="280" w:after="80"/>
      </w:pPr>
      <w:r>
        <w:rPr>
          <w:rFonts w:ascii="Times New Roman" w:hAnsi="Times New Roman"/>
          <w:b/>
          <w:i w:val="0"/>
          <w:color w:val="1F4578"/>
          <w:sz w:val="26"/>
        </w:rPr>
        <w:t>6. Discussion</w:t>
      </w:r>
    </w:p>
    <w:p>
      <w:pPr>
        <w:spacing w:before="160" w:after="40"/>
      </w:pPr>
      <w:r>
        <w:rPr>
          <w:rFonts w:ascii="Times New Roman" w:hAnsi="Times New Roman"/>
          <w:b/>
          <w:i w:val="0"/>
          <w:sz w:val="22"/>
        </w:rPr>
        <w:t>6.1  Interpretation</w:t>
      </w:r>
    </w:p>
    <w:p>
      <w:pPr>
        <w:spacing w:after="80" w:before="0"/>
        <w:ind w:firstLine="0"/>
      </w:pPr>
      <w:r>
        <w:rPr>
          <w:rFonts w:ascii="Times New Roman" w:hAnsi="Times New Roman"/>
          <w:b w:val="0"/>
          <w:i w:val="0"/>
          <w:sz w:val="22"/>
        </w:rPr>
        <w:t>Experiment 1 reveals a more nuanced story than naive cross-platform aggregation would suggest. The 9.3% intent fulfilment gain under neutral LLM intermediation is real and structurally motivated — it arises from cross-platform aggregation that eliminates cuisine-match failures due to platform sampling. But the magnitude is substantially smaller than would result from an unfiltered comparison against a baseline without loyalty-based search, because the no-LLM consumers already apply a cuisine filter and check their most-loyal platforms first. The negative platform WTP (−$1,483) is the key new finding: neutral LLM intermediation creates consumer value at platform expense, by routing away from commission-maximising placements toward consumer-fit-maximising ones.</w:t>
      </w:r>
    </w:p>
    <w:p>
      <w:pPr>
        <w:spacing w:after="80" w:before="0"/>
        <w:ind w:firstLine="0"/>
      </w:pPr>
      <w:r>
        <w:rPr>
          <w:rFonts w:ascii="Times New Roman" w:hAnsi="Times New Roman"/>
          <w:b w:val="0"/>
          <w:i w:val="0"/>
          <w:sz w:val="22"/>
        </w:rPr>
        <w:t>Experiment 2 establishes that the payment mechanism fundamentally determines who captures value. CPFI achieves an alignment property no other regime possesses: because the LLM's marginal payment from a sponsored recommendation scales with that offer's intent fulfilment, the bias term naturally favours on-intent sponsored offers over off-intent ones. The result is a shortlist quality (0.981) that actually exceeds neutral (0.973), because CPFI incentivises the LLM to promote sponsored restaurants only when they are also good fits. This is a rare instance where incentive alignment and profit maximisation are simultaneously achievable, though at a revenue ceiling lower than CPC.</w:t>
      </w:r>
    </w:p>
    <w:p>
      <w:pPr>
        <w:spacing w:after="80" w:before="0"/>
        <w:ind w:firstLine="0"/>
      </w:pPr>
      <w:r>
        <w:rPr>
          <w:rFonts w:ascii="Times New Roman" w:hAnsi="Times New Roman"/>
          <w:b w:val="0"/>
          <w:i w:val="0"/>
          <w:sz w:val="22"/>
        </w:rPr>
        <w:t>Experiment 3 provides an empirical basis for regulatory thresholds. The welfare crossover — where LLM-mediated intent fulfilment falls below the no-LLM baseline — occurs between bias = 0.7 and bias = 1.0. A regulatory cap in the 0.1–0.2 range would preserve approximately 95% of zero-bias welfare gains while permitting viable monetisation, mirroring disclosure-style regulation that caps paid placement weight rather than prohibiting it.</w:t>
      </w:r>
    </w:p>
    <w:p>
      <w:pPr>
        <w:spacing w:after="80" w:before="0"/>
        <w:ind w:firstLine="0"/>
      </w:pPr>
      <w:r>
        <w:rPr>
          <w:rFonts w:ascii="Times New Roman" w:hAnsi="Times New Roman"/>
          <w:b w:val="0"/>
          <w:i w:val="0"/>
          <w:sz w:val="22"/>
        </w:rPr>
        <w:t>Experiment 4 confirms that the welfare benefits of LLM intermediation (better intent match) do not depend on mass consumer adoption — they are determined by the algorithm, not by trust levels. However, conversion does depend strongly on trust, meaning that a nascent LLM product with low consumer trust will struggle to capture demand benefits even if its matching algorithm is sound.</w:t>
      </w:r>
    </w:p>
    <w:p>
      <w:pPr>
        <w:spacing w:before="160" w:after="40"/>
      </w:pPr>
      <w:r>
        <w:rPr>
          <w:rFonts w:ascii="Times New Roman" w:hAnsi="Times New Roman"/>
          <w:b/>
          <w:i w:val="0"/>
          <w:sz w:val="22"/>
        </w:rPr>
        <w:t>6.2  Limitations</w:t>
      </w:r>
    </w:p>
    <w:p>
      <w:pPr>
        <w:spacing w:after="80" w:before="0"/>
        <w:ind w:firstLine="0"/>
      </w:pPr>
      <w:r>
        <w:rPr>
          <w:rFonts w:ascii="Times New Roman" w:hAnsi="Times New Roman"/>
          <w:b w:val="0"/>
          <w:i w:val="0"/>
          <w:sz w:val="22"/>
        </w:rPr>
        <w:t>Several simplifying assumptions bound external validity. The model is a static, one-shot game: agents do not dynamically adjust strategies across rounds. In reality, restaurants would adjust promotional budgets in response to LLM rankings and platforms would compete on commission rates, potentially producing richer equilibrium behaviour including sponsorship arms races. Additional limitations include: passive restaurant agents that do not respond to ranking outcomes; a single LLM monopoly assumption that ignores competitive LLM dynamics; fixed consumer trust drawn at the start, precluding Bayesian updating as consumers observe recommendation quality over time; the hard-zero cuisine criterion in intent fulfilment, which, combined with the no-LLM baseline's cuisine filter, may narrow the measured difference between the two worlds; and no platform network effects, which would resist disintermediation in practice.</w:t>
      </w:r>
    </w:p>
    <w:p>
      <w:pPr>
        <w:spacing w:before="280" w:after="80"/>
      </w:pPr>
      <w:r>
        <w:rPr>
          <w:rFonts w:ascii="Times New Roman" w:hAnsi="Times New Roman"/>
          <w:b/>
          <w:i w:val="0"/>
          <w:color w:val="1F4578"/>
          <w:sz w:val="26"/>
        </w:rPr>
        <w:t>7. Conclusion</w:t>
      </w:r>
    </w:p>
    <w:p>
      <w:pPr>
        <w:spacing w:after="80" w:before="0"/>
        <w:ind w:firstLine="0"/>
      </w:pPr>
      <w:r>
        <w:rPr>
          <w:rFonts w:ascii="Times New Roman" w:hAnsi="Times New Roman"/>
          <w:b w:val="0"/>
          <w:i w:val="0"/>
          <w:sz w:val="22"/>
        </w:rPr>
        <w:t>This study provides simulation-based evidence that LLM intermediation in food delivery markets is moderately welfare-improving in its neutral form, generating gains in intent fulfilment (+9.3%), consumer price (−$1.71), and delivery time (−1.7 min) relative to loyalty-aware direct platform search. However, neutral LLM access generates negative platform WTP: platforms collectively lose revenue when the LLM routes for consumer fit rather than commission maximisation. Paid regimes restore positive platform WTP but differ dramatically in their consumer welfare consequences.</w:t>
      </w:r>
    </w:p>
    <w:p>
      <w:pPr>
        <w:spacing w:after="80" w:before="0"/>
        <w:ind w:firstLine="0"/>
      </w:pPr>
      <w:r>
        <w:rPr>
          <w:rFonts w:ascii="Times New Roman" w:hAnsi="Times New Roman"/>
          <w:b w:val="0"/>
          <w:i w:val="0"/>
          <w:sz w:val="22"/>
        </w:rPr>
        <w:t>CPFI is the recommended payment structure: its sponsorship bias is modulated by the offer's predicted intent fulfilment, aligning the LLM's financial incentive with the consumer's welfare. CPFI achieves better shortlist quality than even the neutral baseline (0.981 vs. 0.973) while generating meaningful LLM revenue and positive platform net returns. CPC produces the most severe consumer harm and extreme market concentration, with the highest-paying platform capturing nearly two-thirds of all orders.</w:t>
      </w:r>
    </w:p>
    <w:p>
      <w:pPr>
        <w:spacing w:after="80" w:before="0"/>
        <w:ind w:firstLine="0"/>
      </w:pPr>
      <w:r>
        <w:rPr>
          <w:rFonts w:ascii="Times New Roman" w:hAnsi="Times New Roman"/>
          <w:b w:val="0"/>
          <w:i w:val="0"/>
          <w:sz w:val="22"/>
        </w:rPr>
        <w:t>Sponsorship bias has a regulatory crossover point: at bias strength ≥ 0.7–1.0, the LLM is worse than loyal direct search on consumer intent fulfilment. A bias cap in the 0.1–0.2 range would preserve nearly all consumer welfare gains. The market concentration effects of LLM intermediation are structurally small under neutral routing but become severe under CPC. Trust adoption does not affect match quality, only demand volume.</w:t>
      </w:r>
    </w:p>
    <w:p>
      <w:pPr>
        <w:spacing w:after="80" w:before="0"/>
        <w:ind w:firstLine="0"/>
      </w:pPr>
      <w:r>
        <w:rPr>
          <w:rFonts w:ascii="Times New Roman" w:hAnsi="Times New Roman"/>
          <w:b w:val="0"/>
          <w:i w:val="0"/>
          <w:sz w:val="22"/>
        </w:rPr>
        <w:t>Taken together, the findings suggest that LLM-mediated food delivery markets are welfare-improving if governed by CPFI-style payment structures and bias caps, and welfare-degrading if governed by CPC structures transplanted from traditional digital advertising without modification.</w:t>
      </w:r>
    </w:p>
    <w:p>
      <w:pPr>
        <w:spacing w:before="280" w:after="80"/>
      </w:pPr>
      <w:r>
        <w:rPr>
          <w:rFonts w:ascii="Times New Roman" w:hAnsi="Times New Roman"/>
          <w:b/>
          <w:i w:val="0"/>
          <w:color w:val="1F4578"/>
          <w:sz w:val="26"/>
        </w:rPr>
        <w:t>Future Research</w:t>
      </w:r>
    </w:p>
    <w:p>
      <w:pPr>
        <w:spacing w:after="80" w:before="0"/>
        <w:ind w:firstLine="0"/>
      </w:pPr>
      <w:r>
        <w:rPr>
          <w:rFonts w:ascii="Times New Roman" w:hAnsi="Times New Roman"/>
          <w:b w:val="0"/>
          <w:i w:val="0"/>
          <w:sz w:val="22"/>
        </w:rPr>
        <w:t>Priority extensions include: (1) a dynamic repeated game with strategy-updating restaurant and platform agents to study Nash equilibrium convergence and sponsorship arms races; (2) multi-LLM competition modelling where multiple AI assistants compete for platform sponsorship revenue; (3) real embedding-based semantic cuisine matching via sentence-transformer cosine similarity, replacing the hand-coded 9×9 table; (4) Bayesian consumer trust dynamics where users update trust based on observed recommendation quality; (5) restaurant-side LLM sponsorship as an independent payment layer; and (6) a CPWI (cost-per-welfare-improvement) regime aligning LLM incentives with utility generation.</w:t>
      </w:r>
    </w:p>
    <w:p>
      <w:pPr>
        <w:spacing w:before="280" w:after="80"/>
      </w:pPr>
      <w:r>
        <w:rPr>
          <w:rFonts w:ascii="Times New Roman" w:hAnsi="Times New Roman"/>
          <w:b/>
          <w:i w:val="0"/>
          <w:color w:val="1F4578"/>
          <w:sz w:val="26"/>
        </w:rPr>
        <w:t>References</w:t>
      </w:r>
    </w:p>
    <w:p>
      <w:pPr>
        <w:spacing w:after="80"/>
        <w:ind w:left="720" w:hanging="720"/>
      </w:pPr>
      <w:r>
        <w:rPr>
          <w:rFonts w:ascii="Times New Roman" w:hAnsi="Times New Roman"/>
          <w:b w:val="0"/>
          <w:i w:val="0"/>
          <w:sz w:val="20"/>
        </w:rPr>
        <w:t>Anderson, S. P., de Palma, A., &amp; Thisse, J. F. (1992). Discrete choice theory of product differentiation. MIT Press.</w:t>
      </w:r>
    </w:p>
    <w:p>
      <w:pPr>
        <w:spacing w:after="80"/>
        <w:ind w:left="720" w:hanging="720"/>
      </w:pPr>
      <w:r>
        <w:rPr>
          <w:rFonts w:ascii="Times New Roman" w:hAnsi="Times New Roman"/>
          <w:b w:val="0"/>
          <w:i w:val="0"/>
          <w:sz w:val="20"/>
        </w:rPr>
        <w:t>Bergemann, D., &amp; Välimäki, J. (2019). Dynamic mechanism design: An introduction. Journal of Economic Literature, 57(2), 235–274.</w:t>
      </w:r>
    </w:p>
    <w:p>
      <w:pPr>
        <w:spacing w:after="80"/>
        <w:ind w:left="720" w:hanging="720"/>
      </w:pPr>
      <w:r>
        <w:rPr>
          <w:rFonts w:ascii="Times New Roman" w:hAnsi="Times New Roman"/>
          <w:b w:val="0"/>
          <w:i w:val="0"/>
          <w:sz w:val="20"/>
        </w:rPr>
        <w:t>Eisenmann, T., Parker, G., &amp; Van Alstyne, M. (2006). Strategies for two-sided markets. Harvard Business Review, 84(10), 92–101.</w:t>
      </w:r>
    </w:p>
    <w:p>
      <w:pPr>
        <w:spacing w:after="80"/>
        <w:ind w:left="720" w:hanging="720"/>
      </w:pPr>
      <w:r>
        <w:rPr>
          <w:rFonts w:ascii="Times New Roman" w:hAnsi="Times New Roman"/>
          <w:b w:val="0"/>
          <w:i w:val="0"/>
          <w:sz w:val="20"/>
        </w:rPr>
        <w:t>Hagiu, A., &amp; Wright, J. (2015). Multi-sided platforms. International Journal of Industrial Organization, 43, 162–174.</w:t>
      </w:r>
    </w:p>
    <w:p>
      <w:pPr>
        <w:spacing w:after="80"/>
        <w:ind w:left="720" w:hanging="720"/>
      </w:pPr>
      <w:r>
        <w:rPr>
          <w:rFonts w:ascii="Times New Roman" w:hAnsi="Times New Roman"/>
          <w:b w:val="0"/>
          <w:i w:val="0"/>
          <w:sz w:val="20"/>
        </w:rPr>
        <w:t>McFadden, D. (1974). Conditional logit analysis of qualitative choice behaviour. In P. Zarembka (Ed.), Frontiers in Econometrics (pp. 105–142). Academic Press.</w:t>
      </w:r>
    </w:p>
    <w:p>
      <w:pPr>
        <w:spacing w:after="80"/>
        <w:ind w:left="720" w:hanging="720"/>
      </w:pPr>
      <w:r>
        <w:rPr>
          <w:rFonts w:ascii="Times New Roman" w:hAnsi="Times New Roman"/>
          <w:b w:val="0"/>
          <w:i w:val="0"/>
          <w:sz w:val="20"/>
        </w:rPr>
        <w:t>Rochet, J. C., &amp; Tirole, J. (2003). Platform competition in two-sided markets. Journal of the European Economic Association, 1(4), 990–1029.</w:t>
      </w:r>
    </w:p>
    <w:p>
      <w:pPr>
        <w:spacing w:after="80"/>
        <w:ind w:left="720" w:hanging="720"/>
      </w:pPr>
      <w:r>
        <w:rPr>
          <w:rFonts w:ascii="Times New Roman" w:hAnsi="Times New Roman"/>
          <w:b w:val="0"/>
          <w:i w:val="0"/>
          <w:sz w:val="20"/>
        </w:rPr>
        <w:t>Varian, H. R. (2007). Position auctions. International Journal of Industrial Organization, 25(6), 1163–1178.</w:t>
      </w:r>
    </w:p>
    <w:p>
      <w:pPr>
        <w:spacing w:after="80"/>
        <w:ind w:left="720" w:hanging="720"/>
      </w:pPr>
      <w:r>
        <w:rPr>
          <w:rFonts w:ascii="Times New Roman" w:hAnsi="Times New Roman"/>
          <w:b w:val="0"/>
          <w:i w:val="0"/>
          <w:sz w:val="20"/>
        </w:rPr>
        <w:t>Wei, J., et al. (2022). Emergent abilities of large language models. Transactions on Machine Learning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