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sz w:val="28"/>
        </w:rPr>
        <w:t>Reproducing and Evaluating TradingAgents: A Multi-Agent LLM Trading Framework</w:t>
      </w:r>
    </w:p>
    <w:p>
      <w:pPr>
        <w:spacing w:before="0" w:after="160" w:line="276" w:lineRule="auto"/>
        <w:jc w:val="center"/>
      </w:pPr>
      <w:r>
        <w:rPr>
          <w:rFonts w:ascii="Times New Roman" w:hAnsi="Times New Roman"/>
          <w:b w:val="0"/>
          <w:i w:val="0"/>
          <w:sz w:val="24"/>
        </w:rPr>
        <w:t>Yujia Zhang, Ruiyan Li, Yeyuxi Yi</w:t>
      </w:r>
    </w:p>
    <w:p>
      <w:pPr>
        <w:spacing w:before="160" w:after="40" w:line="240" w:lineRule="auto"/>
        <w:jc w:val="left"/>
      </w:pPr>
      <w:r>
        <w:rPr>
          <w:rFonts w:ascii="Times New Roman" w:hAnsi="Times New Roman"/>
          <w:b/>
          <w:sz w:val="24"/>
          <w:u w:val="single"/>
        </w:rPr>
        <w:t>1. Introduction</w:t>
      </w:r>
    </w:p>
    <w:p>
      <w:pPr>
        <w:spacing w:before="0" w:after="80" w:line="276" w:lineRule="auto"/>
        <w:jc w:val="both"/>
      </w:pPr>
      <w:r>
        <w:rPr>
          <w:rFonts w:ascii="Times New Roman" w:hAnsi="Times New Roman"/>
          <w:b w:val="0"/>
          <w:i w:val="0"/>
          <w:sz w:val="24"/>
        </w:rPr>
        <w:t>The application of large language models to financial trading has attracted significant research interest, yet most existing work treats the LLM as a monolithic predictor rather than a reasoning agent embedded in a larger system. FinGPT (Yang et al., 2023) fine-tunes open-source LLMs on financial corpora for sentiment classification and return forecasting; FinMem (Yu et al., 2023) adds layered memory to a single-agent trader; FinAgent (Zhang et al., 2024) augments the pipeline with multimodal tool use. Deep reinforcement learning approaches (Pricope, 2021) optimize policy networks directly on price sequences but cannot incorporate unstructured textual signals. None of these approaches model deliberation among agents or assign explicit risk-management responsibilities to a dedicated component.</w:t>
      </w:r>
    </w:p>
    <w:p>
      <w:pPr>
        <w:spacing w:before="0" w:after="80" w:line="276" w:lineRule="auto"/>
        <w:jc w:val="both"/>
      </w:pPr>
      <w:r>
        <w:rPr>
          <w:rFonts w:ascii="Times New Roman" w:hAnsi="Times New Roman"/>
          <w:b w:val="0"/>
          <w:i w:val="0"/>
          <w:sz w:val="24"/>
        </w:rPr>
        <w:t>TradingAgents: Multi-Agents LLM Financial Trading Framework (Tauric Research, arXiv 2412.20138, December 2024) addresses this gap by assembling a team of specialized LLM agents that collaborate, debate, and filter each other's outputs before generating trading orders. The system attracted over 53,000 GitHub stars within weeks of release, motivating an independent reproducibility study. We chose this paper because (i) its modular design admits controlled ablation experiments, (ii) financial performance metrics provide unambiguous evaluation criteria, and (iii) the adversarial debate mechanism is a novel LLM design pattern whose practical value under real market conditions deserves empirical scrutiny.</w:t>
      </w:r>
    </w:p>
    <w:p>
      <w:pPr>
        <w:spacing w:before="160" w:after="40" w:line="240" w:lineRule="auto"/>
        <w:jc w:val="left"/>
      </w:pPr>
      <w:r>
        <w:rPr>
          <w:rFonts w:ascii="Times New Roman" w:hAnsi="Times New Roman"/>
          <w:b/>
          <w:sz w:val="24"/>
          <w:u w:val="single"/>
        </w:rPr>
        <w:t>2. Framework Overview</w:t>
      </w:r>
    </w:p>
    <w:p>
      <w:pPr>
        <w:spacing w:before="100" w:after="40" w:line="240" w:lineRule="auto"/>
        <w:jc w:val="left"/>
      </w:pPr>
      <w:r>
        <w:rPr>
          <w:rFonts w:ascii="Times New Roman" w:hAnsi="Times New Roman"/>
          <w:b/>
          <w:sz w:val="24"/>
          <w:u w:val="none"/>
        </w:rPr>
        <w:t>2.1 Task</w:t>
      </w:r>
    </w:p>
    <w:p>
      <w:pPr>
        <w:spacing w:before="0" w:after="80" w:line="276" w:lineRule="auto"/>
        <w:jc w:val="both"/>
      </w:pPr>
      <w:r>
        <w:rPr>
          <w:rFonts w:ascii="Times New Roman" w:hAnsi="Times New Roman"/>
          <w:b w:val="0"/>
          <w:i w:val="0"/>
          <w:sz w:val="24"/>
        </w:rPr>
        <w:t>Given a target ticker and date range, the framework produces a daily buy, sell, or hold decision with a proposed position size, relying entirely on LLM agents to retrieve, interpret, and synthesize raw inputs—no hand-coded signals are used at inference time. Performance is measured by cumulative return, Sharpe ratio, and maximum drawdown over the backtest window.</w:t>
      </w:r>
    </w:p>
    <w:p>
      <w:pPr>
        <w:spacing w:before="100" w:after="40" w:line="240" w:lineRule="auto"/>
        <w:jc w:val="left"/>
      </w:pPr>
      <w:r>
        <w:rPr>
          <w:rFonts w:ascii="Times New Roman" w:hAnsi="Times New Roman"/>
          <w:b/>
          <w:sz w:val="24"/>
          <w:u w:val="none"/>
        </w:rPr>
        <w:t>2.2 Architecture</w:t>
      </w:r>
    </w:p>
    <w:p>
      <w:pPr>
        <w:spacing w:before="0" w:after="80" w:line="276" w:lineRule="auto"/>
        <w:jc w:val="both"/>
      </w:pPr>
      <w:r>
        <w:rPr>
          <w:rFonts w:ascii="Times New Roman" w:hAnsi="Times New Roman"/>
          <w:b w:val="0"/>
          <w:i w:val="0"/>
          <w:sz w:val="24"/>
        </w:rPr>
        <w:t>The pipeline has four sequential stages. At the Analyst stage, four specialized agents process distinct information channels. The Market Analyst computes technical indicators (MACD, RSI, Bollinger Bands, moving averages) from Yahoo Finance price data. The Social Media Analyst classifies retail sentiment from Reddit and Twitter posts. The News Analyst extracts event-driven signals—earnings surprises, rating changes, regulatory news—from Bloomberg, Reuters, and FinHub. The Fundamentals Analyst processes SEC filings, financial statements, and insider transaction records to assess balance-sheet health and insider conviction. Each agent produces a domain-specific natural language summary via a separate LLM call with a role-specific system prompt.</w:t>
      </w:r>
    </w:p>
    <w:p>
      <w:pPr>
        <w:spacing w:before="0" w:after="80" w:line="276" w:lineRule="auto"/>
        <w:jc w:val="both"/>
      </w:pPr>
      <w:r>
        <w:rPr>
          <w:rFonts w:ascii="Times New Roman" w:hAnsi="Times New Roman"/>
          <w:b w:val="0"/>
          <w:i w:val="0"/>
          <w:sz w:val="24"/>
        </w:rPr>
        <w:t>The four summaries pass to the Researcher stage, which consists of a Bullish and a Bearish agent. Both agents read all analyst reports and construct opposing investment arguments; they then engage in structured multi-round debate, each round consisting of a rebuttal and a revised position. This adversarial structure is motivated by Du et al. (2023), who demonstrate that multi-agent debate substantially reduces LLM hallucinations and improves factual accuracy: when models must defend positions against active criticism, they are less likely to anchor prematurely on the first plausible interpretation. A Research Manager agent synthesizes the debate transcript into a consolidated thesis. The thesis passes to the Trader agent, which determines order timing and sizing using OpenAI o1's extended chain-of-thought reasoning. Finally, a Risk Management layer—comprising Aggressive, Neutral, and Conservative sub-agents—evaluates the proposed order against current portfolio exposure and may reduce position size, decline to execute, or override the trade direction before a Fund Manager produces the final allocation. Each trading day requires approximately eleven LLM calls and over twenty tool or data-retrieval calls.</w:t>
      </w:r>
    </w:p>
    <w:p>
      <w:pPr>
        <w:spacing w:before="100" w:after="40" w:line="240" w:lineRule="auto"/>
        <w:jc w:val="left"/>
      </w:pPr>
      <w:r>
        <w:rPr>
          <w:rFonts w:ascii="Times New Roman" w:hAnsi="Times New Roman"/>
          <w:b/>
          <w:sz w:val="24"/>
          <w:u w:val="none"/>
        </w:rPr>
        <w:t>2.3 Contribution and Related Work</w:t>
      </w:r>
    </w:p>
    <w:p>
      <w:pPr>
        <w:spacing w:before="0" w:after="80" w:line="276" w:lineRule="auto"/>
        <w:jc w:val="both"/>
      </w:pPr>
      <w:r>
        <w:rPr>
          <w:rFonts w:ascii="Times New Roman" w:hAnsi="Times New Roman"/>
          <w:b w:val="0"/>
          <w:i w:val="0"/>
          <w:sz w:val="24"/>
        </w:rPr>
        <w:t>The paper's primary contribution is the combination of task decomposition, adversarial debate, and explicit risk control within a single framework. Prior multi-agent LLM systems—AutoGen (Wu et al., 2023), MetaGPT (Hong et al., 2023), ChatDev (Qian et al., 2023)—demonstrate the value of assigning specialized roles to communicating agents for software engineering and complex reasoning, but evaluate on qualitative task completion rather than quantitative financial performance. TradingAgents applies this paradigm to a domain with objective metrics and real economic stakes. The bull/bear debate is a structural advance over ensemble methods, which average outputs without requiring models to confront and refute each other's reasoning. The three-tier risk layer reflects the empirical finding that position sizing and downside protection determine realized long-run returns independently of raw signal quality (Pricope, 2021).</w:t>
      </w:r>
    </w:p>
    <w:p>
      <w:pPr>
        <w:spacing w:before="160" w:after="40" w:line="240" w:lineRule="auto"/>
        <w:jc w:val="left"/>
      </w:pPr>
      <w:r>
        <w:rPr>
          <w:rFonts w:ascii="Times New Roman" w:hAnsi="Times New Roman"/>
          <w:b/>
          <w:sz w:val="24"/>
          <w:u w:val="single"/>
        </w:rPr>
        <w:t>3. Reproduction Methodology</w:t>
      </w:r>
    </w:p>
    <w:p>
      <w:pPr>
        <w:spacing w:before="100" w:after="40" w:line="240" w:lineRule="auto"/>
        <w:jc w:val="left"/>
      </w:pPr>
      <w:r>
        <w:rPr>
          <w:rFonts w:ascii="Times New Roman" w:hAnsi="Times New Roman"/>
          <w:b/>
          <w:sz w:val="24"/>
          <w:u w:val="none"/>
        </w:rPr>
        <w:t>3.1 Scope and Model Substitution</w:t>
      </w:r>
    </w:p>
    <w:p>
      <w:pPr>
        <w:spacing w:before="0" w:after="80" w:line="276" w:lineRule="auto"/>
        <w:jc w:val="both"/>
      </w:pPr>
      <w:r>
        <w:rPr>
          <w:rFonts w:ascii="Times New Roman" w:hAnsi="Times New Roman"/>
          <w:b w:val="0"/>
          <w:i w:val="0"/>
          <w:sz w:val="24"/>
        </w:rPr>
        <w:t>The original paper evaluates three tickers over three months. At eleven LLM calls per trading day, this implies roughly 1,500 calls per ticker-month. Our initial test on two tickers over one month, using the original GPT-4o-mini and o1-mini configuration, required over three hours of wall-clock time. We reduced scope to AMZN over January 2024 (21 trading days) and substituted Gemini 2.5 Flash Lite for lower latency and cost. AMZN was chosen for its high liquidity and abundant multi-source data coverage. We acknowledge that the model substitution introduces a cross-study confound; within-study comparisons across ablation conditions remain valid because the model is held constant across all variants.</w:t>
      </w:r>
    </w:p>
    <w:p>
      <w:pPr>
        <w:spacing w:before="100" w:after="40" w:line="240" w:lineRule="auto"/>
        <w:jc w:val="left"/>
      </w:pPr>
      <w:r>
        <w:rPr>
          <w:rFonts w:ascii="Times New Roman" w:hAnsi="Times New Roman"/>
          <w:b/>
          <w:sz w:val="24"/>
          <w:u w:val="none"/>
        </w:rPr>
        <w:t>3.2 Engineering Challenges</w:t>
      </w:r>
    </w:p>
    <w:p>
      <w:pPr>
        <w:spacing w:before="0" w:after="80" w:line="276" w:lineRule="auto"/>
        <w:jc w:val="both"/>
      </w:pPr>
      <w:r>
        <w:rPr>
          <w:rFonts w:ascii="Times New Roman" w:hAnsi="Times New Roman"/>
          <w:b w:val="0"/>
          <w:i w:val="0"/>
          <w:sz w:val="24"/>
        </w:rPr>
        <w:t>Challenge 1 — Stale fundamentals data. The Fundamentals Analyst fetches the most recent SEC filing at run time via the EDGAR API. When executed in 2026, the API returned 2025–26 10-Q filings, introducing forward-looking bias into a 2024 backtest. The root cause is that the original code does not parameterize the filing query by a user-specified as-of date; it was written and run in late 2024 when 'most recent' was temporally consistent with the backtest window. We manually downloaded AMZN's Q3 2023 10-Q from EDGAR and cached it as a static local file. Since all 21 backtest days fall within the same fiscal quarter, this single filing is the correct fundamental input for every day, and caching also eliminates 21 redundant API calls per run.</w:t>
      </w:r>
    </w:p>
    <w:p>
      <w:pPr>
        <w:spacing w:before="0" w:after="80" w:line="276" w:lineRule="auto"/>
        <w:jc w:val="both"/>
      </w:pPr>
      <w:r>
        <w:rPr>
          <w:rFonts w:ascii="Times New Roman" w:hAnsi="Times New Roman"/>
          <w:b w:val="0"/>
          <w:i w:val="0"/>
          <w:sz w:val="24"/>
        </w:rPr>
        <w:t>Challenge 2 — News API ordering bug. The News Analyst fetches articles from the Yahoo Finance endpoint and then applies a date filter. Yahoo Finance returns articles in reverse-chronological order and terminates after a fixed record count; when called in 2026 with a January 2024 target window, the response contains only 2025–26 articles, all of which are discarded by the filter, leaving the agent with empty input. The correct implementation applies the date constraint as a query parameter before fetching—but Yahoo Finance's public endpoint does not support date-bounded queries natively. We replaced the live feed with a pre-filtered static dataset from the GDELT Project, extracting AMZN-relevant articles from December 2023 through January 2024 and formatting them to match the schema expected by the News Analyst agent. The Social Media Analyst's dependency on a locally cached Reddit dataset—not released with the codebase—was replaced with a Kaggle dataset of r/wallstreetbets and r/stocks submissions filtered to AMZN mentions over the same period.</w:t>
      </w:r>
    </w:p>
    <w:p>
      <w:pPr>
        <w:spacing w:before="0" w:after="80" w:line="276" w:lineRule="auto"/>
        <w:jc w:val="both"/>
      </w:pPr>
      <w:r>
        <w:rPr>
          <w:rFonts w:ascii="Times New Roman" w:hAnsi="Times New Roman"/>
          <w:b w:val="0"/>
          <w:i w:val="0"/>
          <w:sz w:val="24"/>
        </w:rPr>
        <w:t>Challenge 3 — Latency. The sequential chain of LLM and retrieval calls produced non-trivial per-day execution times even with Flash Lite. Beyond fundamentals caching, we pre-processed the GDELT and Reddit datasets into condensed, agent-ready summaries offline, reducing input token counts and eliminating context-overflow risk on high-news-volume days. A key limitation of these substitutions is that the resulting system is non-production-ready: it cannot generalize to new time periods without manual data preparation. All results should be interpreted as a reproducibility study under controlled, historically frozen data conditions.</w:t>
      </w:r>
    </w:p>
    <w:p>
      <w:pPr>
        <w:spacing w:before="160" w:after="40" w:line="240" w:lineRule="auto"/>
        <w:jc w:val="left"/>
      </w:pPr>
      <w:r>
        <w:rPr>
          <w:rFonts w:ascii="Times New Roman" w:hAnsi="Times New Roman"/>
          <w:b/>
          <w:sz w:val="24"/>
          <w:u w:val="single"/>
        </w:rPr>
        <w:t>4. Experimental Results</w:t>
      </w:r>
    </w:p>
    <w:p>
      <w:pPr>
        <w:spacing w:before="100" w:after="40" w:line="240" w:lineRule="auto"/>
        <w:jc w:val="left"/>
      </w:pPr>
      <w:r>
        <w:rPr>
          <w:rFonts w:ascii="Times New Roman" w:hAnsi="Times New Roman"/>
          <w:b/>
          <w:sz w:val="24"/>
          <w:u w:val="none"/>
        </w:rPr>
        <w:t>4.1 Replication</w:t>
      </w:r>
    </w:p>
    <w:p>
      <w:pPr>
        <w:spacing w:before="0" w:after="80" w:line="276" w:lineRule="auto"/>
        <w:jc w:val="both"/>
      </w:pPr>
      <w:r>
        <w:rPr>
          <w:rFonts w:ascii="Times New Roman" w:hAnsi="Times New Roman"/>
          <w:b w:val="0"/>
          <w:i w:val="0"/>
          <w:sz w:val="24"/>
        </w:rPr>
        <w:t>We compare the full TradingAgents architecture against five baseline strategies on AMZN over January 2024: Buy-and-Hold, MACD, KDJ+RSI, Zero Mean Reversion (ZMR), and SMA (10/30). Full metrics are reported in Appendix Table A1. TradingAgents achieves a cumulative return of 4.41% (annualized: 67.84%) with a Sharpe ratio of 3.90 and a maximum drawdown of −3.57%, outperforming all baselines on both absolute and risk-adjusted return. Buy-and-Hold is the strongest competitor at 3.51% return and Sharpe 2.40, reflecting the genuinely bullish environment for AMZN in January 2024. KDJ+RSI achieves a comparable Sharpe ratio (3.54) but lower cumulative return (3.26%), indicating similar risk-adjusted efficiency but less absolute upside capture. MACD lags at 0.96% return and Sharpe 0.82; ZMR and SMA (10/30) do not generate signals and return zero throughout the month.</w:t>
      </w:r>
    </w:p>
    <w:p>
      <w:pPr>
        <w:spacing w:before="0" w:after="80" w:line="276" w:lineRule="auto"/>
        <w:jc w:val="both"/>
      </w:pPr>
      <w:r>
        <w:rPr>
          <w:rFonts w:ascii="Times New Roman" w:hAnsi="Times New Roman"/>
          <w:b w:val="0"/>
          <w:i w:val="0"/>
          <w:sz w:val="24"/>
        </w:rPr>
        <w:t>The equity curve provides additional texture. TradingAgents exhibits consistent, smooth growth with minimal drawdown during the mid-month consolidation (approximately January 8–15), consistent with the risk management layer moderating exposure when analyst signals are mixed. KDJ+RSI shows more volatile intramonth behavior with a sharper late-month recovery, reflecting the more reactive nature of rule-based oscillators. These patterns suggest that the multi-agent framework's value lies not only in end-of-period return but in producing more stable intramonth trajectories—a property that would compound favorably over longer evaluation horizons. Our replication is qualitatively consistent with the paper's claims: TradingAgents outperforms technical baselines. Direct quantitative comparison with the original paper's figures is precluded by our model substitution and modified data pipeline.</w:t>
      </w:r>
    </w:p>
    <w:p>
      <w:pPr>
        <w:spacing w:before="100" w:after="40" w:line="240" w:lineRule="auto"/>
        <w:jc w:val="left"/>
      </w:pPr>
      <w:r>
        <w:rPr>
          <w:rFonts w:ascii="Times New Roman" w:hAnsi="Times New Roman"/>
          <w:b/>
          <w:sz w:val="24"/>
          <w:u w:val="none"/>
        </w:rPr>
        <w:t>4.2 Extension: Ablation Study</w:t>
      </w:r>
    </w:p>
    <w:p>
      <w:pPr>
        <w:spacing w:before="0" w:after="80" w:line="276" w:lineRule="auto"/>
        <w:jc w:val="both"/>
      </w:pPr>
      <w:r>
        <w:rPr>
          <w:rFonts w:ascii="Times New Roman" w:hAnsi="Times New Roman"/>
          <w:b w:val="0"/>
          <w:i w:val="0"/>
          <w:sz w:val="24"/>
        </w:rPr>
        <w:t>We evaluate two ablation variants on the same AMZN January 2024 window. In the No Research Debate variant, the bull/bear debate is removed: analyst reports are passed directly to a Research Manager that consolidates them without adversarial exchange. In the No Risk Layer variant, the Risk Management and Fund Manager layers are removed entirely, executing the Trader's output as the final order. Full results are in Appendix Table A2.</w:t>
      </w:r>
    </w:p>
    <w:p>
      <w:pPr>
        <w:spacing w:before="0" w:after="80" w:line="276" w:lineRule="auto"/>
        <w:jc w:val="both"/>
      </w:pPr>
      <w:r>
        <w:rPr>
          <w:rFonts w:ascii="Times New Roman" w:hAnsi="Times New Roman"/>
          <w:b w:val="0"/>
          <w:i w:val="0"/>
          <w:sz w:val="24"/>
        </w:rPr>
        <w:t>Removing the debate layer unexpectedly improves performance: the No Research Debate variant achieves 6.31% cumulative return and Sharpe 5.73, compared to 4.41% and 3.90 for the full architecture. January 2024 was a period of sustained upward momentum for AMZN; analyst signals were consistently bullish and directionally correct. The Bearish agent, however, is structurally required to argue against the dominant signal regardless of its strength—it cannot abstain or concede. In a strongly trending market, this produces a weakly supported counterargument that the Research Manager partially incorporates, causing the Trader to hedge unnecessarily and leave upside on the table. Without the debate, the Research Manager receives uncontested bullish inputs and acts on them more fully. This observation aligns with a known limitation identified by Du et al. (2023): a single round of debate may produce noise rather than convergence if the number of exchange rounds is insufficient for genuine reconciliation of views. The debate mechanism is likely to add value in range-bound or high-uncertainty markets where true signal disagreement is informative, but appears counterproductive when directional momentum is strong.</w:t>
      </w:r>
    </w:p>
    <w:p>
      <w:pPr>
        <w:spacing w:before="0" w:after="80" w:line="276" w:lineRule="auto"/>
        <w:jc w:val="both"/>
      </w:pPr>
      <w:r>
        <w:rPr>
          <w:rFonts w:ascii="Times New Roman" w:hAnsi="Times New Roman"/>
          <w:b w:val="0"/>
          <w:i w:val="0"/>
          <w:sz w:val="24"/>
        </w:rPr>
        <w:t>Removing the risk layer produces the opposite effect: cumulative return falls to −1.33% (Sharpe −0.77, max drawdown −4.81%), the worst result across all configurations. Without position-level filtering, the Trader's overconfident bets are executed at full size, and small losses compound. The risk layer's conservative sub-agent plays a particularly important role: by clipping extreme position sizes during pullbacks, it prevents individual losing trades from meaningfully denting cumulative return. This result empirically confirms the foundational trading principle that signal generation and risk control are complementary rather than substitutable components of a trading system (Pricope, 2021); strong directional signals without position sizing discipline reliably produce worse realized outcomes.</w:t>
      </w:r>
    </w:p>
    <w:p>
      <w:pPr>
        <w:spacing w:before="160" w:after="40" w:line="240" w:lineRule="auto"/>
        <w:jc w:val="left"/>
      </w:pPr>
      <w:r>
        <w:rPr>
          <w:rFonts w:ascii="Times New Roman" w:hAnsi="Times New Roman"/>
          <w:b/>
          <w:sz w:val="24"/>
          <w:u w:val="single"/>
        </w:rPr>
        <w:t>5. Discussion and Conclusion</w:t>
      </w:r>
    </w:p>
    <w:p>
      <w:pPr>
        <w:spacing w:before="0" w:after="80" w:line="276" w:lineRule="auto"/>
        <w:jc w:val="both"/>
      </w:pPr>
      <w:r>
        <w:rPr>
          <w:rFonts w:ascii="Times New Roman" w:hAnsi="Times New Roman"/>
          <w:b w:val="0"/>
          <w:i w:val="0"/>
          <w:sz w:val="24"/>
        </w:rPr>
        <w:t>The ablation results reveal a sharp asymmetry: the risk management layer is load-bearing and its removal is catastrophic, while the debate layer's contribution is regime-dependent and its removal is beneficial under strongly trending conditions. This suggests that the full TradingAgents architecture is not universally optimal. An adaptive design that gates the debate mechanism on a measure of inter-agent signal disagreement—activating it when analyst outputs are genuinely conflicted and suppressing it when signals are strongly aligned—could outperform both the full architecture and the no-debate ablation across diverse market regimes. The single-round debate limitation noted by Du et al. (2023) further suggests that extending to iterative multi-round exchange would allow the bear's arguments to be properly refuted rather than averaged into the bull's position.</w:t>
      </w:r>
    </w:p>
    <w:p>
      <w:pPr>
        <w:spacing w:before="0" w:after="80" w:line="276" w:lineRule="auto"/>
        <w:jc w:val="both"/>
      </w:pPr>
      <w:r>
        <w:rPr>
          <w:rFonts w:ascii="Times New Roman" w:hAnsi="Times New Roman"/>
          <w:b w:val="0"/>
          <w:i w:val="0"/>
          <w:sz w:val="24"/>
        </w:rPr>
        <w:t>Several limitations temper these conclusions. The evaluation window is short—21 days in a positive-momentum environment for AMZN—making it difficult to assess how the architecture would perform in bear markets or high-volatility regimes. The model substitution (Gemini Flash Lite for GPT-4o-mini/o1-mini) and data substitutions (GDELT/Kaggle for live APIs) prevent direct numerical comparison with the paper's results. The metric set does not capture trading cost sensitivity, slippage, or tail risk under stress. More broadly, the reproducibility challenges we encountered—stale API responses, date-filtering bugs that surface only when running historical backtests long after development, and inaccessible locally cached datasets—are informative for the agent-systems community. Systems that implicitly assume 'most recent API response ≈ target backtest date' become silently invalid as time passes. Making data retrieval explicitly date-parameterized is a straightforward fix that would substantially improve the long-run reproducibility of this class of LLM-based agent systems.</w:t>
      </w:r>
    </w:p>
    <w:p>
      <w:pPr>
        <w:spacing w:before="0" w:after="80" w:line="276" w:lineRule="auto"/>
        <w:jc w:val="both"/>
      </w:pPr>
      <w:r>
        <w:rPr>
          <w:rFonts w:ascii="Times New Roman" w:hAnsi="Times New Roman"/>
          <w:b w:val="0"/>
          <w:i w:val="0"/>
          <w:sz w:val="24"/>
        </w:rPr>
        <w:t>Despite these limitations, our study supports TradingAgents' central claim: a structured multi-agent pipeline with explicit risk control outperforms standard technical trading strategies on both absolute return and Sharpe ratio. The framework demonstrates that distributing cognition across specialized agents with defined interaction protocols—rather than asking a single model to jointly handle data retrieval, signal synthesis, adversarial reasoning, and portfolio management—can produce measurably better trading outcomes. Risk management is the indispensable component; structured debate is conditionally valuable. A more streamlined design that pairs strong risk control with selective, multi-round debate would be a productive direction for future work.</w:t>
      </w:r>
    </w:p>
    <w:p>
      <w:pPr>
        <w:spacing w:before="0" w:after="0" w:line="240" w:lineRule="auto"/>
      </w:pPr>
      <w:r>
        <w:br w:type="page"/>
      </w:r>
    </w:p>
    <w:p>
      <w:pPr>
        <w:spacing w:before="160" w:after="40" w:line="240" w:lineRule="auto"/>
        <w:jc w:val="left"/>
      </w:pPr>
      <w:r>
        <w:rPr>
          <w:rFonts w:ascii="Times New Roman" w:hAnsi="Times New Roman"/>
          <w:b/>
          <w:sz w:val="24"/>
          <w:u w:val="single"/>
        </w:rPr>
        <w:t>References</w:t>
      </w:r>
    </w:p>
    <w:p>
      <w:pPr>
        <w:spacing w:before="0" w:after="80" w:line="240" w:lineRule="auto"/>
        <w:ind w:left="576" w:hanging="576"/>
      </w:pPr>
      <w:r>
        <w:rPr>
          <w:rFonts w:ascii="Times New Roman" w:hAnsi="Times New Roman"/>
          <w:sz w:val="22"/>
        </w:rPr>
        <w:t>Du, Y., Li, S., Torralba, A., Tenenbaum, J. B., &amp; Mordatch, I. (2023). Improving factuality and reasoning in language models through multiagent debate. arXiv:2305.14325.</w:t>
      </w:r>
    </w:p>
    <w:p>
      <w:pPr>
        <w:spacing w:before="0" w:after="80" w:line="240" w:lineRule="auto"/>
        <w:ind w:left="576" w:hanging="576"/>
      </w:pPr>
      <w:r>
        <w:rPr>
          <w:rFonts w:ascii="Times New Roman" w:hAnsi="Times New Roman"/>
          <w:sz w:val="22"/>
        </w:rPr>
        <w:t>Hong, S., Zhuge, M., Chen, J., et al. (2023). MetaGPT: Meta programming for a multi-agent collaborative framework. arXiv:2308.00352.</w:t>
      </w:r>
    </w:p>
    <w:p>
      <w:pPr>
        <w:spacing w:before="0" w:after="80" w:line="240" w:lineRule="auto"/>
        <w:ind w:left="576" w:hanging="576"/>
      </w:pPr>
      <w:r>
        <w:rPr>
          <w:rFonts w:ascii="Times New Roman" w:hAnsi="Times New Roman"/>
          <w:sz w:val="22"/>
        </w:rPr>
        <w:t>Pricope, T. V. (2021). Deep reinforcement learning in quantitative algorithmic trading: A review. arXiv:2106.00123.</w:t>
      </w:r>
    </w:p>
    <w:p>
      <w:pPr>
        <w:spacing w:before="0" w:after="80" w:line="240" w:lineRule="auto"/>
        <w:ind w:left="576" w:hanging="576"/>
      </w:pPr>
      <w:r>
        <w:rPr>
          <w:rFonts w:ascii="Times New Roman" w:hAnsi="Times New Roman"/>
          <w:sz w:val="22"/>
        </w:rPr>
        <w:t>Qian, C., Liu, W., Liu, H., et al. (2023). ChatDev: Communicative agents for software development. arXiv:2307.07924.</w:t>
      </w:r>
    </w:p>
    <w:p>
      <w:pPr>
        <w:spacing w:before="0" w:after="80" w:line="240" w:lineRule="auto"/>
        <w:ind w:left="576" w:hanging="576"/>
      </w:pPr>
      <w:r>
        <w:rPr>
          <w:rFonts w:ascii="Times New Roman" w:hAnsi="Times New Roman"/>
          <w:sz w:val="22"/>
        </w:rPr>
        <w:t>Tauric Research. (2024). TradingAgents: Multi-agents LLM financial trading framework. arXiv:2412.20138.</w:t>
      </w:r>
    </w:p>
    <w:p>
      <w:pPr>
        <w:spacing w:before="0" w:after="80" w:line="240" w:lineRule="auto"/>
        <w:ind w:left="576" w:hanging="576"/>
      </w:pPr>
      <w:r>
        <w:rPr>
          <w:rFonts w:ascii="Times New Roman" w:hAnsi="Times New Roman"/>
          <w:sz w:val="22"/>
        </w:rPr>
        <w:t>Wu, Q., Bansal, G., Zhang, J., et al. (2023). AutoGen: Enabling next-gen LLM applications via multi-agent conversation. arXiv:2308.08155.</w:t>
      </w:r>
    </w:p>
    <w:p>
      <w:pPr>
        <w:spacing w:before="0" w:after="80" w:line="240" w:lineRule="auto"/>
        <w:ind w:left="576" w:hanging="576"/>
      </w:pPr>
      <w:r>
        <w:rPr>
          <w:rFonts w:ascii="Times New Roman" w:hAnsi="Times New Roman"/>
          <w:sz w:val="22"/>
        </w:rPr>
        <w:t>Yang, H., Liu, X.-Y., &amp; Wang, C. D. (2023). FinGPT: Open-source financial large language models. arXiv:2306.06031.</w:t>
      </w:r>
    </w:p>
    <w:p>
      <w:pPr>
        <w:spacing w:before="0" w:after="80" w:line="240" w:lineRule="auto"/>
        <w:ind w:left="576" w:hanging="576"/>
      </w:pPr>
      <w:r>
        <w:rPr>
          <w:rFonts w:ascii="Times New Roman" w:hAnsi="Times New Roman"/>
          <w:sz w:val="22"/>
        </w:rPr>
        <w:t>Yu, L., et al. (2023). FinMem: A performance-enhanced LLM trading agent with layered memory and character design. arXiv:2311.13743.</w:t>
      </w:r>
    </w:p>
    <w:p>
      <w:pPr>
        <w:spacing w:before="0" w:after="80" w:line="240" w:lineRule="auto"/>
        <w:ind w:left="576" w:hanging="576"/>
      </w:pPr>
      <w:r>
        <w:rPr>
          <w:rFonts w:ascii="Times New Roman" w:hAnsi="Times New Roman"/>
          <w:sz w:val="22"/>
        </w:rPr>
        <w:t>Zhang, Z., et al. (2024). A multimodal foundation agent for financial trading: Tool-augmented, diversified, and generalist. arXiv:2402.18485.</w:t>
      </w:r>
    </w:p>
    <w:p>
      <w:pPr>
        <w:spacing w:before="0" w:after="0" w:line="240" w:lineRule="auto"/>
      </w:pPr>
      <w:r>
        <w:br w:type="page"/>
      </w:r>
    </w:p>
    <w:p>
      <w:pPr>
        <w:spacing w:before="0" w:after="80" w:line="240" w:lineRule="auto"/>
        <w:jc w:val="center"/>
      </w:pPr>
      <w:r>
        <w:rPr>
          <w:rFonts w:ascii="Times New Roman" w:hAnsi="Times New Roman"/>
          <w:b/>
          <w:sz w:val="26"/>
        </w:rPr>
        <w:t>Appendix</w:t>
      </w:r>
    </w:p>
    <w:p>
      <w:pPr>
        <w:spacing w:before="100" w:after="40" w:line="240" w:lineRule="auto"/>
        <w:jc w:val="left"/>
      </w:pPr>
      <w:r>
        <w:rPr>
          <w:rFonts w:ascii="Times New Roman" w:hAnsi="Times New Roman"/>
          <w:b/>
          <w:sz w:val="24"/>
          <w:u w:val="none"/>
        </w:rPr>
        <w:t>Table A1: Replication — TradingAgents vs. Baselines (AMZN, January 2024)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5F"/>
          </w:tcPr>
          <w:p>
            <w:pPr>
              <w:spacing w:before="20" w:after="20" w:line="240" w:lineRule="auto"/>
              <w:jc w:val="left"/>
            </w:pPr>
            <w:r>
              <w:rPr>
                <w:rFonts w:ascii="Times New Roman" w:hAnsi="Times New Roman"/>
                <w:b/>
                <w:color w:val="FFFFFF"/>
                <w:sz w:val="22"/>
              </w:rPr>
              <w:t>Strategy</w:t>
            </w:r>
          </w:p>
        </w:tc>
        <w:tc>
          <w:tcPr>
            <w:tcW w:type="dxa" w:w="1872"/>
            <w:shd w:val="clear" w:color="auto" w:fill="1E3A5F"/>
          </w:tcPr>
          <w:p>
            <w:pPr>
              <w:spacing w:before="20" w:after="20" w:line="240" w:lineRule="auto"/>
              <w:jc w:val="center"/>
            </w:pPr>
            <w:r>
              <w:rPr>
                <w:rFonts w:ascii="Times New Roman" w:hAnsi="Times New Roman"/>
                <w:b/>
                <w:color w:val="FFFFFF"/>
                <w:sz w:val="22"/>
              </w:rPr>
              <w:t>Cum. Return (%)</w:t>
            </w:r>
          </w:p>
        </w:tc>
        <w:tc>
          <w:tcPr>
            <w:tcW w:type="dxa" w:w="1872"/>
            <w:shd w:val="clear" w:color="auto" w:fill="1E3A5F"/>
          </w:tcPr>
          <w:p>
            <w:pPr>
              <w:spacing w:before="20" w:after="20" w:line="240" w:lineRule="auto"/>
              <w:jc w:val="center"/>
            </w:pPr>
            <w:r>
              <w:rPr>
                <w:rFonts w:ascii="Times New Roman" w:hAnsi="Times New Roman"/>
                <w:b/>
                <w:color w:val="FFFFFF"/>
                <w:sz w:val="22"/>
              </w:rPr>
              <w:t>Ann. Return (%)</w:t>
            </w:r>
          </w:p>
        </w:tc>
        <w:tc>
          <w:tcPr>
            <w:tcW w:type="dxa" w:w="1872"/>
            <w:shd w:val="clear" w:color="auto" w:fill="1E3A5F"/>
          </w:tcPr>
          <w:p>
            <w:pPr>
              <w:spacing w:before="20" w:after="20" w:line="240" w:lineRule="auto"/>
              <w:jc w:val="center"/>
            </w:pPr>
            <w:r>
              <w:rPr>
                <w:rFonts w:ascii="Times New Roman" w:hAnsi="Times New Roman"/>
                <w:b/>
                <w:color w:val="FFFFFF"/>
                <w:sz w:val="22"/>
              </w:rPr>
              <w:t>Sharpe Ratio</w:t>
            </w:r>
          </w:p>
        </w:tc>
        <w:tc>
          <w:tcPr>
            <w:tcW w:type="dxa" w:w="1872"/>
            <w:shd w:val="clear" w:color="auto" w:fill="1E3A5F"/>
          </w:tcPr>
          <w:p>
            <w:pPr>
              <w:spacing w:before="20" w:after="20" w:line="240" w:lineRule="auto"/>
              <w:jc w:val="center"/>
            </w:pPr>
            <w:r>
              <w:rPr>
                <w:rFonts w:ascii="Times New Roman" w:hAnsi="Times New Roman"/>
                <w:b/>
                <w:color w:val="FFFFFF"/>
                <w:sz w:val="22"/>
              </w:rPr>
              <w:t>Max DD (%)</w:t>
            </w:r>
          </w:p>
        </w:tc>
      </w:tr>
      <w:tr>
        <w:tc>
          <w:tcPr>
            <w:tcW w:type="dxa" w:w="1872"/>
            <w:shd w:val="clear" w:color="auto" w:fill="D9E8F5"/>
          </w:tcPr>
          <w:p>
            <w:pPr>
              <w:spacing w:before="20" w:after="20" w:line="240" w:lineRule="auto"/>
              <w:jc w:val="left"/>
            </w:pPr>
            <w:r>
              <w:rPr>
                <w:rFonts w:ascii="Times New Roman" w:hAnsi="Times New Roman"/>
                <w:b/>
                <w:sz w:val="22"/>
              </w:rPr>
              <w:t>TradingAgents</w:t>
            </w:r>
          </w:p>
        </w:tc>
        <w:tc>
          <w:tcPr>
            <w:tcW w:type="dxa" w:w="1872"/>
            <w:shd w:val="clear" w:color="auto" w:fill="D9E8F5"/>
          </w:tcPr>
          <w:p>
            <w:pPr>
              <w:spacing w:before="20" w:after="20" w:line="240" w:lineRule="auto"/>
              <w:jc w:val="center"/>
            </w:pPr>
            <w:r>
              <w:rPr>
                <w:rFonts w:ascii="Times New Roman" w:hAnsi="Times New Roman"/>
                <w:b w:val="0"/>
                <w:sz w:val="22"/>
              </w:rPr>
              <w:t>4.41</w:t>
            </w:r>
          </w:p>
        </w:tc>
        <w:tc>
          <w:tcPr>
            <w:tcW w:type="dxa" w:w="1872"/>
            <w:shd w:val="clear" w:color="auto" w:fill="D9E8F5"/>
          </w:tcPr>
          <w:p>
            <w:pPr>
              <w:spacing w:before="20" w:after="20" w:line="240" w:lineRule="auto"/>
              <w:jc w:val="center"/>
            </w:pPr>
            <w:r>
              <w:rPr>
                <w:rFonts w:ascii="Times New Roman" w:hAnsi="Times New Roman"/>
                <w:b w:val="0"/>
                <w:sz w:val="22"/>
              </w:rPr>
              <w:t>67.84</w:t>
            </w:r>
          </w:p>
        </w:tc>
        <w:tc>
          <w:tcPr>
            <w:tcW w:type="dxa" w:w="1872"/>
            <w:shd w:val="clear" w:color="auto" w:fill="D9E8F5"/>
          </w:tcPr>
          <w:p>
            <w:pPr>
              <w:spacing w:before="20" w:after="20" w:line="240" w:lineRule="auto"/>
              <w:jc w:val="center"/>
            </w:pPr>
            <w:r>
              <w:rPr>
                <w:rFonts w:ascii="Times New Roman" w:hAnsi="Times New Roman"/>
                <w:b w:val="0"/>
                <w:sz w:val="22"/>
              </w:rPr>
              <w:t>3.90</w:t>
            </w:r>
          </w:p>
        </w:tc>
        <w:tc>
          <w:tcPr>
            <w:tcW w:type="dxa" w:w="1872"/>
            <w:shd w:val="clear" w:color="auto" w:fill="D9E8F5"/>
          </w:tcPr>
          <w:p>
            <w:pPr>
              <w:spacing w:before="20" w:after="20" w:line="240" w:lineRule="auto"/>
              <w:jc w:val="center"/>
            </w:pPr>
            <w:r>
              <w:rPr>
                <w:rFonts w:ascii="Times New Roman" w:hAnsi="Times New Roman"/>
                <w:b w:val="0"/>
                <w:sz w:val="22"/>
              </w:rPr>
              <w:t>−3.57</w:t>
            </w:r>
          </w:p>
        </w:tc>
      </w:tr>
      <w:tr>
        <w:tc>
          <w:tcPr>
            <w:tcW w:type="dxa" w:w="1872"/>
          </w:tcPr>
          <w:p>
            <w:pPr>
              <w:spacing w:before="20" w:after="20" w:line="240" w:lineRule="auto"/>
              <w:jc w:val="left"/>
            </w:pPr>
            <w:r>
              <w:rPr>
                <w:rFonts w:ascii="Times New Roman" w:hAnsi="Times New Roman"/>
                <w:b w:val="0"/>
                <w:sz w:val="22"/>
              </w:rPr>
              <w:t>Buy &amp; Hold</w:t>
            </w:r>
          </w:p>
        </w:tc>
        <w:tc>
          <w:tcPr>
            <w:tcW w:type="dxa" w:w="1872"/>
          </w:tcPr>
          <w:p>
            <w:pPr>
              <w:spacing w:before="20" w:after="20" w:line="240" w:lineRule="auto"/>
              <w:jc w:val="center"/>
            </w:pPr>
            <w:r>
              <w:rPr>
                <w:rFonts w:ascii="Times New Roman" w:hAnsi="Times New Roman"/>
                <w:b w:val="0"/>
                <w:sz w:val="22"/>
              </w:rPr>
              <w:t>3.51</w:t>
            </w:r>
          </w:p>
        </w:tc>
        <w:tc>
          <w:tcPr>
            <w:tcW w:type="dxa" w:w="1872"/>
          </w:tcPr>
          <w:p>
            <w:pPr>
              <w:spacing w:before="20" w:after="20" w:line="240" w:lineRule="auto"/>
              <w:jc w:val="center"/>
            </w:pPr>
            <w:r>
              <w:rPr>
                <w:rFonts w:ascii="Times New Roman" w:hAnsi="Times New Roman"/>
                <w:b w:val="0"/>
                <w:sz w:val="22"/>
              </w:rPr>
              <w:t>51.37</w:t>
            </w:r>
          </w:p>
        </w:tc>
        <w:tc>
          <w:tcPr>
            <w:tcW w:type="dxa" w:w="1872"/>
          </w:tcPr>
          <w:p>
            <w:pPr>
              <w:spacing w:before="20" w:after="20" w:line="240" w:lineRule="auto"/>
              <w:jc w:val="center"/>
            </w:pPr>
            <w:r>
              <w:rPr>
                <w:rFonts w:ascii="Times New Roman" w:hAnsi="Times New Roman"/>
                <w:b w:val="0"/>
                <w:sz w:val="22"/>
              </w:rPr>
              <w:t>2.40</w:t>
            </w:r>
          </w:p>
        </w:tc>
        <w:tc>
          <w:tcPr>
            <w:tcW w:type="dxa" w:w="1872"/>
          </w:tcPr>
          <w:p>
            <w:pPr>
              <w:spacing w:before="20" w:after="20" w:line="240" w:lineRule="auto"/>
              <w:jc w:val="center"/>
            </w:pPr>
            <w:r>
              <w:rPr>
                <w:rFonts w:ascii="Times New Roman" w:hAnsi="Times New Roman"/>
                <w:b w:val="0"/>
                <w:sz w:val="22"/>
              </w:rPr>
              <w:t>−3.76</w:t>
            </w:r>
          </w:p>
        </w:tc>
      </w:tr>
      <w:tr>
        <w:tc>
          <w:tcPr>
            <w:tcW w:type="dxa" w:w="1872"/>
          </w:tcPr>
          <w:p>
            <w:pPr>
              <w:spacing w:before="20" w:after="20" w:line="240" w:lineRule="auto"/>
              <w:jc w:val="left"/>
            </w:pPr>
            <w:r>
              <w:rPr>
                <w:rFonts w:ascii="Times New Roman" w:hAnsi="Times New Roman"/>
                <w:b w:val="0"/>
                <w:sz w:val="22"/>
              </w:rPr>
              <w:t>KDJ + RSI</w:t>
            </w:r>
          </w:p>
        </w:tc>
        <w:tc>
          <w:tcPr>
            <w:tcW w:type="dxa" w:w="1872"/>
          </w:tcPr>
          <w:p>
            <w:pPr>
              <w:spacing w:before="20" w:after="20" w:line="240" w:lineRule="auto"/>
              <w:jc w:val="center"/>
            </w:pPr>
            <w:r>
              <w:rPr>
                <w:rFonts w:ascii="Times New Roman" w:hAnsi="Times New Roman"/>
                <w:b w:val="0"/>
                <w:sz w:val="22"/>
              </w:rPr>
              <w:t>3.26</w:t>
            </w:r>
          </w:p>
        </w:tc>
        <w:tc>
          <w:tcPr>
            <w:tcW w:type="dxa" w:w="1872"/>
          </w:tcPr>
          <w:p>
            <w:pPr>
              <w:spacing w:before="20" w:after="20" w:line="240" w:lineRule="auto"/>
              <w:jc w:val="center"/>
            </w:pPr>
            <w:r>
              <w:rPr>
                <w:rFonts w:ascii="Times New Roman" w:hAnsi="Times New Roman"/>
                <w:b w:val="0"/>
                <w:sz w:val="22"/>
              </w:rPr>
              <w:t>46.92</w:t>
            </w:r>
          </w:p>
        </w:tc>
        <w:tc>
          <w:tcPr>
            <w:tcW w:type="dxa" w:w="1872"/>
          </w:tcPr>
          <w:p>
            <w:pPr>
              <w:spacing w:before="20" w:after="20" w:line="240" w:lineRule="auto"/>
              <w:jc w:val="center"/>
            </w:pPr>
            <w:r>
              <w:rPr>
                <w:rFonts w:ascii="Times New Roman" w:hAnsi="Times New Roman"/>
                <w:b w:val="0"/>
                <w:sz w:val="22"/>
              </w:rPr>
              <w:t>3.54</w:t>
            </w:r>
          </w:p>
        </w:tc>
        <w:tc>
          <w:tcPr>
            <w:tcW w:type="dxa" w:w="1872"/>
          </w:tcPr>
          <w:p>
            <w:pPr>
              <w:spacing w:before="20" w:after="20" w:line="240" w:lineRule="auto"/>
              <w:jc w:val="center"/>
            </w:pPr>
            <w:r>
              <w:rPr>
                <w:rFonts w:ascii="Times New Roman" w:hAnsi="Times New Roman"/>
                <w:b w:val="0"/>
                <w:sz w:val="22"/>
              </w:rPr>
              <w:t>−1.34</w:t>
            </w:r>
          </w:p>
        </w:tc>
      </w:tr>
      <w:tr>
        <w:tc>
          <w:tcPr>
            <w:tcW w:type="dxa" w:w="1872"/>
          </w:tcPr>
          <w:p>
            <w:pPr>
              <w:spacing w:before="20" w:after="20" w:line="240" w:lineRule="auto"/>
              <w:jc w:val="left"/>
            </w:pPr>
            <w:r>
              <w:rPr>
                <w:rFonts w:ascii="Times New Roman" w:hAnsi="Times New Roman"/>
                <w:b w:val="0"/>
                <w:sz w:val="22"/>
              </w:rPr>
              <w:t>MACD</w:t>
            </w:r>
          </w:p>
        </w:tc>
        <w:tc>
          <w:tcPr>
            <w:tcW w:type="dxa" w:w="1872"/>
          </w:tcPr>
          <w:p>
            <w:pPr>
              <w:spacing w:before="20" w:after="20" w:line="240" w:lineRule="auto"/>
              <w:jc w:val="center"/>
            </w:pPr>
            <w:r>
              <w:rPr>
                <w:rFonts w:ascii="Times New Roman" w:hAnsi="Times New Roman"/>
                <w:b w:val="0"/>
                <w:sz w:val="22"/>
              </w:rPr>
              <w:t>0.96</w:t>
            </w:r>
          </w:p>
        </w:tc>
        <w:tc>
          <w:tcPr>
            <w:tcW w:type="dxa" w:w="1872"/>
          </w:tcPr>
          <w:p>
            <w:pPr>
              <w:spacing w:before="20" w:after="20" w:line="240" w:lineRule="auto"/>
              <w:jc w:val="center"/>
            </w:pPr>
            <w:r>
              <w:rPr>
                <w:rFonts w:ascii="Times New Roman" w:hAnsi="Times New Roman"/>
                <w:b w:val="0"/>
                <w:sz w:val="22"/>
              </w:rPr>
              <w:t>12.10</w:t>
            </w:r>
          </w:p>
        </w:tc>
        <w:tc>
          <w:tcPr>
            <w:tcW w:type="dxa" w:w="1872"/>
          </w:tcPr>
          <w:p>
            <w:pPr>
              <w:spacing w:before="20" w:after="20" w:line="240" w:lineRule="auto"/>
              <w:jc w:val="center"/>
            </w:pPr>
            <w:r>
              <w:rPr>
                <w:rFonts w:ascii="Times New Roman" w:hAnsi="Times New Roman"/>
                <w:b w:val="0"/>
                <w:sz w:val="22"/>
              </w:rPr>
              <w:t>0.82</w:t>
            </w:r>
          </w:p>
        </w:tc>
        <w:tc>
          <w:tcPr>
            <w:tcW w:type="dxa" w:w="1872"/>
          </w:tcPr>
          <w:p>
            <w:pPr>
              <w:spacing w:before="20" w:after="20" w:line="240" w:lineRule="auto"/>
              <w:jc w:val="center"/>
            </w:pPr>
            <w:r>
              <w:rPr>
                <w:rFonts w:ascii="Times New Roman" w:hAnsi="Times New Roman"/>
                <w:b w:val="0"/>
                <w:sz w:val="22"/>
              </w:rPr>
              <w:t>−3.76</w:t>
            </w:r>
          </w:p>
        </w:tc>
      </w:tr>
      <w:tr>
        <w:tc>
          <w:tcPr>
            <w:tcW w:type="dxa" w:w="1872"/>
          </w:tcPr>
          <w:p>
            <w:pPr>
              <w:spacing w:before="20" w:after="20" w:line="240" w:lineRule="auto"/>
              <w:jc w:val="left"/>
            </w:pPr>
            <w:r>
              <w:rPr>
                <w:rFonts w:ascii="Times New Roman" w:hAnsi="Times New Roman"/>
                <w:b w:val="0"/>
                <w:sz w:val="22"/>
              </w:rPr>
              <w:t>ZMR</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r>
      <w:tr>
        <w:tc>
          <w:tcPr>
            <w:tcW w:type="dxa" w:w="1872"/>
          </w:tcPr>
          <w:p>
            <w:pPr>
              <w:spacing w:before="20" w:after="20" w:line="240" w:lineRule="auto"/>
              <w:jc w:val="left"/>
            </w:pPr>
            <w:r>
              <w:rPr>
                <w:rFonts w:ascii="Times New Roman" w:hAnsi="Times New Roman"/>
                <w:b w:val="0"/>
                <w:sz w:val="22"/>
              </w:rPr>
              <w:t>SMA (10/30)</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r>
    </w:tbl>
    <w:p>
      <w:pPr>
        <w:spacing w:before="60" w:after="160" w:line="240" w:lineRule="auto"/>
        <w:jc w:val="center"/>
      </w:pPr>
      <w:r>
        <w:rPr>
          <w:rFonts w:ascii="Times New Roman" w:hAnsi="Times New Roman"/>
          <w:i/>
          <w:sz w:val="20"/>
        </w:rPr>
        <w:t>Table A1. All strategies evaluated on AMZN, January 2–31, 2024 (21 trading days). Highlighted = TradingAgents full architecture.</w:t>
      </w:r>
    </w:p>
    <w:p>
      <w:pPr>
        <w:spacing w:before="100" w:after="40" w:line="240" w:lineRule="auto"/>
        <w:jc w:val="left"/>
      </w:pPr>
      <w:r>
        <w:rPr>
          <w:rFonts w:ascii="Times New Roman" w:hAnsi="Times New Roman"/>
          <w:b/>
          <w:sz w:val="24"/>
          <w:u w:val="none"/>
        </w:rPr>
        <w:t>Table A2: Ablation Study (AMZN, January 2024)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5F"/>
          </w:tcPr>
          <w:p>
            <w:pPr>
              <w:spacing w:before="20" w:after="20" w:line="240" w:lineRule="auto"/>
              <w:jc w:val="left"/>
            </w:pPr>
            <w:r>
              <w:rPr>
                <w:rFonts w:ascii="Times New Roman" w:hAnsi="Times New Roman"/>
                <w:b/>
                <w:color w:val="FFFFFF"/>
                <w:sz w:val="22"/>
              </w:rPr>
              <w:t>Configuration</w:t>
            </w:r>
          </w:p>
        </w:tc>
        <w:tc>
          <w:tcPr>
            <w:tcW w:type="dxa" w:w="1872"/>
            <w:shd w:val="clear" w:color="auto" w:fill="1E3A5F"/>
          </w:tcPr>
          <w:p>
            <w:pPr>
              <w:spacing w:before="20" w:after="20" w:line="240" w:lineRule="auto"/>
              <w:jc w:val="center"/>
            </w:pPr>
            <w:r>
              <w:rPr>
                <w:rFonts w:ascii="Times New Roman" w:hAnsi="Times New Roman"/>
                <w:b/>
                <w:color w:val="FFFFFF"/>
                <w:sz w:val="22"/>
              </w:rPr>
              <w:t>Cum. Return (%)</w:t>
            </w:r>
          </w:p>
        </w:tc>
        <w:tc>
          <w:tcPr>
            <w:tcW w:type="dxa" w:w="1872"/>
            <w:shd w:val="clear" w:color="auto" w:fill="1E3A5F"/>
          </w:tcPr>
          <w:p>
            <w:pPr>
              <w:spacing w:before="20" w:after="20" w:line="240" w:lineRule="auto"/>
              <w:jc w:val="center"/>
            </w:pPr>
            <w:r>
              <w:rPr>
                <w:rFonts w:ascii="Times New Roman" w:hAnsi="Times New Roman"/>
                <w:b/>
                <w:color w:val="FFFFFF"/>
                <w:sz w:val="22"/>
              </w:rPr>
              <w:t>Sharpe Ratio</w:t>
            </w:r>
          </w:p>
        </w:tc>
        <w:tc>
          <w:tcPr>
            <w:tcW w:type="dxa" w:w="1872"/>
            <w:shd w:val="clear" w:color="auto" w:fill="1E3A5F"/>
          </w:tcPr>
          <w:p>
            <w:pPr>
              <w:spacing w:before="20" w:after="20" w:line="240" w:lineRule="auto"/>
              <w:jc w:val="center"/>
            </w:pPr>
            <w:r>
              <w:rPr>
                <w:rFonts w:ascii="Times New Roman" w:hAnsi="Times New Roman"/>
                <w:b/>
                <w:color w:val="FFFFFF"/>
                <w:sz w:val="22"/>
              </w:rPr>
              <w:t>Max DD (%)</w:t>
            </w:r>
          </w:p>
        </w:tc>
        <w:tc>
          <w:tcPr>
            <w:tcW w:type="dxa" w:w="1872"/>
            <w:shd w:val="clear" w:color="auto" w:fill="1E3A5F"/>
          </w:tcPr>
          <w:p>
            <w:pPr>
              <w:spacing w:before="20" w:after="20" w:line="240" w:lineRule="auto"/>
              <w:jc w:val="center"/>
            </w:pPr>
            <w:r>
              <w:rPr>
                <w:rFonts w:ascii="Times New Roman" w:hAnsi="Times New Roman"/>
                <w:b/>
                <w:color w:val="FFFFFF"/>
                <w:sz w:val="22"/>
              </w:rPr>
              <w:t>vs. Full</w:t>
            </w:r>
          </w:p>
        </w:tc>
      </w:tr>
      <w:tr>
        <w:tc>
          <w:tcPr>
            <w:tcW w:type="dxa" w:w="1872"/>
            <w:shd w:val="clear" w:color="auto" w:fill="D9E8F5"/>
          </w:tcPr>
          <w:p>
            <w:pPr>
              <w:spacing w:before="20" w:after="20" w:line="240" w:lineRule="auto"/>
              <w:jc w:val="left"/>
            </w:pPr>
            <w:r>
              <w:rPr>
                <w:rFonts w:ascii="Times New Roman" w:hAnsi="Times New Roman"/>
                <w:b/>
                <w:sz w:val="22"/>
              </w:rPr>
              <w:t>Full Architecture</w:t>
            </w:r>
          </w:p>
        </w:tc>
        <w:tc>
          <w:tcPr>
            <w:tcW w:type="dxa" w:w="1872"/>
            <w:shd w:val="clear" w:color="auto" w:fill="D9E8F5"/>
          </w:tcPr>
          <w:p>
            <w:pPr>
              <w:spacing w:before="20" w:after="20" w:line="240" w:lineRule="auto"/>
              <w:jc w:val="center"/>
            </w:pPr>
            <w:r>
              <w:rPr>
                <w:rFonts w:ascii="Times New Roman" w:hAnsi="Times New Roman"/>
                <w:b w:val="0"/>
                <w:sz w:val="22"/>
              </w:rPr>
              <w:t>4.41</w:t>
            </w:r>
          </w:p>
        </w:tc>
        <w:tc>
          <w:tcPr>
            <w:tcW w:type="dxa" w:w="1872"/>
            <w:shd w:val="clear" w:color="auto" w:fill="D9E8F5"/>
          </w:tcPr>
          <w:p>
            <w:pPr>
              <w:spacing w:before="20" w:after="20" w:line="240" w:lineRule="auto"/>
              <w:jc w:val="center"/>
            </w:pPr>
            <w:r>
              <w:rPr>
                <w:rFonts w:ascii="Times New Roman" w:hAnsi="Times New Roman"/>
                <w:b w:val="0"/>
                <w:sz w:val="22"/>
              </w:rPr>
              <w:t>3.90</w:t>
            </w:r>
          </w:p>
        </w:tc>
        <w:tc>
          <w:tcPr>
            <w:tcW w:type="dxa" w:w="1872"/>
            <w:shd w:val="clear" w:color="auto" w:fill="D9E8F5"/>
          </w:tcPr>
          <w:p>
            <w:pPr>
              <w:spacing w:before="20" w:after="20" w:line="240" w:lineRule="auto"/>
              <w:jc w:val="center"/>
            </w:pPr>
            <w:r>
              <w:rPr>
                <w:rFonts w:ascii="Times New Roman" w:hAnsi="Times New Roman"/>
                <w:b w:val="0"/>
                <w:sz w:val="22"/>
              </w:rPr>
              <w:t>−3.57</w:t>
            </w:r>
          </w:p>
        </w:tc>
        <w:tc>
          <w:tcPr>
            <w:tcW w:type="dxa" w:w="1872"/>
            <w:shd w:val="clear" w:color="auto" w:fill="D9E8F5"/>
          </w:tcPr>
          <w:p>
            <w:pPr>
              <w:spacing w:before="20" w:after="20" w:line="240" w:lineRule="auto"/>
              <w:jc w:val="center"/>
            </w:pPr>
            <w:r>
              <w:rPr>
                <w:rFonts w:ascii="Times New Roman" w:hAnsi="Times New Roman"/>
                <w:b w:val="0"/>
                <w:sz w:val="22"/>
              </w:rPr>
              <w:t>—</w:t>
            </w:r>
          </w:p>
        </w:tc>
      </w:tr>
      <w:tr>
        <w:tc>
          <w:tcPr>
            <w:tcW w:type="dxa" w:w="1872"/>
          </w:tcPr>
          <w:p>
            <w:pPr>
              <w:spacing w:before="20" w:after="20" w:line="240" w:lineRule="auto"/>
              <w:jc w:val="left"/>
            </w:pPr>
            <w:r>
              <w:rPr>
                <w:rFonts w:ascii="Times New Roman" w:hAnsi="Times New Roman"/>
                <w:b w:val="0"/>
                <w:sz w:val="22"/>
              </w:rPr>
              <w:t>No Research Debate</w:t>
            </w:r>
          </w:p>
        </w:tc>
        <w:tc>
          <w:tcPr>
            <w:tcW w:type="dxa" w:w="1872"/>
          </w:tcPr>
          <w:p>
            <w:pPr>
              <w:spacing w:before="20" w:after="20" w:line="240" w:lineRule="auto"/>
              <w:jc w:val="center"/>
            </w:pPr>
            <w:r>
              <w:rPr>
                <w:rFonts w:ascii="Times New Roman" w:hAnsi="Times New Roman"/>
                <w:b w:val="0"/>
                <w:sz w:val="22"/>
              </w:rPr>
              <w:t>6.31</w:t>
            </w:r>
          </w:p>
        </w:tc>
        <w:tc>
          <w:tcPr>
            <w:tcW w:type="dxa" w:w="1872"/>
          </w:tcPr>
          <w:p>
            <w:pPr>
              <w:spacing w:before="20" w:after="20" w:line="240" w:lineRule="auto"/>
              <w:jc w:val="center"/>
            </w:pPr>
            <w:r>
              <w:rPr>
                <w:rFonts w:ascii="Times New Roman" w:hAnsi="Times New Roman"/>
                <w:b w:val="0"/>
                <w:sz w:val="22"/>
              </w:rPr>
              <w:t>5.73</w:t>
            </w:r>
          </w:p>
        </w:tc>
        <w:tc>
          <w:tcPr>
            <w:tcW w:type="dxa" w:w="1872"/>
          </w:tcPr>
          <w:p>
            <w:pPr>
              <w:spacing w:before="20" w:after="20" w:line="240" w:lineRule="auto"/>
              <w:jc w:val="center"/>
            </w:pPr>
            <w:r>
              <w:rPr>
                <w:rFonts w:ascii="Times New Roman" w:hAnsi="Times New Roman"/>
                <w:b w:val="0"/>
                <w:sz w:val="22"/>
              </w:rPr>
              <w:t>−3.76</w:t>
            </w:r>
          </w:p>
        </w:tc>
        <w:tc>
          <w:tcPr>
            <w:tcW w:type="dxa" w:w="1872"/>
          </w:tcPr>
          <w:p>
            <w:pPr>
              <w:spacing w:before="20" w:after="20" w:line="240" w:lineRule="auto"/>
              <w:jc w:val="center"/>
            </w:pPr>
            <w:r>
              <w:rPr>
                <w:rFonts w:ascii="Times New Roman" w:hAnsi="Times New Roman"/>
                <w:b w:val="0"/>
                <w:sz w:val="22"/>
              </w:rPr>
              <w:t>↑ Better</w:t>
            </w:r>
          </w:p>
        </w:tc>
      </w:tr>
      <w:tr>
        <w:tc>
          <w:tcPr>
            <w:tcW w:type="dxa" w:w="1872"/>
          </w:tcPr>
          <w:p>
            <w:pPr>
              <w:spacing w:before="20" w:after="20" w:line="240" w:lineRule="auto"/>
              <w:jc w:val="left"/>
            </w:pPr>
            <w:r>
              <w:rPr>
                <w:rFonts w:ascii="Times New Roman" w:hAnsi="Times New Roman"/>
                <w:b w:val="0"/>
                <w:sz w:val="22"/>
              </w:rPr>
              <w:t>No Risk Layer</w:t>
            </w:r>
          </w:p>
        </w:tc>
        <w:tc>
          <w:tcPr>
            <w:tcW w:type="dxa" w:w="1872"/>
          </w:tcPr>
          <w:p>
            <w:pPr>
              <w:spacing w:before="20" w:after="20" w:line="240" w:lineRule="auto"/>
              <w:jc w:val="center"/>
            </w:pPr>
            <w:r>
              <w:rPr>
                <w:rFonts w:ascii="Times New Roman" w:hAnsi="Times New Roman"/>
                <w:b w:val="0"/>
                <w:sz w:val="22"/>
              </w:rPr>
              <w:t>−1.33</w:t>
            </w:r>
          </w:p>
        </w:tc>
        <w:tc>
          <w:tcPr>
            <w:tcW w:type="dxa" w:w="1872"/>
          </w:tcPr>
          <w:p>
            <w:pPr>
              <w:spacing w:before="20" w:after="20" w:line="240" w:lineRule="auto"/>
              <w:jc w:val="center"/>
            </w:pPr>
            <w:r>
              <w:rPr>
                <w:rFonts w:ascii="Times New Roman" w:hAnsi="Times New Roman"/>
                <w:b w:val="0"/>
                <w:sz w:val="22"/>
              </w:rPr>
              <w:t>−0.77</w:t>
            </w:r>
          </w:p>
        </w:tc>
        <w:tc>
          <w:tcPr>
            <w:tcW w:type="dxa" w:w="1872"/>
          </w:tcPr>
          <w:p>
            <w:pPr>
              <w:spacing w:before="20" w:after="20" w:line="240" w:lineRule="auto"/>
              <w:jc w:val="center"/>
            </w:pPr>
            <w:r>
              <w:rPr>
                <w:rFonts w:ascii="Times New Roman" w:hAnsi="Times New Roman"/>
                <w:b w:val="0"/>
                <w:sz w:val="22"/>
              </w:rPr>
              <w:t>−4.81</w:t>
            </w:r>
          </w:p>
        </w:tc>
        <w:tc>
          <w:tcPr>
            <w:tcW w:type="dxa" w:w="1872"/>
          </w:tcPr>
          <w:p>
            <w:pPr>
              <w:spacing w:before="20" w:after="20" w:line="240" w:lineRule="auto"/>
              <w:jc w:val="center"/>
            </w:pPr>
            <w:r>
              <w:rPr>
                <w:rFonts w:ascii="Times New Roman" w:hAnsi="Times New Roman"/>
                <w:b w:val="0"/>
                <w:sz w:val="22"/>
              </w:rPr>
              <w:t>↓ Much worse</w:t>
            </w:r>
          </w:p>
        </w:tc>
      </w:tr>
      <w:tr>
        <w:tc>
          <w:tcPr>
            <w:tcW w:type="dxa" w:w="1872"/>
          </w:tcPr>
          <w:p>
            <w:pPr>
              <w:spacing w:before="20" w:after="20" w:line="240" w:lineRule="auto"/>
              <w:jc w:val="left"/>
            </w:pPr>
            <w:r>
              <w:rPr>
                <w:rFonts w:ascii="Times New Roman" w:hAnsi="Times New Roman"/>
                <w:b w:val="0"/>
                <w:sz w:val="22"/>
              </w:rPr>
              <w:t>Buy &amp; Hold (reference)</w:t>
            </w:r>
          </w:p>
        </w:tc>
        <w:tc>
          <w:tcPr>
            <w:tcW w:type="dxa" w:w="1872"/>
          </w:tcPr>
          <w:p>
            <w:pPr>
              <w:spacing w:before="20" w:after="20" w:line="240" w:lineRule="auto"/>
              <w:jc w:val="center"/>
            </w:pPr>
            <w:r>
              <w:rPr>
                <w:rFonts w:ascii="Times New Roman" w:hAnsi="Times New Roman"/>
                <w:b w:val="0"/>
                <w:sz w:val="22"/>
              </w:rPr>
              <w:t>3.51</w:t>
            </w:r>
          </w:p>
        </w:tc>
        <w:tc>
          <w:tcPr>
            <w:tcW w:type="dxa" w:w="1872"/>
          </w:tcPr>
          <w:p>
            <w:pPr>
              <w:spacing w:before="20" w:after="20" w:line="240" w:lineRule="auto"/>
              <w:jc w:val="center"/>
            </w:pPr>
            <w:r>
              <w:rPr>
                <w:rFonts w:ascii="Times New Roman" w:hAnsi="Times New Roman"/>
                <w:b w:val="0"/>
                <w:sz w:val="22"/>
              </w:rPr>
              <w:t>2.40</w:t>
            </w:r>
          </w:p>
        </w:tc>
        <w:tc>
          <w:tcPr>
            <w:tcW w:type="dxa" w:w="1872"/>
          </w:tcPr>
          <w:p>
            <w:pPr>
              <w:spacing w:before="20" w:after="20" w:line="240" w:lineRule="auto"/>
              <w:jc w:val="center"/>
            </w:pPr>
            <w:r>
              <w:rPr>
                <w:rFonts w:ascii="Times New Roman" w:hAnsi="Times New Roman"/>
                <w:b w:val="0"/>
                <w:sz w:val="22"/>
              </w:rPr>
              <w:t>−3.76</w:t>
            </w:r>
          </w:p>
        </w:tc>
        <w:tc>
          <w:tcPr>
            <w:tcW w:type="dxa" w:w="1872"/>
          </w:tcPr>
          <w:p>
            <w:pPr>
              <w:spacing w:before="20" w:after="20" w:line="240" w:lineRule="auto"/>
              <w:jc w:val="center"/>
            </w:pPr>
            <w:r>
              <w:rPr>
                <w:rFonts w:ascii="Times New Roman" w:hAnsi="Times New Roman"/>
                <w:b w:val="0"/>
                <w:sz w:val="22"/>
              </w:rPr>
              <w:t>—</w:t>
            </w:r>
          </w:p>
        </w:tc>
      </w:tr>
    </w:tbl>
    <w:p>
      <w:pPr>
        <w:spacing w:before="60" w:after="160" w:line="240" w:lineRule="auto"/>
        <w:jc w:val="center"/>
      </w:pPr>
      <w:r>
        <w:rPr>
          <w:rFonts w:ascii="Times New Roman" w:hAnsi="Times New Roman"/>
          <w:i/>
          <w:sz w:val="20"/>
        </w:rPr>
        <w:t>Table A2. Ablation results. Buy &amp; Hold included as passive 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