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Bromocriptine</w:t>
      </w:r>
      <w:r>
        <w:t xml:space="preserve"> </w:t>
      </w:r>
      <w:r>
        <w:t xml:space="preserve">Safety</w:t>
      </w:r>
      <w:r>
        <w:t xml:space="preserve"> </w:t>
      </w:r>
      <w:r>
        <w:t xml:space="preserve">Report</w:t>
      </w:r>
      <w:r>
        <w:t xml:space="preserve"> </w:t>
      </w:r>
      <w:r>
        <w:t xml:space="preserve">-</w:t>
      </w:r>
      <w:r>
        <w:t xml:space="preserve"> </w:t>
      </w:r>
      <w:r>
        <w:t xml:space="preserve">Unblinded</w:t>
      </w:r>
    </w:p>
    <w:p>
      <w:pPr>
        <w:pStyle w:val="Author"/>
      </w:pPr>
      <w:r>
        <w:t xml:space="preserve">Tim</w:t>
      </w:r>
      <w:r>
        <w:t xml:space="preserve"> </w:t>
      </w:r>
      <w:r>
        <w:t xml:space="preserve">Vigers</w:t>
      </w:r>
      <w:r>
        <w:t xml:space="preserve"> </w:t>
      </w:r>
      <w:r>
        <w:t xml:space="preserve">&amp;</w:t>
      </w:r>
      <w:r>
        <w:t xml:space="preserve"> </w:t>
      </w:r>
      <w:r>
        <w:t xml:space="preserve">Laura</w:t>
      </w:r>
      <w:r>
        <w:t xml:space="preserve"> </w:t>
      </w:r>
      <w:r>
        <w:t xml:space="preserve">Pyle</w:t>
      </w:r>
    </w:p>
    <w:p>
      <w:pPr>
        <w:pStyle w:val="Date"/>
      </w:pPr>
      <w:r>
        <w:t xml:space="preserve">28</w:t>
      </w:r>
      <w:r>
        <w:t xml:space="preserve"> </w:t>
      </w:r>
      <w:r>
        <w:t xml:space="preserve">November</w:t>
      </w:r>
      <w:r>
        <w:t xml:space="preserve"> </w:t>
      </w:r>
      <w:r>
        <w:t xml:space="preserve">2018</w:t>
      </w:r>
    </w:p>
    <w:p>
      <w:pPr>
        <w:pStyle w:val="Heading1"/>
      </w:pPr>
      <w:bookmarkStart w:id="21" w:name="study-description"/>
      <w:bookmarkEnd w:id="21"/>
      <w:r>
        <w:t xml:space="preserve">1. Study description</w:t>
      </w:r>
    </w:p>
    <w:p>
      <w:pPr>
        <w:pStyle w:val="FirstParagraph"/>
      </w:pPr>
      <w:r>
        <w:t xml:space="preserve">This is a double-blind, random-order, cross-over design study of bromocriptine QR in type 1 diabetes funded by the JDRF (NCT02544321). Two cohorts, adult (age 22-50) and adolescent (age 12-21) are planned with a goal to complete 40 subjects in each cohort. The adult cohort was required to precede the adolescent cohort for safety reasons. An IND exemption was obtained for the adult cohort and an IND is in place for the adolescent cohort (sponsored by the study coPI, Kristen Nadeau). Primary outcomes include measures of glycemic control. Secondary measures include hypoglycemia, hypoglycemia awareness, sleep, vascular function and stiffness, and cardiac autonomic function.</w:t>
      </w:r>
    </w:p>
    <w:p>
      <w:pPr>
        <w:pStyle w:val="Heading1"/>
      </w:pPr>
      <w:bookmarkStart w:id="22" w:name="safety-officer-responsibilities"/>
      <w:bookmarkEnd w:id="22"/>
      <w:r>
        <w:t xml:space="preserve">2. Safety Officer Responsibilities</w:t>
      </w:r>
    </w:p>
    <w:p>
      <w:pPr>
        <w:pStyle w:val="FirstParagraph"/>
      </w:pPr>
      <w:r>
        <w:t xml:space="preserve">The responsibilities of the safety officers are as follows:</w:t>
      </w:r>
    </w:p>
    <w:p>
      <w:pPr>
        <w:pStyle w:val="Compact"/>
        <w:numPr>
          <w:numId w:val="1001"/>
          <w:ilvl w:val="0"/>
        </w:numPr>
      </w:pPr>
      <w:r>
        <w:t xml:space="preserve">Review unblinded safety data annually and report to the PI of the safety of the study</w:t>
      </w:r>
    </w:p>
    <w:p>
      <w:pPr>
        <w:pStyle w:val="Compact"/>
        <w:numPr>
          <w:numId w:val="1001"/>
          <w:ilvl w:val="0"/>
        </w:numPr>
      </w:pPr>
      <w:r>
        <w:t xml:space="preserve">Protect unblinding information from the PI and study team at all times prior to completion of the relevant cohort</w:t>
      </w:r>
    </w:p>
    <w:p>
      <w:pPr>
        <w:pStyle w:val="Compact"/>
        <w:numPr>
          <w:numId w:val="1001"/>
          <w:ilvl w:val="0"/>
        </w:numPr>
      </w:pPr>
      <w:r>
        <w:t xml:space="preserve">Work with the PI to protect the safety of the study participants</w:t>
      </w:r>
    </w:p>
    <w:p>
      <w:pPr>
        <w:pStyle w:val="Compact"/>
        <w:numPr>
          <w:numId w:val="1001"/>
          <w:ilvl w:val="0"/>
        </w:numPr>
      </w:pPr>
      <w:r>
        <w:t xml:space="preserve">Follow the below process annually:</w:t>
      </w:r>
    </w:p>
    <w:p>
      <w:pPr>
        <w:pStyle w:val="Compact"/>
        <w:numPr>
          <w:numId w:val="1001"/>
          <w:ilvl w:val="0"/>
        </w:numPr>
      </w:pPr>
      <w:r>
        <w:t xml:space="preserve">Review unblinded data reports sent by study-independent biostatistician</w:t>
      </w:r>
    </w:p>
    <w:p>
      <w:pPr>
        <w:pStyle w:val="Compact"/>
        <w:numPr>
          <w:numId w:val="1002"/>
          <w:ilvl w:val="1"/>
        </w:numPr>
      </w:pPr>
      <w:r>
        <w:t xml:space="preserve">Hypoglycemia: number of events, severity, % time hypoglycemic</w:t>
      </w:r>
    </w:p>
    <w:p>
      <w:pPr>
        <w:pStyle w:val="Compact"/>
        <w:numPr>
          <w:numId w:val="1002"/>
          <w:ilvl w:val="1"/>
        </w:numPr>
      </w:pPr>
      <w:r>
        <w:t xml:space="preserve">Symptom reports and adverse events</w:t>
      </w:r>
    </w:p>
    <w:p>
      <w:pPr>
        <w:pStyle w:val="Compact"/>
        <w:numPr>
          <w:numId w:val="1001"/>
          <w:ilvl w:val="0"/>
        </w:numPr>
      </w:pPr>
      <w:r>
        <w:t xml:space="preserve">Assess for future potential safety concerns</w:t>
      </w:r>
    </w:p>
    <w:p>
      <w:pPr>
        <w:pStyle w:val="Compact"/>
        <w:numPr>
          <w:numId w:val="1001"/>
          <w:ilvl w:val="0"/>
        </w:numPr>
      </w:pPr>
      <w:r>
        <w:t xml:space="preserve">Engage in conference call with study PI and team to discuss conduct, progress, and concerns of the study</w:t>
      </w:r>
    </w:p>
    <w:p>
      <w:pPr>
        <w:pStyle w:val="Compact"/>
        <w:numPr>
          <w:numId w:val="1001"/>
          <w:ilvl w:val="0"/>
        </w:numPr>
      </w:pPr>
      <w:r>
        <w:t xml:space="preserve">Write a formal letter with decision for recommendation of continuation of study, discussed safety concerns, suggestions for improvement, and plans of action, if applicable</w:t>
      </w:r>
    </w:p>
    <w:p>
      <w:pPr>
        <w:pStyle w:val="Heading1"/>
      </w:pPr>
      <w:bookmarkStart w:id="23" w:name="data-management"/>
      <w:bookmarkEnd w:id="23"/>
      <w:r>
        <w:t xml:space="preserve">3. Data management</w:t>
      </w:r>
    </w:p>
    <w:p>
      <w:pPr>
        <w:pStyle w:val="FirstParagraph"/>
      </w:pPr>
      <w:r>
        <w:t xml:space="preserve">First, all the data was gathered into a single folder for adults and a single folder for pediatric participants. Timestamp formats were inconsistent from file to file, so they were manually edited in order to be correctly read into R. Some of the files were also re-named to include subject ID, as this was how participants’ data were identified. Excel files were saved as CSV, to make importing them into R easier and faster.</w:t>
      </w:r>
    </w:p>
    <w:p>
      <w:pPr>
        <w:pStyle w:val="BodyText"/>
      </w:pPr>
      <w:r>
        <w:t xml:space="preserve">Some pediatric participants’ data included summary tables that were not standard across the cohort. These were manually removed to help with formatting data in R. For the adults, BCQR-31’s second med start date was incorrectly listed in the enrollment log as 1/19/16, so it was manually changed to 1/19/17. When cleaning the CGM data, gaps &lt;= 20 min were interpolated, and larger gaps were left in the data.</w:t>
      </w:r>
      <w:r>
        <w:t xml:space="preserve"> </w:t>
      </w:r>
      <w:r>
        <w:t xml:space="preserve">“</w:t>
      </w:r>
      <w:r>
        <w:t xml:space="preserve">Low</w:t>
      </w:r>
      <w:r>
        <w:t xml:space="preserve">”</w:t>
      </w:r>
      <w:r>
        <w:t xml:space="preserve"> </w:t>
      </w:r>
      <w:r>
        <w:t xml:space="preserve">sensor readings were converted to 40, and</w:t>
      </w:r>
      <w:r>
        <w:t xml:space="preserve"> </w:t>
      </w:r>
      <w:r>
        <w:t xml:space="preserve">“</w:t>
      </w:r>
      <w:r>
        <w:t xml:space="preserve">High</w:t>
      </w:r>
      <w:r>
        <w:t xml:space="preserve">”</w:t>
      </w:r>
      <w:r>
        <w:t xml:space="preserve"> </w:t>
      </w:r>
      <w:r>
        <w:t xml:space="preserve">to 400.</w:t>
      </w:r>
    </w:p>
    <w:p>
      <w:pPr>
        <w:pStyle w:val="BodyText"/>
      </w:pPr>
      <w:r>
        <w:t xml:space="preserve">The cleaning function reads in everything in the respective input directories, and combines it into one big table. Then the table is first split by subject ID, then further split by pre/post med start, and unblinded drug phase. Cleaned files are written in the appropriate directories. This function is performed seperately for pediatric and adult participants.</w:t>
      </w:r>
    </w:p>
    <w:p>
      <w:pPr>
        <w:pStyle w:val="BodyText"/>
      </w:pPr>
      <w:r>
        <w:t xml:space="preserve">After all of the CGM data was sorted, CGM summary variables were generated using modified code from the</w:t>
      </w:r>
      <w:r>
        <w:t xml:space="preserve"> </w:t>
      </w:r>
      <w:r>
        <w:t xml:space="preserve">“</w:t>
      </w:r>
      <w:r>
        <w:t xml:space="preserve">cgmanalysis</w:t>
      </w:r>
      <w:r>
        <w:t xml:space="preserve">”</w:t>
      </w:r>
      <w:r>
        <w:t xml:space="preserve"> </w:t>
      </w:r>
      <w:r>
        <w:t xml:space="preserve">package. Summary variables were compared between phases using a paired Wilcoxon test, so only participants with BCQR and placbo data were included.</w:t>
      </w:r>
    </w:p>
    <w:p>
      <w:pPr>
        <w:pStyle w:val="Heading1"/>
      </w:pPr>
      <w:bookmarkStart w:id="24" w:name="enrollment-log"/>
      <w:bookmarkEnd w:id="24"/>
      <w:r>
        <w:t xml:space="preserve">4. Enrollment Log</w:t>
      </w:r>
    </w:p>
    <w:p>
      <w:pPr>
        <w:pStyle w:val="FirstParagraph"/>
      </w:pPr>
      <w:r>
        <w:t xml:space="preserve">Table 1 provides a count of the number of participants screened, enrolled, completed and withdrawn in the pediatric and adult cohorts.</w:t>
      </w:r>
    </w:p>
    <w:p>
      <w:pPr>
        <w:pStyle w:val="BodyText"/>
      </w:pPr>
      <w:r>
        <w:t xml:space="preserve">Table 1. Count of participants by enrollment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Screened</w:t>
            </w:r>
          </w:p>
        </w:tc>
        <w:tc>
          <w:tcPr>
            <w:tcBorders>
              <w:bottom w:val="single"/>
            </w:tcBorders>
            <w:vAlign w:val="bottom"/>
          </w:tcPr>
          <w:p>
            <w:pPr>
              <w:pStyle w:val="Compact"/>
              <w:jc w:val="left"/>
            </w:pPr>
            <w:r>
              <w:t xml:space="preserve">Enrolled</w:t>
            </w:r>
          </w:p>
        </w:tc>
        <w:tc>
          <w:tcPr>
            <w:tcBorders>
              <w:bottom w:val="single"/>
            </w:tcBorders>
            <w:vAlign w:val="bottom"/>
          </w:tcPr>
          <w:p>
            <w:pPr>
              <w:pStyle w:val="Compact"/>
              <w:jc w:val="left"/>
            </w:pPr>
            <w:r>
              <w:t xml:space="preserve">Completed</w:t>
            </w:r>
          </w:p>
        </w:tc>
        <w:tc>
          <w:tcPr>
            <w:tcBorders>
              <w:bottom w:val="single"/>
            </w:tcBorders>
            <w:vAlign w:val="bottom"/>
          </w:tcPr>
          <w:p>
            <w:pPr>
              <w:pStyle w:val="Compact"/>
              <w:jc w:val="left"/>
            </w:pPr>
            <w:r>
              <w:t xml:space="preserve">Withdrawn</w:t>
            </w:r>
          </w:p>
        </w:tc>
        <w:tc>
          <w:tcPr>
            <w:tcBorders>
              <w:bottom w:val="single"/>
            </w:tcBorders>
            <w:vAlign w:val="bottom"/>
          </w:tcPr>
          <w:p>
            <w:pPr>
              <w:pStyle w:val="Compact"/>
              <w:jc w:val="left"/>
            </w:pPr>
            <w:r>
              <w:t xml:space="preserve">Screen Failed</w:t>
            </w:r>
          </w:p>
        </w:tc>
        <w:tc>
          <w:tcPr>
            <w:tcBorders>
              <w:bottom w:val="single"/>
            </w:tcBorders>
            <w:vAlign w:val="bottom"/>
          </w:tcPr>
          <w:p>
            <w:pPr>
              <w:pStyle w:val="Compact"/>
              <w:jc w:val="left"/>
            </w:pPr>
            <w:r>
              <w:t xml:space="preserve">Active</w:t>
            </w:r>
          </w:p>
        </w:tc>
      </w:tr>
      <w:tr>
        <w:tc>
          <w:p>
            <w:pPr>
              <w:pStyle w:val="Compact"/>
              <w:jc w:val="left"/>
            </w:pPr>
            <w:r>
              <w:t xml:space="preserve">Adult</w:t>
            </w:r>
          </w:p>
        </w:tc>
        <w:tc>
          <w:p>
            <w:pPr>
              <w:pStyle w:val="Compact"/>
              <w:jc w:val="left"/>
            </w:pPr>
            <w:r>
              <w:t xml:space="preserve">65</w:t>
            </w:r>
          </w:p>
        </w:tc>
        <w:tc>
          <w:p>
            <w:pPr>
              <w:pStyle w:val="Compact"/>
              <w:jc w:val="left"/>
            </w:pPr>
            <w:r>
              <w:t xml:space="preserve">65</w:t>
            </w:r>
          </w:p>
        </w:tc>
        <w:tc>
          <w:p>
            <w:pPr>
              <w:pStyle w:val="Compact"/>
              <w:jc w:val="left"/>
            </w:pPr>
            <w:r>
              <w:t xml:space="preserve">41</w:t>
            </w:r>
          </w:p>
        </w:tc>
        <w:tc>
          <w:p>
            <w:pPr>
              <w:pStyle w:val="Compact"/>
              <w:jc w:val="left"/>
            </w:pPr>
            <w:r>
              <w:t xml:space="preserve">17</w:t>
            </w:r>
          </w:p>
        </w:tc>
        <w:tc>
          <w:p>
            <w:pPr>
              <w:pStyle w:val="Compact"/>
              <w:jc w:val="left"/>
            </w:pPr>
            <w:r>
              <w:t xml:space="preserve">7</w:t>
            </w:r>
          </w:p>
        </w:tc>
        <w:tc>
          <w:p>
            <w:pPr>
              <w:pStyle w:val="Compact"/>
              <w:jc w:val="left"/>
            </w:pPr>
            <w:r>
              <w:t xml:space="preserve">0</w:t>
            </w:r>
          </w:p>
        </w:tc>
      </w:tr>
      <w:tr>
        <w:tc>
          <w:p>
            <w:pPr>
              <w:pStyle w:val="Compact"/>
              <w:jc w:val="left"/>
            </w:pPr>
            <w:r>
              <w:t xml:space="preserve">Pediatric</w:t>
            </w:r>
          </w:p>
        </w:tc>
        <w:tc>
          <w:p>
            <w:pPr>
              <w:pStyle w:val="Compact"/>
              <w:jc w:val="left"/>
            </w:pPr>
            <w:r>
              <w:t xml:space="preserve">32</w:t>
            </w:r>
          </w:p>
        </w:tc>
        <w:tc>
          <w:p>
            <w:pPr>
              <w:pStyle w:val="Compact"/>
              <w:jc w:val="left"/>
            </w:pPr>
            <w:r>
              <w:t xml:space="preserve">32</w:t>
            </w:r>
          </w:p>
        </w:tc>
        <w:tc>
          <w:p>
            <w:pPr>
              <w:pStyle w:val="Compact"/>
              <w:jc w:val="left"/>
            </w:pPr>
            <w:r>
              <w:t xml:space="preserve">23</w:t>
            </w:r>
          </w:p>
        </w:tc>
        <w:tc>
          <w:p>
            <w:pPr>
              <w:pStyle w:val="Compact"/>
              <w:jc w:val="left"/>
            </w:pPr>
            <w:r>
              <w:t xml:space="preserve">4</w:t>
            </w:r>
          </w:p>
        </w:tc>
        <w:tc>
          <w:p>
            <w:pPr>
              <w:pStyle w:val="Compact"/>
              <w:jc w:val="left"/>
            </w:pPr>
            <w:r>
              <w:t xml:space="preserve">0</w:t>
            </w:r>
          </w:p>
        </w:tc>
        <w:tc>
          <w:p>
            <w:pPr>
              <w:pStyle w:val="Compact"/>
              <w:jc w:val="left"/>
            </w:pPr>
            <w:r>
              <w:t xml:space="preserve">5</w:t>
            </w:r>
          </w:p>
        </w:tc>
      </w:tr>
    </w:tbl>
    <w:p>
      <w:pPr>
        <w:pStyle w:val="Heading1"/>
      </w:pPr>
      <w:bookmarkStart w:id="25" w:name="adverse-events"/>
      <w:bookmarkEnd w:id="25"/>
      <w:r>
        <w:t xml:space="preserve">Adverse Events</w:t>
      </w:r>
    </w:p>
    <w:p>
      <w:pPr>
        <w:pStyle w:val="Heading2"/>
      </w:pPr>
      <w:bookmarkStart w:id="26" w:name="table-2"/>
      <w:bookmarkEnd w:id="26"/>
      <w:r>
        <w:t xml:space="preserve">Table 2</w:t>
      </w:r>
    </w:p>
    <w:p>
      <w:pPr>
        <w:pStyle w:val="FirstParagraph"/>
      </w:pPr>
      <w:r>
        <w:t xml:space="preserve">Symptoms reported in adult study participants.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left"/>
            </w:pPr>
            <w:r>
              <w:t xml:space="preserve">Phase 1 Drug</w:t>
            </w:r>
          </w:p>
        </w:tc>
        <w:tc>
          <w:tcPr>
            <w:tcBorders>
              <w:bottom w:val="single"/>
            </w:tcBorders>
            <w:vAlign w:val="bottom"/>
          </w:tcPr>
          <w:p>
            <w:pPr>
              <w:pStyle w:val="Compact"/>
              <w:jc w:val="left"/>
            </w:pPr>
            <w:r>
              <w:t xml:space="preserve">Phase 1 Side Effects</w:t>
            </w:r>
          </w:p>
        </w:tc>
        <w:tc>
          <w:tcPr>
            <w:tcBorders>
              <w:bottom w:val="single"/>
            </w:tcBorders>
            <w:vAlign w:val="bottom"/>
          </w:tcPr>
          <w:p>
            <w:pPr>
              <w:pStyle w:val="Compact"/>
              <w:jc w:val="left"/>
            </w:pPr>
            <w:r>
              <w:t xml:space="preserve">Phase 1 Notes</w:t>
            </w:r>
          </w:p>
        </w:tc>
        <w:tc>
          <w:tcPr>
            <w:tcBorders>
              <w:bottom w:val="single"/>
            </w:tcBorders>
            <w:vAlign w:val="bottom"/>
          </w:tcPr>
          <w:p>
            <w:pPr>
              <w:pStyle w:val="Compact"/>
              <w:jc w:val="left"/>
            </w:pPr>
            <w:r>
              <w:t xml:space="preserve">Phase 2 Drug</w:t>
            </w:r>
          </w:p>
        </w:tc>
        <w:tc>
          <w:tcPr>
            <w:tcBorders>
              <w:bottom w:val="single"/>
            </w:tcBorders>
            <w:vAlign w:val="bottom"/>
          </w:tcPr>
          <w:p>
            <w:pPr>
              <w:pStyle w:val="Compact"/>
              <w:jc w:val="left"/>
            </w:pPr>
            <w:r>
              <w:t xml:space="preserve">Phase 2 Side Effects</w:t>
            </w:r>
          </w:p>
        </w:tc>
        <w:tc>
          <w:tcPr>
            <w:tcBorders>
              <w:bottom w:val="single"/>
            </w:tcBorders>
            <w:vAlign w:val="bottom"/>
          </w:tcPr>
          <w:p>
            <w:pPr>
              <w:pStyle w:val="Compact"/>
              <w:jc w:val="left"/>
            </w:pPr>
            <w:r>
              <w:t xml:space="preserve">Phase 2 Notes</w:t>
            </w:r>
          </w:p>
        </w:tc>
      </w:tr>
      <w:tr>
        <w:tc>
          <w:p>
            <w:pPr>
              <w:pStyle w:val="Compact"/>
              <w:jc w:val="left"/>
            </w:pPr>
            <w:r>
              <w:t xml:space="preserve">BCQR-02</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BCQR-04</w:t>
            </w:r>
          </w:p>
        </w:tc>
        <w:tc>
          <w:p>
            <w:pPr>
              <w:pStyle w:val="Compact"/>
              <w:jc w:val="left"/>
            </w:pPr>
            <w:r>
              <w:t xml:space="preserve">BCQR</w:t>
            </w:r>
          </w:p>
        </w:tc>
        <w:tc>
          <w:p>
            <w:pPr>
              <w:pStyle w:val="Compact"/>
              <w:jc w:val="left"/>
            </w:pPr>
            <w:r>
              <w:t xml:space="preserve">None</w:t>
            </w:r>
          </w:p>
        </w:tc>
        <w:tc>
          <w:p>
            <w:pPr>
              <w:pStyle w:val="Compact"/>
            </w:pPr>
          </w:p>
        </w:tc>
        <w:tc>
          <w:p>
            <w:pPr>
              <w:pStyle w:val="Compact"/>
            </w:pPr>
          </w:p>
        </w:tc>
        <w:tc>
          <w:p>
            <w:pPr>
              <w:pStyle w:val="Compact"/>
              <w:jc w:val="left"/>
            </w:pPr>
            <w:r>
              <w:t xml:space="preserve">NA</w:t>
            </w:r>
          </w:p>
        </w:tc>
        <w:tc>
          <w:p>
            <w:pPr>
              <w:pStyle w:val="Compact"/>
            </w:pPr>
          </w:p>
        </w:tc>
      </w:tr>
      <w:tr>
        <w:tc>
          <w:p>
            <w:pPr>
              <w:pStyle w:val="Compact"/>
              <w:jc w:val="left"/>
            </w:pPr>
            <w:r>
              <w:t xml:space="preserve">BCQR-05</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BCQR-06</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BCQR-07</w:t>
            </w:r>
          </w:p>
        </w:tc>
        <w:tc>
          <w:p>
            <w:pPr>
              <w:pStyle w:val="Compact"/>
              <w:jc w:val="left"/>
            </w:pPr>
            <w:r>
              <w:t xml:space="preserve">BCQR</w:t>
            </w:r>
          </w:p>
        </w:tc>
        <w:tc>
          <w:p>
            <w:pPr>
              <w:pStyle w:val="Compact"/>
              <w:jc w:val="left"/>
            </w:pPr>
            <w:r>
              <w:t xml:space="preserve">Gastrointestinal, Other</w:t>
            </w:r>
          </w:p>
        </w:tc>
        <w:tc>
          <w:p>
            <w:pPr>
              <w:pStyle w:val="Compact"/>
              <w:jc w:val="left"/>
            </w:pPr>
            <w:r>
              <w:t xml:space="preserve">right ankle swelling? (had previous varicose vein), mild nausea with increase to 3.2mg</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BCQR-08</w:t>
            </w:r>
          </w:p>
        </w:tc>
        <w:tc>
          <w:p>
            <w:pPr>
              <w:pStyle w:val="Compact"/>
              <w:jc w:val="left"/>
            </w:pPr>
            <w:r>
              <w:t xml:space="preserve">BCQR</w:t>
            </w:r>
          </w:p>
        </w:tc>
        <w:tc>
          <w:p>
            <w:pPr>
              <w:pStyle w:val="Compact"/>
              <w:jc w:val="left"/>
            </w:pPr>
            <w:r>
              <w:t xml:space="preserve">Gastrointestinal</w:t>
            </w:r>
          </w:p>
        </w:tc>
        <w:tc>
          <w:p>
            <w:pPr>
              <w:pStyle w:val="Compact"/>
              <w:jc w:val="left"/>
            </w:pPr>
            <w:r>
              <w:t xml:space="preserve">Subj. thinks had food poisoning, led to emesis</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BCQR-10</w:t>
            </w:r>
          </w:p>
        </w:tc>
        <w:tc>
          <w:p>
            <w:pPr>
              <w:pStyle w:val="Compact"/>
              <w:jc w:val="left"/>
            </w:pPr>
            <w:r>
              <w:t xml:space="preserve">PLAC</w:t>
            </w:r>
          </w:p>
        </w:tc>
        <w:tc>
          <w:p>
            <w:pPr>
              <w:pStyle w:val="Compact"/>
              <w:jc w:val="left"/>
            </w:pPr>
            <w:r>
              <w:t xml:space="preserve">Gastrointestinal, Orthostasis</w:t>
            </w:r>
          </w:p>
        </w:tc>
        <w:tc>
          <w:p>
            <w:pPr>
              <w:pStyle w:val="Compact"/>
              <w:jc w:val="left"/>
            </w:pPr>
            <w:r>
              <w:t xml:space="preserve">nausea, low blood pressure</w:t>
            </w:r>
          </w:p>
        </w:tc>
        <w:tc>
          <w:p>
            <w:pPr>
              <w:pStyle w:val="Compact"/>
              <w:jc w:val="left"/>
            </w:pPr>
            <w:r>
              <w:t xml:space="preserve">BCQR</w:t>
            </w:r>
          </w:p>
        </w:tc>
        <w:tc>
          <w:p>
            <w:pPr>
              <w:pStyle w:val="Compact"/>
              <w:jc w:val="left"/>
            </w:pPr>
            <w:r>
              <w:t xml:space="preserve">Orthostasis</w:t>
            </w:r>
          </w:p>
        </w:tc>
        <w:tc>
          <w:p>
            <w:pPr>
              <w:pStyle w:val="Compact"/>
            </w:pPr>
          </w:p>
        </w:tc>
      </w:tr>
      <w:tr>
        <w:tc>
          <w:p>
            <w:pPr>
              <w:pStyle w:val="Compact"/>
              <w:jc w:val="left"/>
            </w:pPr>
            <w:r>
              <w:t xml:space="preserve">BCQR-12</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BCQR-15</w:t>
            </w:r>
          </w:p>
        </w:tc>
        <w:tc>
          <w:p>
            <w:pPr>
              <w:pStyle w:val="Compact"/>
              <w:jc w:val="left"/>
            </w:pPr>
            <w:r>
              <w:t xml:space="preserve">PLAC</w:t>
            </w:r>
          </w:p>
        </w:tc>
        <w:tc>
          <w:p>
            <w:pPr>
              <w:pStyle w:val="Compact"/>
              <w:jc w:val="left"/>
            </w:pPr>
            <w:r>
              <w:t xml:space="preserve">Orthostasis, Other</w:t>
            </w:r>
          </w:p>
        </w:tc>
        <w:tc>
          <w:p>
            <w:pPr>
              <w:pStyle w:val="Compact"/>
              <w:jc w:val="left"/>
            </w:pPr>
            <w:r>
              <w:t xml:space="preserve">joint pain, dizziness with 3.2 mg</w:t>
            </w: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BCQR-16</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BCQR-18</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Gastrointestinal, Orthostasis</w:t>
            </w:r>
          </w:p>
        </w:tc>
        <w:tc>
          <w:p>
            <w:pPr>
              <w:pStyle w:val="Compact"/>
              <w:jc w:val="left"/>
            </w:pPr>
            <w:r>
              <w:t xml:space="preserve">orthostatic, dizzy, nausea</w:t>
            </w:r>
          </w:p>
        </w:tc>
      </w:tr>
      <w:tr>
        <w:tc>
          <w:p>
            <w:pPr>
              <w:pStyle w:val="Compact"/>
              <w:jc w:val="left"/>
            </w:pPr>
            <w:r>
              <w:t xml:space="preserve">BCQR-19</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BCQR-20</w:t>
            </w:r>
          </w:p>
        </w:tc>
        <w:tc>
          <w:p>
            <w:pPr>
              <w:pStyle w:val="Compact"/>
              <w:jc w:val="left"/>
            </w:pPr>
            <w:r>
              <w:t xml:space="preserve">BCQR</w:t>
            </w:r>
          </w:p>
        </w:tc>
        <w:tc>
          <w:p>
            <w:pPr>
              <w:pStyle w:val="Compact"/>
              <w:jc w:val="left"/>
            </w:pPr>
            <w:r>
              <w:t xml:space="preserve">Gastrointestinal, Orthostasis, Fatigue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BCQR-23</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BCQR-24</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Fatigue</w:t>
            </w:r>
          </w:p>
        </w:tc>
        <w:tc>
          <w:p>
            <w:pPr>
              <w:pStyle w:val="Compact"/>
            </w:pPr>
          </w:p>
        </w:tc>
      </w:tr>
      <w:tr>
        <w:tc>
          <w:p>
            <w:pPr>
              <w:pStyle w:val="Compact"/>
              <w:jc w:val="left"/>
            </w:pPr>
            <w:r>
              <w:t xml:space="preserve">BCQR-25</w:t>
            </w:r>
          </w:p>
        </w:tc>
        <w:tc>
          <w:p>
            <w:pPr>
              <w:pStyle w:val="Compact"/>
              <w:jc w:val="left"/>
            </w:pPr>
            <w:r>
              <w:t xml:space="preserve">BCQR</w:t>
            </w:r>
          </w:p>
        </w:tc>
        <w:tc>
          <w:p>
            <w:pPr>
              <w:pStyle w:val="Compact"/>
              <w:jc w:val="left"/>
            </w:pPr>
            <w:r>
              <w:t xml:space="preserve">Gastrointestinal</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BCQR-26</w:t>
            </w:r>
          </w:p>
        </w:tc>
        <w:tc>
          <w:p>
            <w:pPr>
              <w:pStyle w:val="Compact"/>
              <w:jc w:val="left"/>
            </w:pPr>
            <w:r>
              <w:t xml:space="preserve">PLAC</w:t>
            </w:r>
          </w:p>
        </w:tc>
        <w:tc>
          <w:p>
            <w:pPr>
              <w:pStyle w:val="Compact"/>
              <w:jc w:val="left"/>
            </w:pPr>
            <w:r>
              <w:t xml:space="preserve">Other</w:t>
            </w:r>
          </w:p>
        </w:tc>
        <w:tc>
          <w:p>
            <w:pPr>
              <w:pStyle w:val="Compact"/>
              <w:jc w:val="left"/>
            </w:pPr>
            <w:r>
              <w:t xml:space="preserve">Has noticed no Reynaud’s Disease after morning runs per usual</w:t>
            </w:r>
          </w:p>
        </w:tc>
        <w:tc>
          <w:p>
            <w:pPr>
              <w:pStyle w:val="Compact"/>
              <w:jc w:val="left"/>
            </w:pPr>
            <w:r>
              <w:t xml:space="preserve">BCQR</w:t>
            </w:r>
          </w:p>
        </w:tc>
        <w:tc>
          <w:p>
            <w:pPr>
              <w:pStyle w:val="Compact"/>
              <w:jc w:val="left"/>
            </w:pPr>
            <w:r>
              <w:t xml:space="preserve">Gastrointestinal, Orthostasis, Fatigue, Other</w:t>
            </w:r>
          </w:p>
        </w:tc>
        <w:tc>
          <w:p>
            <w:pPr>
              <w:pStyle w:val="Compact"/>
              <w:jc w:val="left"/>
            </w:pPr>
            <w:r>
              <w:t xml:space="preserve">Reynaud’s returned</w:t>
            </w:r>
          </w:p>
        </w:tc>
      </w:tr>
      <w:tr>
        <w:tc>
          <w:p>
            <w:pPr>
              <w:pStyle w:val="Compact"/>
              <w:jc w:val="left"/>
            </w:pPr>
            <w:r>
              <w:t xml:space="preserve">BCQR-27</w:t>
            </w:r>
          </w:p>
        </w:tc>
        <w:tc>
          <w:p>
            <w:pPr>
              <w:pStyle w:val="Compact"/>
              <w:jc w:val="left"/>
            </w:pPr>
            <w:r>
              <w:t xml:space="preserve">BCQR</w:t>
            </w:r>
          </w:p>
        </w:tc>
        <w:tc>
          <w:p>
            <w:pPr>
              <w:pStyle w:val="Compact"/>
              <w:jc w:val="left"/>
            </w:pPr>
            <w:r>
              <w:t xml:space="preserve">Gastrointestinal</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BCQR-28</w:t>
            </w:r>
          </w:p>
        </w:tc>
        <w:tc>
          <w:p>
            <w:pPr>
              <w:pStyle w:val="Compact"/>
              <w:jc w:val="left"/>
            </w:pPr>
            <w:r>
              <w:t xml:space="preserve">BCQR</w:t>
            </w:r>
          </w:p>
        </w:tc>
        <w:tc>
          <w:p>
            <w:pPr>
              <w:pStyle w:val="Compact"/>
              <w:jc w:val="left"/>
            </w:pPr>
            <w:r>
              <w:t xml:space="preserve">Gastrointestinal, Orthostasis</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BCQR-29</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BCQR-31</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BCQR-32</w:t>
            </w:r>
          </w:p>
        </w:tc>
        <w:tc>
          <w:p>
            <w:pPr>
              <w:pStyle w:val="Compact"/>
              <w:jc w:val="left"/>
            </w:pPr>
            <w:r>
              <w:t xml:space="preserve">PLAC</w:t>
            </w:r>
          </w:p>
        </w:tc>
        <w:tc>
          <w:p>
            <w:pPr>
              <w:pStyle w:val="Compact"/>
              <w:jc w:val="left"/>
            </w:pPr>
            <w:r>
              <w:t xml:space="preserve">Fatigue, Headache</w:t>
            </w:r>
          </w:p>
        </w:tc>
        <w:tc>
          <w:p>
            <w:pPr>
              <w:pStyle w:val="Compact"/>
            </w:pPr>
          </w:p>
        </w:tc>
        <w:tc>
          <w:p>
            <w:pPr>
              <w:pStyle w:val="Compact"/>
              <w:jc w:val="left"/>
            </w:pPr>
            <w:r>
              <w:t xml:space="preserve">BCQR</w:t>
            </w:r>
          </w:p>
        </w:tc>
        <w:tc>
          <w:p>
            <w:pPr>
              <w:pStyle w:val="Compact"/>
              <w:jc w:val="left"/>
            </w:pPr>
            <w:r>
              <w:t xml:space="preserve">None</w:t>
            </w:r>
          </w:p>
        </w:tc>
        <w:tc>
          <w:p>
            <w:pPr>
              <w:pStyle w:val="Compact"/>
              <w:jc w:val="left"/>
            </w:pPr>
            <w:r>
              <w:t xml:space="preserve">Bladder spasms reported in early washout phase.</w:t>
            </w:r>
          </w:p>
        </w:tc>
      </w:tr>
      <w:tr>
        <w:tc>
          <w:p>
            <w:pPr>
              <w:pStyle w:val="Compact"/>
              <w:jc w:val="left"/>
            </w:pPr>
            <w:r>
              <w:t xml:space="preserve">BCQR-34</w:t>
            </w:r>
          </w:p>
        </w:tc>
        <w:tc>
          <w:p>
            <w:pPr>
              <w:pStyle w:val="Compact"/>
              <w:jc w:val="left"/>
            </w:pPr>
            <w:r>
              <w:t xml:space="preserve">BCQR</w:t>
            </w:r>
          </w:p>
        </w:tc>
        <w:tc>
          <w:p>
            <w:pPr>
              <w:pStyle w:val="Compact"/>
              <w:jc w:val="left"/>
            </w:pPr>
            <w:r>
              <w:t xml:space="preserve">Gastrointestinal, Headache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BCQR-35</w:t>
            </w:r>
          </w:p>
        </w:tc>
        <w:tc>
          <w:p>
            <w:pPr>
              <w:pStyle w:val="Compact"/>
              <w:jc w:val="left"/>
            </w:pPr>
            <w:r>
              <w:t xml:space="preserve">PLAC</w:t>
            </w:r>
          </w:p>
        </w:tc>
        <w:tc>
          <w:p>
            <w:pPr>
              <w:pStyle w:val="Compact"/>
              <w:jc w:val="left"/>
            </w:pPr>
            <w:r>
              <w:t xml:space="preserve">Gastrointestinal, Headache</w:t>
            </w:r>
          </w:p>
        </w:tc>
        <w:tc>
          <w:p>
            <w:pPr>
              <w:pStyle w:val="Compact"/>
            </w:pPr>
          </w:p>
        </w:tc>
        <w:tc>
          <w:p>
            <w:pPr>
              <w:pStyle w:val="Compact"/>
              <w:jc w:val="left"/>
            </w:pPr>
            <w:r>
              <w:t xml:space="preserve">BCQR</w:t>
            </w:r>
          </w:p>
        </w:tc>
        <w:tc>
          <w:p>
            <w:pPr>
              <w:pStyle w:val="Compact"/>
              <w:jc w:val="left"/>
            </w:pPr>
            <w:r>
              <w:t xml:space="preserve">Gastrointestinal</w:t>
            </w:r>
          </w:p>
        </w:tc>
        <w:tc>
          <w:p>
            <w:pPr>
              <w:pStyle w:val="Compact"/>
            </w:pPr>
          </w:p>
        </w:tc>
      </w:tr>
      <w:tr>
        <w:tc>
          <w:p>
            <w:pPr>
              <w:pStyle w:val="Compact"/>
              <w:jc w:val="left"/>
            </w:pPr>
            <w:r>
              <w:t xml:space="preserve">BCQR-36</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BCQR-40</w:t>
            </w:r>
          </w:p>
        </w:tc>
        <w:tc>
          <w:p>
            <w:pPr>
              <w:pStyle w:val="Compact"/>
              <w:jc w:val="left"/>
            </w:pPr>
            <w:r>
              <w:t xml:space="preserve">BCQR</w:t>
            </w:r>
          </w:p>
        </w:tc>
        <w:tc>
          <w:p>
            <w:pPr>
              <w:pStyle w:val="Compact"/>
              <w:jc w:val="left"/>
            </w:pPr>
            <w:r>
              <w:t xml:space="preserve">Gastrointestinal, Orthostasis</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BCQR-42</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Gastrointestinal</w:t>
            </w:r>
          </w:p>
        </w:tc>
        <w:tc>
          <w:p>
            <w:pPr>
              <w:pStyle w:val="Compact"/>
            </w:pPr>
          </w:p>
        </w:tc>
      </w:tr>
      <w:tr>
        <w:tc>
          <w:p>
            <w:pPr>
              <w:pStyle w:val="Compact"/>
              <w:jc w:val="left"/>
            </w:pPr>
            <w:r>
              <w:t xml:space="preserve">BCQR-43</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BCQR-44</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BCQR-45</w:t>
            </w:r>
          </w:p>
        </w:tc>
        <w:tc>
          <w:p>
            <w:pPr>
              <w:pStyle w:val="Compact"/>
              <w:jc w:val="left"/>
            </w:pPr>
            <w:r>
              <w:t xml:space="preserve">BCQR</w:t>
            </w:r>
          </w:p>
        </w:tc>
        <w:tc>
          <w:p>
            <w:pPr>
              <w:pStyle w:val="Compact"/>
              <w:jc w:val="left"/>
            </w:pPr>
            <w:r>
              <w:t xml:space="preserve">Gastrointestinal</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BCQR-47</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Gastrointestinal</w:t>
            </w:r>
          </w:p>
        </w:tc>
        <w:tc>
          <w:p>
            <w:pPr>
              <w:pStyle w:val="Compact"/>
            </w:pPr>
          </w:p>
        </w:tc>
      </w:tr>
      <w:tr>
        <w:tc>
          <w:p>
            <w:pPr>
              <w:pStyle w:val="Compact"/>
              <w:jc w:val="left"/>
            </w:pPr>
            <w:r>
              <w:t xml:space="preserve">BCQR-48</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BCQR-49</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BCQR-51</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Fatigue</w:t>
            </w:r>
          </w:p>
        </w:tc>
        <w:tc>
          <w:p>
            <w:pPr>
              <w:pStyle w:val="Compact"/>
            </w:pPr>
          </w:p>
        </w:tc>
      </w:tr>
      <w:tr>
        <w:tc>
          <w:p>
            <w:pPr>
              <w:pStyle w:val="Compact"/>
              <w:jc w:val="left"/>
            </w:pPr>
            <w:r>
              <w:t xml:space="preserve">BCQR-53</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BCQR-54</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BCQR-56</w:t>
            </w:r>
          </w:p>
        </w:tc>
        <w:tc>
          <w:p>
            <w:pPr>
              <w:pStyle w:val="Compact"/>
              <w:jc w:val="left"/>
            </w:pPr>
            <w:r>
              <w:t xml:space="preserve">BCQR</w:t>
            </w:r>
          </w:p>
        </w:tc>
        <w:tc>
          <w:p>
            <w:pPr>
              <w:pStyle w:val="Compact"/>
              <w:jc w:val="left"/>
            </w:pPr>
            <w:r>
              <w:t xml:space="preserve">Fatigue, Headache</w:t>
            </w:r>
          </w:p>
        </w:tc>
        <w:tc>
          <w:p>
            <w:pPr>
              <w:pStyle w:val="Compact"/>
              <w:jc w:val="left"/>
            </w:pPr>
            <w:r>
              <w:t xml:space="preserve">Foot &amp; Mouth Disease during last 2 weeks of phase, on amoxicillin (day 5) at visit 4.</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BCQR-57</w:t>
            </w:r>
          </w:p>
        </w:tc>
        <w:tc>
          <w:p>
            <w:pPr>
              <w:pStyle w:val="Compact"/>
              <w:jc w:val="left"/>
            </w:pPr>
            <w:r>
              <w:t xml:space="preserve">PLAC</w:t>
            </w:r>
          </w:p>
        </w:tc>
        <w:tc>
          <w:p>
            <w:pPr>
              <w:pStyle w:val="Compact"/>
              <w:jc w:val="left"/>
            </w:pPr>
            <w:r>
              <w:t xml:space="preserve">Gastrointestinal</w:t>
            </w:r>
          </w:p>
        </w:tc>
        <w:tc>
          <w:p>
            <w:pPr>
              <w:pStyle w:val="Compact"/>
              <w:jc w:val="left"/>
            </w:pPr>
            <w:r>
              <w:t xml:space="preserve">constipation and weight gain</w:t>
            </w:r>
          </w:p>
        </w:tc>
        <w:tc>
          <w:p>
            <w:pPr>
              <w:pStyle w:val="Compact"/>
              <w:jc w:val="left"/>
            </w:pPr>
            <w:r>
              <w:t xml:space="preserve">BCQR</w:t>
            </w:r>
          </w:p>
        </w:tc>
        <w:tc>
          <w:p>
            <w:pPr>
              <w:pStyle w:val="Compact"/>
              <w:jc w:val="left"/>
            </w:pPr>
            <w:r>
              <w:t xml:space="preserve">Fatigue</w:t>
            </w:r>
          </w:p>
        </w:tc>
        <w:tc>
          <w:p>
            <w:pPr>
              <w:pStyle w:val="Compact"/>
              <w:jc w:val="left"/>
            </w:pPr>
            <w:r>
              <w:t xml:space="preserve">weight gain</w:t>
            </w:r>
          </w:p>
        </w:tc>
      </w:tr>
      <w:tr>
        <w:tc>
          <w:p>
            <w:pPr>
              <w:pStyle w:val="Compact"/>
              <w:jc w:val="left"/>
            </w:pPr>
            <w:r>
              <w:t xml:space="preserve">BCQR-59</w:t>
            </w:r>
          </w:p>
        </w:tc>
        <w:tc>
          <w:p>
            <w:pPr>
              <w:pStyle w:val="Compact"/>
              <w:jc w:val="left"/>
            </w:pPr>
            <w:r>
              <w:t xml:space="preserve">PLAC</w:t>
            </w:r>
          </w:p>
        </w:tc>
        <w:tc>
          <w:p>
            <w:pPr>
              <w:pStyle w:val="Compact"/>
              <w:jc w:val="left"/>
            </w:pPr>
            <w:r>
              <w:t xml:space="preserve">Gastrointestinal, Fatigue</w:t>
            </w:r>
          </w:p>
        </w:tc>
        <w:tc>
          <w:p>
            <w:pPr>
              <w:pStyle w:val="Compact"/>
            </w:pPr>
          </w:p>
        </w:tc>
        <w:tc>
          <w:p>
            <w:pPr>
              <w:pStyle w:val="Compact"/>
              <w:jc w:val="left"/>
            </w:pPr>
            <w:r>
              <w:t xml:space="preserve">BCQR</w:t>
            </w:r>
          </w:p>
        </w:tc>
        <w:tc>
          <w:p>
            <w:pPr>
              <w:pStyle w:val="Compact"/>
              <w:jc w:val="left"/>
            </w:pPr>
            <w:r>
              <w:t xml:space="preserve">Gastrointestinal</w:t>
            </w:r>
          </w:p>
        </w:tc>
        <w:tc>
          <w:p>
            <w:pPr>
              <w:pStyle w:val="Compact"/>
              <w:jc w:val="left"/>
            </w:pPr>
            <w:r>
              <w:t xml:space="preserve">caught cold/flu virus</w:t>
            </w:r>
          </w:p>
        </w:tc>
      </w:tr>
      <w:tr>
        <w:tc>
          <w:p>
            <w:pPr>
              <w:pStyle w:val="Compact"/>
              <w:jc w:val="left"/>
            </w:pPr>
            <w:r>
              <w:t xml:space="preserve">BCQR-61</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Headache</w:t>
            </w:r>
          </w:p>
        </w:tc>
        <w:tc>
          <w:p>
            <w:pPr>
              <w:pStyle w:val="Compact"/>
            </w:pPr>
          </w:p>
        </w:tc>
      </w:tr>
      <w:tr>
        <w:tc>
          <w:p>
            <w:pPr>
              <w:pStyle w:val="Compact"/>
              <w:jc w:val="left"/>
            </w:pPr>
            <w:r>
              <w:t xml:space="preserve">BCQR-62</w:t>
            </w:r>
          </w:p>
        </w:tc>
        <w:tc>
          <w:p>
            <w:pPr>
              <w:pStyle w:val="Compact"/>
              <w:jc w:val="left"/>
            </w:pPr>
            <w:r>
              <w:t xml:space="preserve">BCQR</w:t>
            </w:r>
          </w:p>
        </w:tc>
        <w:tc>
          <w:p>
            <w:pPr>
              <w:pStyle w:val="Compact"/>
              <w:jc w:val="left"/>
            </w:pPr>
            <w:r>
              <w:t xml:space="preserve">Gastrointestinal, Headache</w:t>
            </w:r>
          </w:p>
        </w:tc>
        <w:tc>
          <w:p>
            <w:pPr>
              <w:pStyle w:val="Compact"/>
              <w:jc w:val="left"/>
            </w:pPr>
            <w:r>
              <w:t xml:space="preserve">Related to Celiac’s?</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BCQR-64</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NA</w:t>
            </w:r>
          </w:p>
        </w:tc>
        <w:tc>
          <w:p>
            <w:pPr>
              <w:pStyle w:val="Compact"/>
            </w:pPr>
          </w:p>
        </w:tc>
      </w:tr>
      <w:tr>
        <w:tc>
          <w:p>
            <w:pPr>
              <w:pStyle w:val="Compact"/>
              <w:jc w:val="left"/>
            </w:pPr>
            <w:r>
              <w:t xml:space="preserve">BCQR-65</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bl>
    <w:p>
      <w:pPr>
        <w:pStyle w:val="Heading2"/>
      </w:pPr>
      <w:bookmarkStart w:id="27" w:name="table-3."/>
      <w:bookmarkEnd w:id="27"/>
      <w:r>
        <w:t xml:space="preserve">Table 3.</w:t>
      </w:r>
    </w:p>
    <w:p>
      <w:pPr>
        <w:pStyle w:val="FirstParagraph"/>
      </w:pPr>
      <w:r>
        <w:t xml:space="preserve">Symptoms reported in pediatric study participants.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left"/>
            </w:pPr>
            <w:r>
              <w:t xml:space="preserve">Phase 1 Drug</w:t>
            </w:r>
          </w:p>
        </w:tc>
        <w:tc>
          <w:tcPr>
            <w:tcBorders>
              <w:bottom w:val="single"/>
            </w:tcBorders>
            <w:vAlign w:val="bottom"/>
          </w:tcPr>
          <w:p>
            <w:pPr>
              <w:pStyle w:val="Compact"/>
              <w:jc w:val="left"/>
            </w:pPr>
            <w:r>
              <w:t xml:space="preserve">Phase 1 Side Effects</w:t>
            </w:r>
          </w:p>
        </w:tc>
        <w:tc>
          <w:tcPr>
            <w:tcBorders>
              <w:bottom w:val="single"/>
            </w:tcBorders>
            <w:vAlign w:val="bottom"/>
          </w:tcPr>
          <w:p>
            <w:pPr>
              <w:pStyle w:val="Compact"/>
              <w:jc w:val="left"/>
            </w:pPr>
            <w:r>
              <w:t xml:space="preserve">Phase 1 Notes</w:t>
            </w:r>
          </w:p>
        </w:tc>
        <w:tc>
          <w:tcPr>
            <w:tcBorders>
              <w:bottom w:val="single"/>
            </w:tcBorders>
            <w:vAlign w:val="bottom"/>
          </w:tcPr>
          <w:p>
            <w:pPr>
              <w:pStyle w:val="Compact"/>
              <w:jc w:val="left"/>
            </w:pPr>
            <w:r>
              <w:t xml:space="preserve">Phase 2 Drug</w:t>
            </w:r>
          </w:p>
        </w:tc>
        <w:tc>
          <w:tcPr>
            <w:tcBorders>
              <w:bottom w:val="single"/>
            </w:tcBorders>
            <w:vAlign w:val="bottom"/>
          </w:tcPr>
          <w:p>
            <w:pPr>
              <w:pStyle w:val="Compact"/>
              <w:jc w:val="left"/>
            </w:pPr>
            <w:r>
              <w:t xml:space="preserve">Phase 2 Side Effects</w:t>
            </w:r>
          </w:p>
        </w:tc>
        <w:tc>
          <w:tcPr>
            <w:tcBorders>
              <w:bottom w:val="single"/>
            </w:tcBorders>
            <w:vAlign w:val="bottom"/>
          </w:tcPr>
          <w:p>
            <w:pPr>
              <w:pStyle w:val="Compact"/>
              <w:jc w:val="left"/>
            </w:pPr>
            <w:r>
              <w:t xml:space="preserve">Phase 2 Notes</w:t>
            </w:r>
          </w:p>
        </w:tc>
      </w:tr>
      <w:tr>
        <w:tc>
          <w:p>
            <w:pPr>
              <w:pStyle w:val="Compact"/>
              <w:jc w:val="left"/>
            </w:pPr>
            <w:r>
              <w:t xml:space="preserve">PBCQR-01</w:t>
            </w:r>
          </w:p>
        </w:tc>
        <w:tc>
          <w:p>
            <w:pPr>
              <w:pStyle w:val="Compact"/>
              <w:jc w:val="left"/>
            </w:pPr>
            <w:r>
              <w:t xml:space="preserve">BCQR</w:t>
            </w:r>
          </w:p>
        </w:tc>
        <w:tc>
          <w:p>
            <w:pPr>
              <w:pStyle w:val="Compact"/>
              <w:jc w:val="left"/>
            </w:pPr>
            <w:r>
              <w:t xml:space="preserve">Other</w:t>
            </w:r>
          </w:p>
        </w:tc>
        <w:tc>
          <w:p>
            <w:pPr>
              <w:pStyle w:val="Compact"/>
              <w:jc w:val="left"/>
            </w:pPr>
            <w:r>
              <w:t xml:space="preserve">Appetite Suppression week 3</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PBCQR-02</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PBCQR-03</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PBCQR-04</w:t>
            </w:r>
          </w:p>
        </w:tc>
        <w:tc>
          <w:p>
            <w:pPr>
              <w:pStyle w:val="Compact"/>
              <w:jc w:val="left"/>
            </w:pPr>
            <w:r>
              <w:t xml:space="preserve">BCQR</w:t>
            </w:r>
          </w:p>
        </w:tc>
        <w:tc>
          <w:p>
            <w:pPr>
              <w:pStyle w:val="Compact"/>
              <w:jc w:val="left"/>
            </w:pPr>
            <w:r>
              <w:t xml:space="preserve">Gastrointestinal, Orthostasis</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PBCQR-05</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PBCQR-06</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Gastrointestinal</w:t>
            </w:r>
          </w:p>
        </w:tc>
        <w:tc>
          <w:p>
            <w:pPr>
              <w:pStyle w:val="Compact"/>
              <w:jc w:val="left"/>
            </w:pPr>
            <w:r>
              <w:t xml:space="preserve">Nausea when taken without food</w:t>
            </w:r>
          </w:p>
        </w:tc>
      </w:tr>
      <w:tr>
        <w:tc>
          <w:p>
            <w:pPr>
              <w:pStyle w:val="Compact"/>
              <w:jc w:val="left"/>
            </w:pPr>
            <w:r>
              <w:t xml:space="preserve">PBCQR-07</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PBCQR-08</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PBCQR-09</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PBCQR-10</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PBCQR-11</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NA</w:t>
            </w:r>
          </w:p>
        </w:tc>
        <w:tc>
          <w:p>
            <w:pPr>
              <w:pStyle w:val="Compact"/>
              <w:jc w:val="left"/>
            </w:pPr>
            <w:r>
              <w:t xml:space="preserve">Did not complete Phase 2</w:t>
            </w:r>
          </w:p>
        </w:tc>
      </w:tr>
      <w:tr>
        <w:tc>
          <w:p>
            <w:pPr>
              <w:pStyle w:val="Compact"/>
              <w:jc w:val="left"/>
            </w:pPr>
            <w:r>
              <w:t xml:space="preserve">PBCQR-12</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PBCQR-13</w:t>
            </w:r>
          </w:p>
        </w:tc>
        <w:tc>
          <w:p>
            <w:pPr>
              <w:pStyle w:val="Compact"/>
              <w:jc w:val="left"/>
            </w:pPr>
            <w:r>
              <w:t xml:space="preserve">BCQR</w:t>
            </w:r>
          </w:p>
        </w:tc>
        <w:tc>
          <w:p>
            <w:pPr>
              <w:pStyle w:val="Compact"/>
              <w:jc w:val="left"/>
            </w:pPr>
            <w:r>
              <w:t xml:space="preserve">Gastrointestinal</w:t>
            </w:r>
          </w:p>
        </w:tc>
        <w:tc>
          <w:p>
            <w:pPr>
              <w:pStyle w:val="Compact"/>
              <w:jc w:val="left"/>
            </w:pPr>
            <w:r>
              <w:t xml:space="preserve">nauseous in AM after taking pills</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PBCQR-14</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PBCQR-15</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PBCQR-16</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Orthostasis, Headache</w:t>
            </w:r>
          </w:p>
        </w:tc>
        <w:tc>
          <w:p>
            <w:pPr>
              <w:pStyle w:val="Compact"/>
            </w:pPr>
          </w:p>
        </w:tc>
      </w:tr>
      <w:tr>
        <w:tc>
          <w:p>
            <w:pPr>
              <w:pStyle w:val="Compact"/>
              <w:jc w:val="left"/>
            </w:pPr>
            <w:r>
              <w:t xml:space="preserve">PBCQR-17</w:t>
            </w:r>
          </w:p>
        </w:tc>
        <w:tc>
          <w:p>
            <w:pPr>
              <w:pStyle w:val="Compact"/>
              <w:jc w:val="left"/>
            </w:pPr>
            <w:r>
              <w:t xml:space="preserve">BCQR</w:t>
            </w:r>
          </w:p>
        </w:tc>
        <w:tc>
          <w:p>
            <w:pPr>
              <w:pStyle w:val="Compact"/>
              <w:jc w:val="left"/>
            </w:pPr>
            <w:r>
              <w:t xml:space="preserve">Gastrointestinal</w:t>
            </w:r>
          </w:p>
        </w:tc>
        <w:tc>
          <w:p>
            <w:pPr>
              <w:pStyle w:val="Compact"/>
              <w:jc w:val="left"/>
            </w:pPr>
            <w:r>
              <w:t xml:space="preserve">Stomach aches when meds are not taken with a large amount of food (started when taking full dose).</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PBCQR-18</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PBCQR-19</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PBCQR-20</w:t>
            </w:r>
          </w:p>
        </w:tc>
        <w:tc>
          <w:p>
            <w:pPr>
              <w:pStyle w:val="Compact"/>
              <w:jc w:val="left"/>
            </w:pPr>
            <w:r>
              <w:t xml:space="preserve">PLAC</w:t>
            </w:r>
          </w:p>
        </w:tc>
        <w:tc>
          <w:p>
            <w:pPr>
              <w:pStyle w:val="Compact"/>
              <w:jc w:val="left"/>
            </w:pPr>
            <w:r>
              <w:t xml:space="preserve">Other</w:t>
            </w:r>
          </w:p>
        </w:tc>
        <w:tc>
          <w:p>
            <w:pPr>
              <w:pStyle w:val="Compact"/>
              <w:jc w:val="left"/>
            </w:pPr>
            <w:r>
              <w:t xml:space="preserve">Numbness with lows</w:t>
            </w: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PBCQR-21</w:t>
            </w:r>
          </w:p>
        </w:tc>
        <w:tc>
          <w:p>
            <w:pPr>
              <w:pStyle w:val="Compact"/>
              <w:jc w:val="left"/>
            </w:pPr>
            <w:r>
              <w:t xml:space="preserve">BCQR</w:t>
            </w:r>
          </w:p>
        </w:tc>
        <w:tc>
          <w:p>
            <w:pPr>
              <w:pStyle w:val="Compact"/>
              <w:jc w:val="left"/>
            </w:pPr>
            <w:r>
              <w:t xml:space="preserve">None</w:t>
            </w:r>
          </w:p>
        </w:tc>
        <w:tc>
          <w:p>
            <w:pPr>
              <w:pStyle w:val="Compact"/>
            </w:pP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PBCQR-22</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Gastrointestinal, Orthostasis, Fatigue, Headache, Other</w:t>
            </w:r>
          </w:p>
        </w:tc>
        <w:tc>
          <w:p>
            <w:pPr>
              <w:pStyle w:val="Compact"/>
              <w:jc w:val="left"/>
            </w:pPr>
            <w:r>
              <w:t xml:space="preserve">See AE log for this subject. When subject went to full dose she was very nauseous, light headed, and had headaches. She passed out when she was at Barre class and said she was very dizzy. We went back down to 2 pills and her symptoms subsided. Subject withdrawaled from study</w:t>
            </w:r>
          </w:p>
        </w:tc>
      </w:tr>
      <w:tr>
        <w:tc>
          <w:p>
            <w:pPr>
              <w:pStyle w:val="Compact"/>
              <w:jc w:val="left"/>
            </w:pPr>
            <w:r>
              <w:t xml:space="preserve">PBCQR-23</w:t>
            </w:r>
          </w:p>
        </w:tc>
        <w:tc>
          <w:p>
            <w:pPr>
              <w:pStyle w:val="Compact"/>
              <w:jc w:val="left"/>
            </w:pPr>
            <w:r>
              <w:t xml:space="preserve">PLAC</w:t>
            </w:r>
          </w:p>
        </w:tc>
        <w:tc>
          <w:p>
            <w:pPr>
              <w:pStyle w:val="Compact"/>
              <w:jc w:val="left"/>
            </w:pPr>
            <w:r>
              <w:t xml:space="preserve">None</w:t>
            </w:r>
          </w:p>
        </w:tc>
        <w:tc>
          <w:p>
            <w:pPr>
              <w:pStyle w:val="Compact"/>
            </w:pPr>
          </w:p>
        </w:tc>
        <w:tc>
          <w:p>
            <w:pPr>
              <w:pStyle w:val="Compact"/>
              <w:jc w:val="left"/>
            </w:pPr>
            <w:r>
              <w:t xml:space="preserve">BCQR</w:t>
            </w:r>
          </w:p>
        </w:tc>
        <w:tc>
          <w:p>
            <w:pPr>
              <w:pStyle w:val="Compact"/>
              <w:jc w:val="left"/>
            </w:pPr>
            <w:r>
              <w:t xml:space="preserve">None</w:t>
            </w:r>
          </w:p>
        </w:tc>
        <w:tc>
          <w:p>
            <w:pPr>
              <w:pStyle w:val="Compact"/>
            </w:pPr>
          </w:p>
        </w:tc>
      </w:tr>
      <w:tr>
        <w:tc>
          <w:p>
            <w:pPr>
              <w:pStyle w:val="Compact"/>
              <w:jc w:val="left"/>
            </w:pPr>
            <w:r>
              <w:t xml:space="preserve">PBCQR-25</w:t>
            </w:r>
          </w:p>
        </w:tc>
        <w:tc>
          <w:p>
            <w:pPr>
              <w:pStyle w:val="Compact"/>
              <w:jc w:val="left"/>
            </w:pPr>
            <w:r>
              <w:t xml:space="preserve">PLAC</w:t>
            </w:r>
          </w:p>
        </w:tc>
        <w:tc>
          <w:p>
            <w:pPr>
              <w:pStyle w:val="Compact"/>
              <w:jc w:val="left"/>
            </w:pPr>
            <w:r>
              <w:t xml:space="preserve">Gastrointestinal, Other</w:t>
            </w:r>
          </w:p>
        </w:tc>
        <w:tc>
          <w:p>
            <w:pPr>
              <w:pStyle w:val="Compact"/>
              <w:jc w:val="left"/>
            </w:pPr>
            <w:r>
              <w:t xml:space="preserve">Decreased hypoglycemia awareness overnight; nausea when low after taking pills with food; nausea when pills taken without food</w:t>
            </w:r>
          </w:p>
        </w:tc>
        <w:tc>
          <w:p>
            <w:pPr>
              <w:pStyle w:val="Compact"/>
              <w:jc w:val="left"/>
            </w:pPr>
            <w:r>
              <w:t xml:space="preserve">BCQR</w:t>
            </w:r>
          </w:p>
        </w:tc>
        <w:tc>
          <w:p>
            <w:pPr>
              <w:pStyle w:val="Compact"/>
              <w:jc w:val="left"/>
            </w:pPr>
            <w:r>
              <w:t xml:space="preserve">Headache</w:t>
            </w:r>
          </w:p>
        </w:tc>
        <w:tc>
          <w:p>
            <w:pPr>
              <w:pStyle w:val="Compact"/>
              <w:jc w:val="left"/>
            </w:pPr>
            <w:r>
              <w:t xml:space="preserve">Went to ER for a severe migrane and threw up at hospital. She said it was not study medication related. Felt better with Tylenol and Benadryl</w:t>
            </w:r>
          </w:p>
        </w:tc>
      </w:tr>
      <w:tr>
        <w:tc>
          <w:p>
            <w:pPr>
              <w:pStyle w:val="Compact"/>
              <w:jc w:val="left"/>
            </w:pPr>
            <w:r>
              <w:t xml:space="preserve">PBCQR-26</w:t>
            </w:r>
          </w:p>
        </w:tc>
        <w:tc>
          <w:p>
            <w:pPr>
              <w:pStyle w:val="Compact"/>
              <w:jc w:val="left"/>
            </w:pPr>
            <w:r>
              <w:t xml:space="preserve">BCQR</w:t>
            </w:r>
          </w:p>
        </w:tc>
        <w:tc>
          <w:p>
            <w:pPr>
              <w:pStyle w:val="Compact"/>
              <w:jc w:val="left"/>
            </w:pPr>
            <w:r>
              <w:t xml:space="preserve">Gastrointestinal</w:t>
            </w:r>
          </w:p>
        </w:tc>
        <w:tc>
          <w:p>
            <w:pPr>
              <w:pStyle w:val="Compact"/>
              <w:jc w:val="left"/>
            </w:pPr>
            <w:r>
              <w:t xml:space="preserve">Nausea on first day of 2 pills, then subsided. Vomited on first day of 4 pills. Took 3 pills for remainder of study without complaint.</w:t>
            </w:r>
          </w:p>
        </w:tc>
        <w:tc>
          <w:p>
            <w:pPr>
              <w:pStyle w:val="Compact"/>
              <w:jc w:val="left"/>
            </w:pPr>
            <w:r>
              <w:t xml:space="preserve">PLAC</w:t>
            </w:r>
          </w:p>
        </w:tc>
        <w:tc>
          <w:p>
            <w:pPr>
              <w:pStyle w:val="Compact"/>
              <w:jc w:val="left"/>
            </w:pPr>
            <w:r>
              <w:t xml:space="preserve">None</w:t>
            </w:r>
          </w:p>
        </w:tc>
        <w:tc>
          <w:p>
            <w:pPr>
              <w:pStyle w:val="Compact"/>
            </w:pPr>
          </w:p>
        </w:tc>
      </w:tr>
      <w:tr>
        <w:tc>
          <w:p>
            <w:pPr>
              <w:pStyle w:val="Compact"/>
              <w:jc w:val="left"/>
            </w:pPr>
            <w:r>
              <w:t xml:space="preserve">PBCQR-27</w:t>
            </w:r>
          </w:p>
        </w:tc>
        <w:tc>
          <w:p>
            <w:pPr>
              <w:pStyle w:val="Compact"/>
              <w:jc w:val="left"/>
            </w:pPr>
            <w:r>
              <w:t xml:space="preserve">BCQR</w:t>
            </w:r>
          </w:p>
        </w:tc>
        <w:tc>
          <w:p>
            <w:pPr>
              <w:pStyle w:val="Compact"/>
              <w:jc w:val="left"/>
            </w:pPr>
            <w:r>
              <w:t xml:space="preserve">Gastrointestinal</w:t>
            </w:r>
          </w:p>
        </w:tc>
        <w:tc>
          <w:p>
            <w:pPr>
              <w:pStyle w:val="Compact"/>
              <w:jc w:val="left"/>
            </w:pPr>
            <w:r>
              <w:t xml:space="preserve">Nausea with full dose if participating in morning skate practice</w:t>
            </w:r>
          </w:p>
        </w:tc>
        <w:tc>
          <w:p>
            <w:pPr>
              <w:pStyle w:val="Compact"/>
              <w:jc w:val="left"/>
            </w:pPr>
            <w:r>
              <w:t xml:space="preserve">PLAC</w:t>
            </w:r>
          </w:p>
        </w:tc>
        <w:tc>
          <w:p>
            <w:pPr>
              <w:pStyle w:val="Compact"/>
              <w:jc w:val="left"/>
            </w:pPr>
            <w:r>
              <w:t xml:space="preserve">NA</w:t>
            </w:r>
          </w:p>
        </w:tc>
        <w:tc>
          <w:p>
            <w:pPr>
              <w:pStyle w:val="Compact"/>
            </w:pPr>
          </w:p>
        </w:tc>
      </w:tr>
      <w:tr>
        <w:tc>
          <w:p>
            <w:pPr>
              <w:pStyle w:val="Compact"/>
              <w:jc w:val="left"/>
            </w:pPr>
            <w:r>
              <w:t xml:space="preserve">PBCQR-28</w:t>
            </w:r>
          </w:p>
        </w:tc>
        <w:tc>
          <w:p>
            <w:pPr>
              <w:pStyle w:val="Compact"/>
              <w:jc w:val="left"/>
            </w:pPr>
            <w:r>
              <w:t xml:space="preserve">BCQR</w:t>
            </w:r>
          </w:p>
        </w:tc>
        <w:tc>
          <w:p>
            <w:pPr>
              <w:pStyle w:val="Compact"/>
              <w:jc w:val="left"/>
            </w:pPr>
            <w:r>
              <w:t xml:space="preserve">Gastrointestinal</w:t>
            </w:r>
          </w:p>
        </w:tc>
        <w:tc>
          <w:p>
            <w:pPr>
              <w:pStyle w:val="Compact"/>
              <w:jc w:val="left"/>
            </w:pPr>
            <w:r>
              <w:t xml:space="preserve">Subject felt nauseous when she did not take the meds with food</w:t>
            </w:r>
          </w:p>
        </w:tc>
        <w:tc>
          <w:p>
            <w:pPr>
              <w:pStyle w:val="Compact"/>
              <w:jc w:val="left"/>
            </w:pPr>
            <w:r>
              <w:t xml:space="preserve">PLAC</w:t>
            </w:r>
          </w:p>
        </w:tc>
        <w:tc>
          <w:p>
            <w:pPr>
              <w:pStyle w:val="Compact"/>
              <w:jc w:val="left"/>
            </w:pPr>
            <w:r>
              <w:t xml:space="preserve">NA</w:t>
            </w:r>
          </w:p>
        </w:tc>
        <w:tc>
          <w:p>
            <w:pPr>
              <w:pStyle w:val="Compact"/>
            </w:pPr>
          </w:p>
        </w:tc>
      </w:tr>
      <w:tr>
        <w:tc>
          <w:p>
            <w:pPr>
              <w:pStyle w:val="Compact"/>
              <w:jc w:val="left"/>
            </w:pPr>
            <w:r>
              <w:t xml:space="preserve">PBCQR-30</w:t>
            </w:r>
          </w:p>
        </w:tc>
        <w:tc>
          <w:p>
            <w:pPr>
              <w:pStyle w:val="Compact"/>
              <w:jc w:val="left"/>
            </w:pPr>
            <w:r>
              <w:t xml:space="preserve">BCQR</w:t>
            </w:r>
          </w:p>
        </w:tc>
        <w:tc>
          <w:p>
            <w:pPr>
              <w:pStyle w:val="Compact"/>
              <w:jc w:val="left"/>
            </w:pPr>
            <w:r>
              <w:t xml:space="preserve">NA</w:t>
            </w:r>
          </w:p>
        </w:tc>
        <w:tc>
          <w:p>
            <w:pPr>
              <w:pStyle w:val="Compact"/>
            </w:pPr>
          </w:p>
        </w:tc>
        <w:tc>
          <w:p>
            <w:pPr>
              <w:pStyle w:val="Compact"/>
              <w:jc w:val="left"/>
            </w:pPr>
            <w:r>
              <w:t xml:space="preserve">PLAC</w:t>
            </w:r>
          </w:p>
        </w:tc>
        <w:tc>
          <w:p>
            <w:pPr>
              <w:pStyle w:val="Compact"/>
              <w:jc w:val="left"/>
            </w:pPr>
            <w:r>
              <w:t xml:space="preserve">NA</w:t>
            </w:r>
          </w:p>
        </w:tc>
        <w:tc>
          <w:p>
            <w:pPr>
              <w:pStyle w:val="Compact"/>
            </w:pPr>
          </w:p>
        </w:tc>
      </w:tr>
      <w:tr>
        <w:tc>
          <w:p>
            <w:pPr>
              <w:pStyle w:val="Compact"/>
              <w:jc w:val="left"/>
            </w:pPr>
            <w:r>
              <w:t xml:space="preserve">PBCQR-31</w:t>
            </w:r>
          </w:p>
        </w:tc>
        <w:tc>
          <w:p>
            <w:pPr>
              <w:pStyle w:val="Compact"/>
              <w:jc w:val="left"/>
            </w:pPr>
            <w:r>
              <w:t xml:space="preserve">PLAC</w:t>
            </w:r>
          </w:p>
        </w:tc>
        <w:tc>
          <w:p>
            <w:pPr>
              <w:pStyle w:val="Compact"/>
              <w:jc w:val="left"/>
            </w:pPr>
            <w:r>
              <w:t xml:space="preserve">NA</w:t>
            </w:r>
          </w:p>
        </w:tc>
        <w:tc>
          <w:p>
            <w:pPr>
              <w:pStyle w:val="Compact"/>
            </w:pPr>
          </w:p>
        </w:tc>
        <w:tc>
          <w:p>
            <w:pPr>
              <w:pStyle w:val="Compact"/>
              <w:jc w:val="left"/>
            </w:pPr>
            <w:r>
              <w:t xml:space="preserve">BCQR</w:t>
            </w:r>
          </w:p>
        </w:tc>
        <w:tc>
          <w:p>
            <w:pPr>
              <w:pStyle w:val="Compact"/>
              <w:jc w:val="left"/>
            </w:pPr>
            <w:r>
              <w:t xml:space="preserve">NA</w:t>
            </w:r>
          </w:p>
        </w:tc>
        <w:tc>
          <w:p>
            <w:pPr>
              <w:pStyle w:val="Compact"/>
            </w:pPr>
          </w:p>
        </w:tc>
      </w:tr>
    </w:tbl>
    <w:p>
      <w:pPr>
        <w:pStyle w:val="Heading1"/>
      </w:pPr>
      <w:bookmarkStart w:id="28" w:name="hypoglycemia-data"/>
      <w:bookmarkEnd w:id="28"/>
      <w:r>
        <w:t xml:space="preserve">6. Hypoglycemia data</w:t>
      </w:r>
    </w:p>
    <w:p>
      <w:pPr>
        <w:pStyle w:val="FirstParagraph"/>
      </w:pPr>
      <w:r>
        <w:t xml:space="preserve">Participants were asked to wear a CGM for 3 days prior to starting medication and 4 weeks after starting medication, in each phase of the study. For this study, hypoglycemia-related safety outcomes are defined as the number of glycemic excursions &lt;50 mg/dL and &lt;70 mg/dL per day, and the percent of time spent &lt;50 mg/dL and &lt;70 mg/dL. These outcomes are expressed as excursions per day or percent of time to account for the different length of time the CGM was worn by each participant in each phase. Tables 4 and 5 provide descriptive statistics for these outcomes for the adult and pediatric cohort, respectively. For the blinded version of the report, data from phases 1 and 2 are combined, so each participant has up to 2 sets of CGM data in each column of tables 4 and 5.</w:t>
      </w:r>
    </w:p>
    <w:p>
      <w:pPr>
        <w:pStyle w:val="Heading2"/>
      </w:pPr>
      <w:bookmarkStart w:id="29" w:name="table-4."/>
      <w:bookmarkEnd w:id="29"/>
      <w:r>
        <w:t xml:space="preserve">Table 4.</w:t>
      </w:r>
    </w:p>
    <w:p>
      <w:pPr>
        <w:pStyle w:val="FirstParagraph"/>
      </w:pPr>
      <w:r>
        <w:t xml:space="preserve">Summary of hypoglycemia by CGM in adult cohort, by treatment assignment.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BCQR, Median (IQR)</w:t>
            </w:r>
          </w:p>
        </w:tc>
        <w:tc>
          <w:tcPr>
            <w:tcBorders>
              <w:bottom w:val="single"/>
            </w:tcBorders>
            <w:vAlign w:val="bottom"/>
          </w:tcPr>
          <w:p>
            <w:pPr>
              <w:pStyle w:val="Compact"/>
              <w:jc w:val="left"/>
            </w:pPr>
            <w:r>
              <w:t xml:space="preserve">Placebo, Median (IQR)</w:t>
            </w:r>
          </w:p>
        </w:tc>
        <w:tc>
          <w:tcPr>
            <w:tcBorders>
              <w:bottom w:val="single"/>
            </w:tcBorders>
            <w:vAlign w:val="bottom"/>
          </w:tcPr>
          <w:p>
            <w:pPr>
              <w:pStyle w:val="Compact"/>
              <w:jc w:val="left"/>
            </w:pPr>
            <w:r>
              <w:t xml:space="preserve">P-Value</w:t>
            </w:r>
          </w:p>
        </w:tc>
      </w:tr>
      <w:tr>
        <w:tc>
          <w:p>
            <w:pPr>
              <w:pStyle w:val="Compact"/>
              <w:jc w:val="left"/>
            </w:pPr>
            <w:r>
              <w:t xml:space="preserve">num_days_good_data</w:t>
            </w:r>
          </w:p>
        </w:tc>
        <w:tc>
          <w:p>
            <w:pPr>
              <w:pStyle w:val="Compact"/>
              <w:jc w:val="left"/>
            </w:pPr>
            <w:r>
              <w:t xml:space="preserve">26.70 (23.45, 27.31)</w:t>
            </w:r>
          </w:p>
        </w:tc>
        <w:tc>
          <w:p>
            <w:pPr>
              <w:pStyle w:val="Compact"/>
              <w:jc w:val="left"/>
            </w:pPr>
            <w:r>
              <w:t xml:space="preserve">26.63 (24.47, 27.65)</w:t>
            </w:r>
          </w:p>
        </w:tc>
        <w:tc>
          <w:p>
            <w:pPr>
              <w:pStyle w:val="Compact"/>
              <w:jc w:val="left"/>
            </w:pPr>
            <w:r>
              <w:t xml:space="preserve">0.483</w:t>
            </w:r>
          </w:p>
        </w:tc>
      </w:tr>
      <w:tr>
        <w:tc>
          <w:p>
            <w:pPr>
              <w:pStyle w:val="Compact"/>
              <w:jc w:val="left"/>
            </w:pPr>
            <w:r>
              <w:t xml:space="preserve">excursions_under_50_per_day</w:t>
            </w:r>
          </w:p>
        </w:tc>
        <w:tc>
          <w:p>
            <w:pPr>
              <w:pStyle w:val="Compact"/>
              <w:jc w:val="left"/>
            </w:pPr>
            <w:r>
              <w:t xml:space="preserve">0.18 (0.07, 0.48)</w:t>
            </w:r>
          </w:p>
        </w:tc>
        <w:tc>
          <w:p>
            <w:pPr>
              <w:pStyle w:val="Compact"/>
              <w:jc w:val="left"/>
            </w:pPr>
            <w:r>
              <w:t xml:space="preserve">0.32 (0.12, 0.59)</w:t>
            </w:r>
          </w:p>
        </w:tc>
        <w:tc>
          <w:p>
            <w:pPr>
              <w:pStyle w:val="Compact"/>
              <w:jc w:val="left"/>
            </w:pPr>
            <w:r>
              <w:t xml:space="preserve">0.321</w:t>
            </w:r>
          </w:p>
        </w:tc>
      </w:tr>
      <w:tr>
        <w:tc>
          <w:p>
            <w:pPr>
              <w:pStyle w:val="Compact"/>
              <w:jc w:val="left"/>
            </w:pPr>
            <w:r>
              <w:t xml:space="preserve">percent_time_under_50</w:t>
            </w:r>
          </w:p>
        </w:tc>
        <w:tc>
          <w:p>
            <w:pPr>
              <w:pStyle w:val="Compact"/>
              <w:jc w:val="left"/>
            </w:pPr>
            <w:r>
              <w:t xml:space="preserve">0.41 (0.15, 1.29)</w:t>
            </w:r>
          </w:p>
        </w:tc>
        <w:tc>
          <w:p>
            <w:pPr>
              <w:pStyle w:val="Compact"/>
              <w:jc w:val="left"/>
            </w:pPr>
            <w:r>
              <w:t xml:space="preserve">0.96 (0.24, 1.46)</w:t>
            </w:r>
          </w:p>
        </w:tc>
        <w:tc>
          <w:p>
            <w:pPr>
              <w:pStyle w:val="Compact"/>
              <w:jc w:val="left"/>
            </w:pPr>
            <w:r>
              <w:t xml:space="preserve">0.422</w:t>
            </w:r>
          </w:p>
        </w:tc>
      </w:tr>
      <w:tr>
        <w:tc>
          <w:p>
            <w:pPr>
              <w:pStyle w:val="Compact"/>
              <w:jc w:val="left"/>
            </w:pPr>
            <w:r>
              <w:t xml:space="preserve">excursions_under_70_per_day</w:t>
            </w:r>
          </w:p>
        </w:tc>
        <w:tc>
          <w:p>
            <w:pPr>
              <w:pStyle w:val="Compact"/>
              <w:jc w:val="left"/>
            </w:pPr>
            <w:r>
              <w:t xml:space="preserve">0.96 (0.68, 1.98)</w:t>
            </w:r>
          </w:p>
        </w:tc>
        <w:tc>
          <w:p>
            <w:pPr>
              <w:pStyle w:val="Compact"/>
              <w:jc w:val="left"/>
            </w:pPr>
            <w:r>
              <w:t xml:space="preserve">1.40 (0.74, 1.85)</w:t>
            </w:r>
          </w:p>
        </w:tc>
        <w:tc>
          <w:p>
            <w:pPr>
              <w:pStyle w:val="Compact"/>
              <w:jc w:val="left"/>
            </w:pPr>
            <w:r>
              <w:t xml:space="preserve">0.142</w:t>
            </w:r>
          </w:p>
        </w:tc>
      </w:tr>
      <w:tr>
        <w:tc>
          <w:p>
            <w:pPr>
              <w:pStyle w:val="Compact"/>
              <w:jc w:val="left"/>
            </w:pPr>
            <w:r>
              <w:t xml:space="preserve">percent_time_under_70</w:t>
            </w:r>
          </w:p>
        </w:tc>
        <w:tc>
          <w:p>
            <w:pPr>
              <w:pStyle w:val="Compact"/>
              <w:jc w:val="left"/>
            </w:pPr>
            <w:r>
              <w:t xml:space="preserve">3.88 (2.14, 7.62)</w:t>
            </w:r>
          </w:p>
        </w:tc>
        <w:tc>
          <w:p>
            <w:pPr>
              <w:pStyle w:val="Compact"/>
              <w:jc w:val="left"/>
            </w:pPr>
            <w:r>
              <w:t xml:space="preserve">4.81 (2.34, 7.49)</w:t>
            </w:r>
          </w:p>
        </w:tc>
        <w:tc>
          <w:p>
            <w:pPr>
              <w:pStyle w:val="Compact"/>
              <w:jc w:val="left"/>
            </w:pPr>
            <w:r>
              <w:t xml:space="preserve">0.712</w:t>
            </w:r>
          </w:p>
        </w:tc>
      </w:tr>
    </w:tbl>
    <w:p>
      <w:pPr>
        <w:pStyle w:val="Heading2"/>
      </w:pPr>
      <w:bookmarkStart w:id="30" w:name="table-5."/>
      <w:bookmarkEnd w:id="30"/>
      <w:r>
        <w:t xml:space="preserve">Table 5.</w:t>
      </w:r>
    </w:p>
    <w:p>
      <w:pPr>
        <w:pStyle w:val="FirstParagraph"/>
      </w:pPr>
      <w:r>
        <w:t xml:space="preserve">Summary of hypoglycemia by CGM in pediatric cohort, by treatment assignment.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BCQR, Median (IQR)</w:t>
            </w:r>
          </w:p>
        </w:tc>
        <w:tc>
          <w:tcPr>
            <w:tcBorders>
              <w:bottom w:val="single"/>
            </w:tcBorders>
            <w:vAlign w:val="bottom"/>
          </w:tcPr>
          <w:p>
            <w:pPr>
              <w:pStyle w:val="Compact"/>
              <w:jc w:val="left"/>
            </w:pPr>
            <w:r>
              <w:t xml:space="preserve">Placebo, Median (IQR)</w:t>
            </w:r>
          </w:p>
        </w:tc>
        <w:tc>
          <w:tcPr>
            <w:tcBorders>
              <w:bottom w:val="single"/>
            </w:tcBorders>
            <w:vAlign w:val="bottom"/>
          </w:tcPr>
          <w:p>
            <w:pPr>
              <w:pStyle w:val="Compact"/>
              <w:jc w:val="left"/>
            </w:pPr>
            <w:r>
              <w:t xml:space="preserve">P-Value</w:t>
            </w:r>
          </w:p>
        </w:tc>
      </w:tr>
      <w:tr>
        <w:tc>
          <w:p>
            <w:pPr>
              <w:pStyle w:val="Compact"/>
              <w:jc w:val="left"/>
            </w:pPr>
            <w:r>
              <w:t xml:space="preserve">num_days_good_data</w:t>
            </w:r>
          </w:p>
        </w:tc>
        <w:tc>
          <w:p>
            <w:pPr>
              <w:pStyle w:val="Compact"/>
              <w:jc w:val="left"/>
            </w:pPr>
            <w:r>
              <w:t xml:space="preserve">22.38 (18.80, 24.40)</w:t>
            </w:r>
          </w:p>
        </w:tc>
        <w:tc>
          <w:p>
            <w:pPr>
              <w:pStyle w:val="Compact"/>
              <w:jc w:val="left"/>
            </w:pPr>
            <w:r>
              <w:t xml:space="preserve">22.93 (21.86, 26.69)</w:t>
            </w:r>
          </w:p>
        </w:tc>
        <w:tc>
          <w:p>
            <w:pPr>
              <w:pStyle w:val="Compact"/>
              <w:jc w:val="left"/>
            </w:pPr>
            <w:r>
              <w:t xml:space="preserve">0.344</w:t>
            </w:r>
          </w:p>
        </w:tc>
      </w:tr>
      <w:tr>
        <w:tc>
          <w:p>
            <w:pPr>
              <w:pStyle w:val="Compact"/>
              <w:jc w:val="left"/>
            </w:pPr>
            <w:r>
              <w:t xml:space="preserve">excursions_under_50_per_day</w:t>
            </w:r>
          </w:p>
        </w:tc>
        <w:tc>
          <w:p>
            <w:pPr>
              <w:pStyle w:val="Compact"/>
              <w:jc w:val="left"/>
            </w:pPr>
            <w:r>
              <w:t xml:space="preserve">0.18 (0.08, 0.40)</w:t>
            </w:r>
          </w:p>
        </w:tc>
        <w:tc>
          <w:p>
            <w:pPr>
              <w:pStyle w:val="Compact"/>
              <w:jc w:val="left"/>
            </w:pPr>
            <w:r>
              <w:t xml:space="preserve">0.20 (0.10, 0.44)</w:t>
            </w:r>
          </w:p>
        </w:tc>
        <w:tc>
          <w:p>
            <w:pPr>
              <w:pStyle w:val="Compact"/>
              <w:jc w:val="left"/>
            </w:pPr>
            <w:r>
              <w:t xml:space="preserve">0.165</w:t>
            </w:r>
          </w:p>
        </w:tc>
      </w:tr>
      <w:tr>
        <w:tc>
          <w:p>
            <w:pPr>
              <w:pStyle w:val="Compact"/>
              <w:jc w:val="left"/>
            </w:pPr>
            <w:r>
              <w:t xml:space="preserve">percent_time_under_50</w:t>
            </w:r>
          </w:p>
        </w:tc>
        <w:tc>
          <w:p>
            <w:pPr>
              <w:pStyle w:val="Compact"/>
              <w:jc w:val="left"/>
            </w:pPr>
            <w:r>
              <w:t xml:space="preserve">0.56 (0.21, 1.19)</w:t>
            </w:r>
          </w:p>
        </w:tc>
        <w:tc>
          <w:p>
            <w:pPr>
              <w:pStyle w:val="Compact"/>
              <w:jc w:val="left"/>
            </w:pPr>
            <w:r>
              <w:t xml:space="preserve">0.56 (0.25, 1.52)</w:t>
            </w:r>
          </w:p>
        </w:tc>
        <w:tc>
          <w:p>
            <w:pPr>
              <w:pStyle w:val="Compact"/>
              <w:jc w:val="left"/>
            </w:pPr>
            <w:r>
              <w:t xml:space="preserve">0.33</w:t>
            </w:r>
          </w:p>
        </w:tc>
      </w:tr>
      <w:tr>
        <w:tc>
          <w:p>
            <w:pPr>
              <w:pStyle w:val="Compact"/>
              <w:jc w:val="left"/>
            </w:pPr>
            <w:r>
              <w:t xml:space="preserve">excursions_under_70_per_day</w:t>
            </w:r>
          </w:p>
        </w:tc>
        <w:tc>
          <w:p>
            <w:pPr>
              <w:pStyle w:val="Compact"/>
              <w:jc w:val="left"/>
            </w:pPr>
            <w:r>
              <w:t xml:space="preserve">0.91 (0.41, 1.29)</w:t>
            </w:r>
          </w:p>
        </w:tc>
        <w:tc>
          <w:p>
            <w:pPr>
              <w:pStyle w:val="Compact"/>
              <w:jc w:val="left"/>
            </w:pPr>
            <w:r>
              <w:t xml:space="preserve">1.08 (0.52, 1.76)</w:t>
            </w:r>
          </w:p>
        </w:tc>
        <w:tc>
          <w:p>
            <w:pPr>
              <w:pStyle w:val="Compact"/>
              <w:jc w:val="left"/>
            </w:pPr>
            <w:r>
              <w:t xml:space="preserve">0.312</w:t>
            </w:r>
          </w:p>
        </w:tc>
      </w:tr>
      <w:tr>
        <w:tc>
          <w:p>
            <w:pPr>
              <w:pStyle w:val="Compact"/>
              <w:jc w:val="left"/>
            </w:pPr>
            <w:r>
              <w:t xml:space="preserve">percent_time_under_70</w:t>
            </w:r>
          </w:p>
        </w:tc>
        <w:tc>
          <w:p>
            <w:pPr>
              <w:pStyle w:val="Compact"/>
              <w:jc w:val="left"/>
            </w:pPr>
            <w:r>
              <w:t xml:space="preserve">3.59 (2.57, 5.73)</w:t>
            </w:r>
          </w:p>
        </w:tc>
        <w:tc>
          <w:p>
            <w:pPr>
              <w:pStyle w:val="Compact"/>
              <w:jc w:val="left"/>
            </w:pPr>
            <w:r>
              <w:t xml:space="preserve">3.85 (1.96, 7.27)</w:t>
            </w:r>
          </w:p>
        </w:tc>
        <w:tc>
          <w:p>
            <w:pPr>
              <w:pStyle w:val="Compact"/>
              <w:jc w:val="left"/>
            </w:pPr>
            <w:r>
              <w:t xml:space="preserve">0.409</w:t>
            </w:r>
          </w:p>
        </w:tc>
      </w:tr>
    </w:tbl>
    <w:p>
      <w:pPr>
        <w:pStyle w:val="Heading1"/>
      </w:pPr>
      <w:bookmarkStart w:id="31" w:name="clarification-questions"/>
      <w:bookmarkEnd w:id="31"/>
      <w:r>
        <w:t xml:space="preserve">Clarification Questions</w:t>
      </w:r>
    </w:p>
    <w:p>
      <w:pPr>
        <w:pStyle w:val="Heading2"/>
      </w:pPr>
      <w:bookmarkStart w:id="32" w:name="enrolled-numbers-dont-completed-withdrawn-or-active"/>
      <w:bookmarkEnd w:id="32"/>
      <w:r>
        <w:t xml:space="preserve">1. Enrolled numbers don’t = completed + withdrawn or active</w:t>
      </w:r>
    </w:p>
    <w:p>
      <w:pPr>
        <w:pStyle w:val="FirstParagraph"/>
      </w:pPr>
      <w:r>
        <w:t xml:space="preserve">The peds total enrollment should equal 32, which has been updated in the report. For the adult cohort, screen fails and withdrawals are separate categories, so in fact a total of 24 participants dropped out of the study, of which 7 were screen fails (as opposed to 17 total).</w:t>
      </w:r>
    </w:p>
    <w:p>
      <w:pPr>
        <w:pStyle w:val="Heading2"/>
      </w:pPr>
      <w:bookmarkStart w:id="33" w:name="screening-numbers-enrolled-numbers"/>
      <w:bookmarkEnd w:id="33"/>
      <w:r>
        <w:t xml:space="preserve">2. Screening numbers = enrolled numbers</w:t>
      </w:r>
    </w:p>
    <w:p>
      <w:pPr>
        <w:pStyle w:val="FirstParagraph"/>
      </w:pPr>
      <w:r>
        <w:t xml:space="preserve">Once the consent form is signed, they are considered</w:t>
      </w:r>
      <w:r>
        <w:t xml:space="preserve"> </w:t>
      </w:r>
      <w:r>
        <w:t xml:space="preserve">“</w:t>
      </w:r>
      <w:r>
        <w:t xml:space="preserve">enrolled,</w:t>
      </w:r>
      <w:r>
        <w:t xml:space="preserve">”</w:t>
      </w:r>
      <w:r>
        <w:t xml:space="preserve"> </w:t>
      </w:r>
      <w:r>
        <w:t xml:space="preserve">and screening labs cannot be drawn until the consent has been signed. Per Susan Gross:</w:t>
      </w:r>
      <w:r>
        <w:t xml:space="preserve"> </w:t>
      </w:r>
      <w:r>
        <w:t xml:space="preserve">“</w:t>
      </w:r>
      <w:r>
        <w:t xml:space="preserve">If they signed a consent and then their screening labs came back ineligible or they withdrew after the screen then they would be a withdrawal or screen fail. They would still be counted in the enrolled #, but they would also be listed as a screen fail/withdrawn.</w:t>
      </w:r>
      <w:r>
        <w:t xml:space="preserve">”</w:t>
      </w:r>
    </w:p>
    <w:p>
      <w:pPr>
        <w:pStyle w:val="Heading2"/>
      </w:pPr>
      <w:bookmarkStart w:id="34" w:name="number-withdrawn-during-therapy-by-treatment."/>
      <w:bookmarkEnd w:id="34"/>
      <w:r>
        <w:t xml:space="preserve">3. Number withdrawn during therapy by treatment.</w:t>
      </w:r>
    </w:p>
    <w:p>
      <w:pPr>
        <w:pStyle w:val="Heading3"/>
      </w:pPr>
      <w:bookmarkStart w:id="35" w:name="table-6."/>
      <w:bookmarkEnd w:id="35"/>
      <w:r>
        <w:t xml:space="preserve">Table 6.</w:t>
      </w:r>
    </w:p>
    <w:p>
      <w:pPr>
        <w:pStyle w:val="FirstParagraph"/>
      </w:pPr>
      <w:r>
        <w:t xml:space="preserve">Pediatric participants withdrawn during therapy by phase.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left"/>
            </w:pPr>
            <w:r>
              <w:t xml:space="preserve">Withdrawal Treatment</w:t>
            </w:r>
          </w:p>
        </w:tc>
        <w:tc>
          <w:tcPr>
            <w:tcBorders>
              <w:bottom w:val="single"/>
            </w:tcBorders>
            <w:vAlign w:val="bottom"/>
          </w:tcPr>
          <w:p>
            <w:pPr>
              <w:pStyle w:val="Compact"/>
              <w:jc w:val="right"/>
            </w:pPr>
            <w:r>
              <w:t xml:space="preserve">Withdrawal Phase</w:t>
            </w:r>
          </w:p>
        </w:tc>
      </w:tr>
      <w:tr>
        <w:tc>
          <w:p>
            <w:pPr>
              <w:pStyle w:val="Compact"/>
              <w:jc w:val="left"/>
            </w:pPr>
            <w:r>
              <w:t xml:space="preserve">PBCQR-06</w:t>
            </w:r>
          </w:p>
        </w:tc>
        <w:tc>
          <w:p>
            <w:pPr>
              <w:pStyle w:val="Compact"/>
              <w:jc w:val="left"/>
            </w:pPr>
            <w:r>
              <w:t xml:space="preserve">PLAC</w:t>
            </w:r>
          </w:p>
        </w:tc>
        <w:tc>
          <w:p>
            <w:pPr>
              <w:pStyle w:val="Compact"/>
              <w:jc w:val="right"/>
            </w:pPr>
            <w:r>
              <w:t xml:space="preserve">1</w:t>
            </w:r>
          </w:p>
        </w:tc>
      </w:tr>
      <w:tr>
        <w:tc>
          <w:p>
            <w:pPr>
              <w:pStyle w:val="Compact"/>
              <w:jc w:val="left"/>
            </w:pPr>
            <w:r>
              <w:t xml:space="preserve">PBCQR-11</w:t>
            </w:r>
          </w:p>
        </w:tc>
        <w:tc>
          <w:p>
            <w:pPr>
              <w:pStyle w:val="Compact"/>
              <w:jc w:val="left"/>
            </w:pPr>
            <w:r>
              <w:t xml:space="preserve">PLAC</w:t>
            </w:r>
          </w:p>
        </w:tc>
        <w:tc>
          <w:p>
            <w:pPr>
              <w:pStyle w:val="Compact"/>
              <w:jc w:val="right"/>
            </w:pPr>
            <w:r>
              <w:t xml:space="preserve">2</w:t>
            </w:r>
          </w:p>
        </w:tc>
      </w:tr>
      <w:tr>
        <w:tc>
          <w:p>
            <w:pPr>
              <w:pStyle w:val="Compact"/>
              <w:jc w:val="left"/>
            </w:pPr>
            <w:r>
              <w:t xml:space="preserve">PBCQR-22</w:t>
            </w:r>
          </w:p>
        </w:tc>
        <w:tc>
          <w:p>
            <w:pPr>
              <w:pStyle w:val="Compact"/>
              <w:jc w:val="left"/>
            </w:pPr>
            <w:r>
              <w:t xml:space="preserve">BCQR</w:t>
            </w:r>
          </w:p>
        </w:tc>
        <w:tc>
          <w:p>
            <w:pPr>
              <w:pStyle w:val="Compact"/>
              <w:jc w:val="right"/>
            </w:pPr>
            <w:r>
              <w:t xml:space="preserve">2</w:t>
            </w:r>
          </w:p>
        </w:tc>
      </w:tr>
      <w:tr>
        <w:tc>
          <w:p>
            <w:pPr>
              <w:pStyle w:val="Compact"/>
              <w:jc w:val="left"/>
            </w:pPr>
            <w:r>
              <w:t xml:space="preserve">PBCQR-24</w:t>
            </w:r>
          </w:p>
        </w:tc>
        <w:tc>
          <w:p>
            <w:pPr>
              <w:pStyle w:val="Compact"/>
              <w:jc w:val="left"/>
            </w:pPr>
            <w:r>
              <w:t xml:space="preserve">PLAC</w:t>
            </w:r>
          </w:p>
        </w:tc>
        <w:tc>
          <w:p>
            <w:pPr>
              <w:pStyle w:val="Compact"/>
              <w:jc w:val="right"/>
            </w:pPr>
            <w:r>
              <w:t xml:space="preserve">1</w:t>
            </w:r>
          </w:p>
        </w:tc>
      </w:tr>
    </w:tbl>
    <w:p>
      <w:pPr>
        <w:pStyle w:val="Heading3"/>
      </w:pPr>
      <w:bookmarkStart w:id="36" w:name="table-7."/>
      <w:bookmarkEnd w:id="36"/>
      <w:r>
        <w:t xml:space="preserve">Table 7.</w:t>
      </w:r>
    </w:p>
    <w:p>
      <w:pPr>
        <w:pStyle w:val="FirstParagraph"/>
      </w:pPr>
      <w:r>
        <w:t xml:space="preserve">Adult participants withdrawn during therapy by treatment.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right"/>
            </w:pPr>
            <w:r>
              <w:t xml:space="preserve">Withdrawal Phase</w:t>
            </w:r>
          </w:p>
        </w:tc>
        <w:tc>
          <w:tcPr>
            <w:tcBorders>
              <w:bottom w:val="single"/>
            </w:tcBorders>
            <w:vAlign w:val="bottom"/>
          </w:tcPr>
          <w:p>
            <w:pPr>
              <w:pStyle w:val="Compact"/>
              <w:jc w:val="left"/>
            </w:pPr>
            <w:r>
              <w:t xml:space="preserve">Withdrawal Treatment</w:t>
            </w:r>
          </w:p>
        </w:tc>
        <w:tc>
          <w:tcPr>
            <w:tcBorders>
              <w:bottom w:val="single"/>
            </w:tcBorders>
            <w:vAlign w:val="bottom"/>
          </w:tcPr>
          <w:p>
            <w:pPr>
              <w:pStyle w:val="Compact"/>
              <w:jc w:val="left"/>
            </w:pPr>
            <w:r>
              <w:t xml:space="preserve">Comments</w:t>
            </w:r>
          </w:p>
        </w:tc>
      </w:tr>
      <w:tr>
        <w:tc>
          <w:p>
            <w:pPr>
              <w:pStyle w:val="Compact"/>
              <w:jc w:val="left"/>
            </w:pPr>
            <w:r>
              <w:t xml:space="preserve">BCQR-01</w:t>
            </w:r>
          </w:p>
        </w:tc>
        <w:tc>
          <w:p>
            <w:pPr>
              <w:pStyle w:val="Compact"/>
              <w:jc w:val="right"/>
            </w:pPr>
            <w:r>
              <w:t xml:space="preserve">1</w:t>
            </w:r>
          </w:p>
        </w:tc>
        <w:tc>
          <w:p>
            <w:pPr>
              <w:pStyle w:val="Compact"/>
              <w:jc w:val="left"/>
            </w:pPr>
            <w:r>
              <w:t xml:space="preserve">PLAC</w:t>
            </w:r>
          </w:p>
        </w:tc>
        <w:tc>
          <w:p>
            <w:pPr>
              <w:pStyle w:val="Compact"/>
              <w:jc w:val="left"/>
            </w:pPr>
            <w:r>
              <w:t xml:space="preserve">Family Emergency</w:t>
            </w:r>
          </w:p>
        </w:tc>
      </w:tr>
      <w:tr>
        <w:tc>
          <w:p>
            <w:pPr>
              <w:pStyle w:val="Compact"/>
              <w:jc w:val="left"/>
            </w:pPr>
            <w:r>
              <w:t xml:space="preserve">BCQR-03</w:t>
            </w:r>
          </w:p>
        </w:tc>
        <w:tc>
          <w:p>
            <w:pPr>
              <w:pStyle w:val="Compact"/>
              <w:jc w:val="right"/>
            </w:pPr>
            <w:r>
              <w:t xml:space="preserve">1</w:t>
            </w:r>
          </w:p>
        </w:tc>
        <w:tc>
          <w:p>
            <w:pPr>
              <w:pStyle w:val="Compact"/>
            </w:pPr>
          </w:p>
        </w:tc>
        <w:tc>
          <w:p>
            <w:pPr>
              <w:pStyle w:val="Compact"/>
              <w:jc w:val="left"/>
            </w:pPr>
            <w:r>
              <w:t xml:space="preserve">No longer interested</w:t>
            </w:r>
          </w:p>
        </w:tc>
      </w:tr>
      <w:tr>
        <w:tc>
          <w:p>
            <w:pPr>
              <w:pStyle w:val="Compact"/>
              <w:jc w:val="left"/>
            </w:pPr>
            <w:r>
              <w:t xml:space="preserve">BCQR-04</w:t>
            </w:r>
          </w:p>
        </w:tc>
        <w:tc>
          <w:p>
            <w:pPr>
              <w:pStyle w:val="Compact"/>
              <w:jc w:val="right"/>
            </w:pPr>
            <w:r>
              <w:t xml:space="preserve">2</w:t>
            </w:r>
          </w:p>
        </w:tc>
        <w:tc>
          <w:p>
            <w:pPr>
              <w:pStyle w:val="Compact"/>
              <w:jc w:val="left"/>
            </w:pPr>
            <w:r>
              <w:t xml:space="preserve">BCQR</w:t>
            </w:r>
          </w:p>
        </w:tc>
        <w:tc>
          <w:p>
            <w:pPr>
              <w:pStyle w:val="Compact"/>
              <w:jc w:val="left"/>
            </w:pPr>
            <w:r>
              <w:t xml:space="preserve">Was diagnosed with RA</w:t>
            </w:r>
          </w:p>
        </w:tc>
      </w:tr>
      <w:tr>
        <w:tc>
          <w:p>
            <w:pPr>
              <w:pStyle w:val="Compact"/>
              <w:jc w:val="left"/>
            </w:pPr>
            <w:r>
              <w:t xml:space="preserve">BCQR-09</w:t>
            </w:r>
          </w:p>
        </w:tc>
        <w:tc>
          <w:p>
            <w:pPr>
              <w:pStyle w:val="Compact"/>
              <w:jc w:val="right"/>
            </w:pPr>
            <w:r>
              <w:t xml:space="preserve">1</w:t>
            </w:r>
          </w:p>
        </w:tc>
        <w:tc>
          <w:p>
            <w:pPr>
              <w:pStyle w:val="Compact"/>
              <w:jc w:val="left"/>
            </w:pPr>
            <w:r>
              <w:t xml:space="preserve">PLAC</w:t>
            </w:r>
          </w:p>
        </w:tc>
        <w:tc>
          <w:p>
            <w:pPr>
              <w:pStyle w:val="Compact"/>
              <w:jc w:val="left"/>
            </w:pPr>
            <w:r>
              <w:t xml:space="preserve">Had side effects with placebo</w:t>
            </w:r>
          </w:p>
        </w:tc>
      </w:tr>
      <w:tr>
        <w:tc>
          <w:p>
            <w:pPr>
              <w:pStyle w:val="Compact"/>
              <w:jc w:val="left"/>
            </w:pPr>
            <w:r>
              <w:t xml:space="preserve">BCQR-11</w:t>
            </w:r>
          </w:p>
        </w:tc>
        <w:tc>
          <w:p>
            <w:pPr>
              <w:pStyle w:val="Compact"/>
              <w:jc w:val="right"/>
            </w:pPr>
            <w:r>
              <w:t xml:space="preserve">1</w:t>
            </w:r>
          </w:p>
        </w:tc>
        <w:tc>
          <w:p>
            <w:pPr>
              <w:pStyle w:val="Compact"/>
            </w:pPr>
          </w:p>
        </w:tc>
        <w:tc>
          <w:p>
            <w:pPr>
              <w:pStyle w:val="Compact"/>
              <w:jc w:val="left"/>
            </w:pPr>
            <w:r>
              <w:t xml:space="preserve">study team had ethical concerns</w:t>
            </w:r>
          </w:p>
        </w:tc>
      </w:tr>
      <w:tr>
        <w:tc>
          <w:p>
            <w:pPr>
              <w:pStyle w:val="Compact"/>
              <w:jc w:val="left"/>
            </w:pPr>
            <w:r>
              <w:t xml:space="preserve">BCQR-13</w:t>
            </w:r>
          </w:p>
        </w:tc>
        <w:tc>
          <w:p>
            <w:pPr>
              <w:pStyle w:val="Compact"/>
              <w:jc w:val="right"/>
            </w:pPr>
            <w:r>
              <w:t xml:space="preserve">1</w:t>
            </w:r>
          </w:p>
        </w:tc>
        <w:tc>
          <w:p>
            <w:pPr>
              <w:pStyle w:val="Compact"/>
            </w:pPr>
          </w:p>
        </w:tc>
        <w:tc>
          <w:p>
            <w:pPr>
              <w:pStyle w:val="Compact"/>
              <w:jc w:val="left"/>
            </w:pPr>
            <w:r>
              <w:t xml:space="preserve">Scheduling conflicts</w:t>
            </w:r>
          </w:p>
        </w:tc>
      </w:tr>
      <w:tr>
        <w:tc>
          <w:p>
            <w:pPr>
              <w:pStyle w:val="Compact"/>
              <w:jc w:val="left"/>
            </w:pPr>
            <w:r>
              <w:t xml:space="preserve">BCQR-14</w:t>
            </w:r>
          </w:p>
        </w:tc>
        <w:tc>
          <w:p>
            <w:pPr>
              <w:pStyle w:val="Compact"/>
              <w:jc w:val="right"/>
            </w:pPr>
            <w:r>
              <w:t xml:space="preserve">1</w:t>
            </w:r>
          </w:p>
        </w:tc>
        <w:tc>
          <w:p>
            <w:pPr>
              <w:pStyle w:val="Compact"/>
            </w:pPr>
          </w:p>
        </w:tc>
        <w:tc>
          <w:p>
            <w:pPr>
              <w:pStyle w:val="Compact"/>
              <w:jc w:val="left"/>
            </w:pPr>
            <w:r>
              <w:t xml:space="preserve">Scheduling conflicts</w:t>
            </w:r>
          </w:p>
        </w:tc>
      </w:tr>
      <w:tr>
        <w:tc>
          <w:p>
            <w:pPr>
              <w:pStyle w:val="Compact"/>
              <w:jc w:val="left"/>
            </w:pPr>
            <w:r>
              <w:t xml:space="preserve">BCQR-21</w:t>
            </w:r>
          </w:p>
        </w:tc>
        <w:tc>
          <w:p>
            <w:pPr>
              <w:pStyle w:val="Compact"/>
              <w:jc w:val="right"/>
            </w:pPr>
            <w:r>
              <w:t xml:space="preserve">1</w:t>
            </w:r>
          </w:p>
        </w:tc>
        <w:tc>
          <w:p>
            <w:pPr>
              <w:pStyle w:val="Compact"/>
            </w:pPr>
          </w:p>
        </w:tc>
        <w:tc>
          <w:p>
            <w:pPr>
              <w:pStyle w:val="Compact"/>
              <w:jc w:val="left"/>
            </w:pPr>
            <w:r>
              <w:t xml:space="preserve">Decided to seek pregnancy after screening visit</w:t>
            </w:r>
          </w:p>
        </w:tc>
      </w:tr>
      <w:tr>
        <w:tc>
          <w:p>
            <w:pPr>
              <w:pStyle w:val="Compact"/>
              <w:jc w:val="left"/>
            </w:pPr>
            <w:r>
              <w:t xml:space="preserve">BCQR-33</w:t>
            </w:r>
          </w:p>
        </w:tc>
        <w:tc>
          <w:p>
            <w:pPr>
              <w:pStyle w:val="Compact"/>
              <w:jc w:val="right"/>
            </w:pPr>
            <w:r>
              <w:t xml:space="preserve">1</w:t>
            </w:r>
          </w:p>
        </w:tc>
        <w:tc>
          <w:p>
            <w:pPr>
              <w:pStyle w:val="Compact"/>
            </w:pPr>
          </w:p>
        </w:tc>
        <w:tc>
          <w:p>
            <w:pPr>
              <w:pStyle w:val="Compact"/>
              <w:jc w:val="left"/>
            </w:pPr>
            <w:r>
              <w:t xml:space="preserve">No longer interested</w:t>
            </w:r>
          </w:p>
        </w:tc>
      </w:tr>
      <w:tr>
        <w:tc>
          <w:p>
            <w:pPr>
              <w:pStyle w:val="Compact"/>
              <w:jc w:val="left"/>
            </w:pPr>
            <w:r>
              <w:t xml:space="preserve">BCQR-37</w:t>
            </w:r>
          </w:p>
        </w:tc>
        <w:tc>
          <w:p>
            <w:pPr>
              <w:pStyle w:val="Compact"/>
              <w:jc w:val="right"/>
            </w:pPr>
            <w:r>
              <w:t xml:space="preserve">1</w:t>
            </w:r>
          </w:p>
        </w:tc>
        <w:tc>
          <w:p>
            <w:pPr>
              <w:pStyle w:val="Compact"/>
            </w:pPr>
          </w:p>
        </w:tc>
        <w:tc>
          <w:p>
            <w:pPr>
              <w:pStyle w:val="Compact"/>
              <w:jc w:val="left"/>
            </w:pPr>
            <w:r>
              <w:t xml:space="preserve">No longer interested</w:t>
            </w:r>
          </w:p>
        </w:tc>
      </w:tr>
      <w:tr>
        <w:tc>
          <w:p>
            <w:pPr>
              <w:pStyle w:val="Compact"/>
              <w:jc w:val="left"/>
            </w:pPr>
            <w:r>
              <w:t xml:space="preserve">BCQR-39</w:t>
            </w:r>
          </w:p>
        </w:tc>
        <w:tc>
          <w:p>
            <w:pPr>
              <w:pStyle w:val="Compact"/>
              <w:jc w:val="right"/>
            </w:pPr>
            <w:r>
              <w:t xml:space="preserve">1</w:t>
            </w:r>
          </w:p>
        </w:tc>
        <w:tc>
          <w:p>
            <w:pPr>
              <w:pStyle w:val="Compact"/>
            </w:pPr>
          </w:p>
        </w:tc>
        <w:tc>
          <w:p>
            <w:pPr>
              <w:pStyle w:val="Compact"/>
              <w:jc w:val="left"/>
            </w:pPr>
            <w:r>
              <w:t xml:space="preserve">Moved to California</w:t>
            </w:r>
          </w:p>
        </w:tc>
      </w:tr>
      <w:tr>
        <w:tc>
          <w:p>
            <w:pPr>
              <w:pStyle w:val="Compact"/>
              <w:jc w:val="left"/>
            </w:pPr>
            <w:r>
              <w:t xml:space="preserve">BCQR-41</w:t>
            </w:r>
          </w:p>
        </w:tc>
        <w:tc>
          <w:p>
            <w:pPr>
              <w:pStyle w:val="Compact"/>
              <w:jc w:val="right"/>
            </w:pPr>
            <w:r>
              <w:t xml:space="preserve">1</w:t>
            </w:r>
          </w:p>
        </w:tc>
        <w:tc>
          <w:p>
            <w:pPr>
              <w:pStyle w:val="Compact"/>
            </w:pPr>
          </w:p>
        </w:tc>
        <w:tc>
          <w:p>
            <w:pPr>
              <w:pStyle w:val="Compact"/>
              <w:jc w:val="left"/>
            </w:pPr>
            <w:r>
              <w:t xml:space="preserve">Wanted to start exercise program</w:t>
            </w:r>
          </w:p>
        </w:tc>
      </w:tr>
      <w:tr>
        <w:tc>
          <w:p>
            <w:pPr>
              <w:pStyle w:val="Compact"/>
              <w:jc w:val="left"/>
            </w:pPr>
            <w:r>
              <w:t xml:space="preserve">BCQR-50</w:t>
            </w:r>
          </w:p>
        </w:tc>
        <w:tc>
          <w:p>
            <w:pPr>
              <w:pStyle w:val="Compact"/>
              <w:jc w:val="right"/>
            </w:pPr>
            <w:r>
              <w:t xml:space="preserve">1</w:t>
            </w:r>
          </w:p>
        </w:tc>
        <w:tc>
          <w:p>
            <w:pPr>
              <w:pStyle w:val="Compact"/>
              <w:jc w:val="left"/>
            </w:pPr>
            <w:r>
              <w:t xml:space="preserve">BCQR</w:t>
            </w:r>
          </w:p>
        </w:tc>
        <w:tc>
          <w:p>
            <w:pPr>
              <w:pStyle w:val="Compact"/>
              <w:jc w:val="left"/>
            </w:pPr>
            <w:r>
              <w:t xml:space="preserve">Couldn’t tolerate symptoms</w:t>
            </w:r>
          </w:p>
        </w:tc>
      </w:tr>
      <w:tr>
        <w:tc>
          <w:p>
            <w:pPr>
              <w:pStyle w:val="Compact"/>
              <w:jc w:val="left"/>
            </w:pPr>
            <w:r>
              <w:t xml:space="preserve">BCQR-55</w:t>
            </w:r>
          </w:p>
        </w:tc>
        <w:tc>
          <w:p>
            <w:pPr>
              <w:pStyle w:val="Compact"/>
              <w:jc w:val="right"/>
            </w:pPr>
            <w:r>
              <w:t xml:space="preserve">1</w:t>
            </w:r>
          </w:p>
        </w:tc>
        <w:tc>
          <w:p>
            <w:pPr>
              <w:pStyle w:val="Compact"/>
            </w:pPr>
          </w:p>
        </w:tc>
        <w:tc>
          <w:p>
            <w:pPr>
              <w:pStyle w:val="Compact"/>
              <w:jc w:val="left"/>
            </w:pPr>
            <w:r>
              <w:t xml:space="preserve">No longer interested</w:t>
            </w:r>
          </w:p>
        </w:tc>
      </w:tr>
      <w:tr>
        <w:tc>
          <w:p>
            <w:pPr>
              <w:pStyle w:val="Compact"/>
              <w:jc w:val="left"/>
            </w:pPr>
            <w:r>
              <w:t xml:space="preserve">BCQR-63</w:t>
            </w:r>
          </w:p>
        </w:tc>
        <w:tc>
          <w:p>
            <w:pPr>
              <w:pStyle w:val="Compact"/>
              <w:jc w:val="right"/>
            </w:pPr>
            <w:r>
              <w:t xml:space="preserve">1</w:t>
            </w:r>
          </w:p>
        </w:tc>
        <w:tc>
          <w:p>
            <w:pPr>
              <w:pStyle w:val="Compact"/>
            </w:pPr>
          </w:p>
        </w:tc>
        <w:tc>
          <w:p>
            <w:pPr>
              <w:pStyle w:val="Compact"/>
              <w:jc w:val="left"/>
            </w:pPr>
            <w:r>
              <w:t xml:space="preserve">No longer interested</w:t>
            </w:r>
          </w:p>
        </w:tc>
      </w:tr>
      <w:tr>
        <w:tc>
          <w:p>
            <w:pPr>
              <w:pStyle w:val="Compact"/>
              <w:jc w:val="left"/>
            </w:pPr>
            <w:r>
              <w:t xml:space="preserve">BCQR-64</w:t>
            </w:r>
          </w:p>
        </w:tc>
        <w:tc>
          <w:p>
            <w:pPr>
              <w:pStyle w:val="Compact"/>
              <w:jc w:val="right"/>
            </w:pPr>
            <w:r>
              <w:t xml:space="preserve">2</w:t>
            </w:r>
          </w:p>
        </w:tc>
        <w:tc>
          <w:p>
            <w:pPr>
              <w:pStyle w:val="Compact"/>
              <w:jc w:val="left"/>
            </w:pPr>
            <w:r>
              <w:t xml:space="preserve">BCQR</w:t>
            </w:r>
          </w:p>
        </w:tc>
        <w:tc>
          <w:p>
            <w:pPr>
              <w:pStyle w:val="Compact"/>
              <w:jc w:val="left"/>
            </w:pPr>
            <w:r>
              <w:t xml:space="preserve">No longer interested</w:t>
            </w:r>
          </w:p>
        </w:tc>
      </w:tr>
    </w:tbl>
    <w:p>
      <w:pPr>
        <w:pStyle w:val="Heading2"/>
      </w:pPr>
      <w:bookmarkStart w:id="37" w:name="tables-for-gi-side-effects-and-orthostasis-symptoms"/>
      <w:bookmarkEnd w:id="37"/>
      <w:r>
        <w:t xml:space="preserve">4. Tables for GI side effects and orthostasis symptoms</w:t>
      </w:r>
    </w:p>
    <w:p>
      <w:pPr>
        <w:pStyle w:val="Heading3"/>
      </w:pPr>
      <w:bookmarkStart w:id="38" w:name="table-8a."/>
      <w:bookmarkEnd w:id="38"/>
      <w:r>
        <w:t xml:space="preserve">Table 8a.</w:t>
      </w:r>
    </w:p>
    <w:p>
      <w:pPr>
        <w:pStyle w:val="FirstParagraph"/>
      </w:pPr>
      <w:r>
        <w:t xml:space="preserve">Adult cohort GI side effects by drug.</w:t>
      </w:r>
    </w:p>
    <w:p>
      <w:pPr>
        <w:pStyle w:val="SourceCode"/>
      </w:pPr>
      <w:r>
        <w:rPr>
          <w:rStyle w:val="VerbatimChar"/>
        </w:rPr>
        <w:t xml:space="preserve">##       GI.Symptoms</w:t>
      </w:r>
      <w:r>
        <w:br w:type="textWrapping"/>
      </w:r>
      <w:r>
        <w:rPr>
          <w:rStyle w:val="VerbatimChar"/>
        </w:rPr>
        <w:t xml:space="preserve">## Med    Yes No</w:t>
      </w:r>
      <w:r>
        <w:br w:type="textWrapping"/>
      </w:r>
      <w:r>
        <w:rPr>
          <w:rStyle w:val="VerbatimChar"/>
        </w:rPr>
        <w:t xml:space="preserve">##   PLAC   4 38</w:t>
      </w:r>
      <w:r>
        <w:br w:type="textWrapping"/>
      </w:r>
      <w:r>
        <w:rPr>
          <w:rStyle w:val="VerbatimChar"/>
        </w:rPr>
        <w:t xml:space="preserve">##   BCQR  16 27</w:t>
      </w:r>
    </w:p>
    <w:p>
      <w:pPr>
        <w:pStyle w:val="SourceCode"/>
      </w:pPr>
      <w:r>
        <w:rPr>
          <w:rStyle w:val="VerbatimChar"/>
        </w:rPr>
        <w:t xml:space="preserve">## [1] "McNemar's P Value = 0.01"</w:t>
      </w:r>
    </w:p>
    <w:p>
      <w:pPr>
        <w:pStyle w:val="FirstParagraph"/>
      </w:pPr>
      <w:r>
        <w:t xml:space="preserve">*BCQR-04 was never on placebo, but did start BCQR.</w:t>
      </w:r>
    </w:p>
    <w:p>
      <w:pPr>
        <w:pStyle w:val="Heading3"/>
      </w:pPr>
      <w:bookmarkStart w:id="39" w:name="table-8b."/>
      <w:bookmarkEnd w:id="39"/>
      <w:r>
        <w:t xml:space="preserve">Table 8b.</w:t>
      </w:r>
    </w:p>
    <w:p>
      <w:pPr>
        <w:pStyle w:val="FirstParagraph"/>
      </w:pPr>
      <w:r>
        <w:t xml:space="preserve">Adult cohort orthostasis side effects by drug.</w:t>
      </w:r>
    </w:p>
    <w:p>
      <w:pPr>
        <w:pStyle w:val="SourceCode"/>
      </w:pPr>
      <w:r>
        <w:rPr>
          <w:rStyle w:val="VerbatimChar"/>
        </w:rPr>
        <w:t xml:space="preserve">##       Ortho.Symptoms</w:t>
      </w:r>
      <w:r>
        <w:br w:type="textWrapping"/>
      </w:r>
      <w:r>
        <w:rPr>
          <w:rStyle w:val="VerbatimChar"/>
        </w:rPr>
        <w:t xml:space="preserve">## Med    Yes No</w:t>
      </w:r>
      <w:r>
        <w:br w:type="textWrapping"/>
      </w:r>
      <w:r>
        <w:rPr>
          <w:rStyle w:val="VerbatimChar"/>
        </w:rPr>
        <w:t xml:space="preserve">##   PLAC   2 40</w:t>
      </w:r>
      <w:r>
        <w:br w:type="textWrapping"/>
      </w:r>
      <w:r>
        <w:rPr>
          <w:rStyle w:val="VerbatimChar"/>
        </w:rPr>
        <w:t xml:space="preserve">##   BCQR   6 37</w:t>
      </w:r>
    </w:p>
    <w:p>
      <w:pPr>
        <w:pStyle w:val="SourceCode"/>
      </w:pPr>
      <w:r>
        <w:rPr>
          <w:rStyle w:val="VerbatimChar"/>
        </w:rPr>
        <w:t xml:space="preserve">## [1] "McNemar's P Value = 0.22"</w:t>
      </w:r>
    </w:p>
    <w:p>
      <w:pPr>
        <w:pStyle w:val="FirstParagraph"/>
      </w:pPr>
      <w:r>
        <w:t xml:space="preserve">*BCQR-04 was never on placebo, but did start BCQR.</w:t>
      </w:r>
    </w:p>
    <w:p>
      <w:pPr>
        <w:pStyle w:val="Heading3"/>
      </w:pPr>
      <w:bookmarkStart w:id="40" w:name="table-9a."/>
      <w:bookmarkEnd w:id="40"/>
      <w:r>
        <w:t xml:space="preserve">Table 9a.</w:t>
      </w:r>
    </w:p>
    <w:p>
      <w:pPr>
        <w:pStyle w:val="FirstParagraph"/>
      </w:pPr>
      <w:r>
        <w:t xml:space="preserve">Pediatric cohort GI side effects by drug.</w:t>
      </w:r>
    </w:p>
    <w:p>
      <w:pPr>
        <w:pStyle w:val="SourceCode"/>
      </w:pPr>
      <w:r>
        <w:rPr>
          <w:rStyle w:val="VerbatimChar"/>
        </w:rPr>
        <w:t xml:space="preserve">##       GI.Symptoms</w:t>
      </w:r>
      <w:r>
        <w:br w:type="textWrapping"/>
      </w:r>
      <w:r>
        <w:rPr>
          <w:rStyle w:val="VerbatimChar"/>
        </w:rPr>
        <w:t xml:space="preserve">## Med    Yes No</w:t>
      </w:r>
      <w:r>
        <w:br w:type="textWrapping"/>
      </w:r>
      <w:r>
        <w:rPr>
          <w:rStyle w:val="VerbatimChar"/>
        </w:rPr>
        <w:t xml:space="preserve">##   PLAC   1 28</w:t>
      </w:r>
      <w:r>
        <w:br w:type="textWrapping"/>
      </w:r>
      <w:r>
        <w:rPr>
          <w:rStyle w:val="VerbatimChar"/>
        </w:rPr>
        <w:t xml:space="preserve">##   BCQR   8 21</w:t>
      </w:r>
    </w:p>
    <w:p>
      <w:pPr>
        <w:pStyle w:val="SourceCode"/>
      </w:pPr>
      <w:r>
        <w:rPr>
          <w:rStyle w:val="VerbatimChar"/>
        </w:rPr>
        <w:t xml:space="preserve">## [1] "McNemar's P Value = 0.05"</w:t>
      </w:r>
    </w:p>
    <w:p>
      <w:pPr>
        <w:pStyle w:val="Heading3"/>
      </w:pPr>
      <w:bookmarkStart w:id="41" w:name="table-9b."/>
      <w:bookmarkEnd w:id="41"/>
      <w:r>
        <w:t xml:space="preserve">Table 9b.</w:t>
      </w:r>
    </w:p>
    <w:p>
      <w:pPr>
        <w:pStyle w:val="FirstParagraph"/>
      </w:pPr>
      <w:r>
        <w:t xml:space="preserve">Pediatric cohort orthostasis side effects by drug.</w:t>
      </w:r>
    </w:p>
    <w:p>
      <w:pPr>
        <w:pStyle w:val="SourceCode"/>
      </w:pPr>
      <w:r>
        <w:rPr>
          <w:rStyle w:val="VerbatimChar"/>
        </w:rPr>
        <w:t xml:space="preserve">##       Ortho.Symptoms</w:t>
      </w:r>
      <w:r>
        <w:br w:type="textWrapping"/>
      </w:r>
      <w:r>
        <w:rPr>
          <w:rStyle w:val="VerbatimChar"/>
        </w:rPr>
        <w:t xml:space="preserve">## Med    Yes No</w:t>
      </w:r>
      <w:r>
        <w:br w:type="textWrapping"/>
      </w:r>
      <w:r>
        <w:rPr>
          <w:rStyle w:val="VerbatimChar"/>
        </w:rPr>
        <w:t xml:space="preserve">##   PLAC   0 29</w:t>
      </w:r>
      <w:r>
        <w:br w:type="textWrapping"/>
      </w:r>
      <w:r>
        <w:rPr>
          <w:rStyle w:val="VerbatimChar"/>
        </w:rPr>
        <w:t xml:space="preserve">##   BCQR   3 26</w:t>
      </w:r>
    </w:p>
    <w:p>
      <w:pPr>
        <w:pStyle w:val="SourceCode"/>
      </w:pPr>
      <w:r>
        <w:rPr>
          <w:rStyle w:val="VerbatimChar"/>
        </w:rPr>
        <w:t xml:space="preserve">## [1] "Unable to perform significance test."</w:t>
      </w:r>
    </w:p>
    <w:p>
      <w:pPr>
        <w:pStyle w:val="Heading2"/>
      </w:pPr>
      <w:bookmarkStart w:id="42" w:name="bp-measures"/>
      <w:bookmarkEnd w:id="42"/>
      <w:r>
        <w:t xml:space="preserve">5. BP measures</w:t>
      </w:r>
    </w:p>
    <w:p>
      <w:pPr>
        <w:pStyle w:val="Heading3"/>
      </w:pPr>
      <w:bookmarkStart w:id="43" w:name="table-10."/>
      <w:bookmarkEnd w:id="43"/>
      <w:r>
        <w:t xml:space="preserve">Table 10.</w:t>
      </w:r>
    </w:p>
    <w:p>
      <w:pPr>
        <w:pStyle w:val="FirstParagraph"/>
      </w:pPr>
      <w:r>
        <w:t xml:space="preserve">Adult BP comparisons by drug. Mean (SD) or median [IQR]. P Values adjusted using the Bonferroni method.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PLAC</w:t>
            </w:r>
          </w:p>
        </w:tc>
        <w:tc>
          <w:tcPr>
            <w:tcBorders>
              <w:bottom w:val="single"/>
            </w:tcBorders>
            <w:vAlign w:val="bottom"/>
          </w:tcPr>
          <w:p>
            <w:pPr>
              <w:pStyle w:val="Compact"/>
              <w:jc w:val="left"/>
            </w:pPr>
            <w:r>
              <w:t xml:space="preserve">BCQR</w:t>
            </w:r>
          </w:p>
        </w:tc>
        <w:tc>
          <w:tcPr>
            <w:tcBorders>
              <w:bottom w:val="single"/>
            </w:tcBorders>
            <w:vAlign w:val="bottom"/>
          </w:tcPr>
          <w:p>
            <w:pPr>
              <w:pStyle w:val="Compact"/>
              <w:jc w:val="left"/>
            </w:pPr>
            <w:r>
              <w:t xml:space="preserve">Raw P Value</w:t>
            </w:r>
          </w:p>
        </w:tc>
        <w:tc>
          <w:tcPr>
            <w:tcBorders>
              <w:bottom w:val="single"/>
            </w:tcBorders>
            <w:vAlign w:val="bottom"/>
          </w:tcPr>
          <w:p>
            <w:pPr>
              <w:pStyle w:val="Compact"/>
              <w:jc w:val="left"/>
            </w:pPr>
            <w:r>
              <w:t xml:space="preserve">Adjusted P Value</w:t>
            </w:r>
          </w:p>
        </w:tc>
      </w:tr>
      <w:tr>
        <w:tc>
          <w:p>
            <w:pPr>
              <w:pStyle w:val="Compact"/>
              <w:jc w:val="left"/>
            </w:pPr>
            <w:r>
              <w:t xml:space="preserve">supine.systolic</w:t>
            </w:r>
          </w:p>
        </w:tc>
        <w:tc>
          <w:p>
            <w:pPr>
              <w:pStyle w:val="Compact"/>
              <w:jc w:val="left"/>
            </w:pPr>
            <w:r>
              <w:t xml:space="preserve">116.37 (10.6)</w:t>
            </w:r>
          </w:p>
        </w:tc>
        <w:tc>
          <w:p>
            <w:pPr>
              <w:pStyle w:val="Compact"/>
              <w:jc w:val="left"/>
            </w:pPr>
            <w:r>
              <w:t xml:space="preserve">113.42 (12.31)</w:t>
            </w:r>
          </w:p>
        </w:tc>
        <w:tc>
          <w:p>
            <w:pPr>
              <w:pStyle w:val="Compact"/>
              <w:jc w:val="left"/>
            </w:pPr>
            <w:r>
              <w:t xml:space="preserve">0.07014</w:t>
            </w:r>
          </w:p>
        </w:tc>
        <w:tc>
          <w:p>
            <w:pPr>
              <w:pStyle w:val="Compact"/>
              <w:jc w:val="left"/>
            </w:pPr>
            <w:r>
              <w:t xml:space="preserve">0.281</w:t>
            </w:r>
          </w:p>
        </w:tc>
      </w:tr>
      <w:tr>
        <w:tc>
          <w:p>
            <w:pPr>
              <w:pStyle w:val="Compact"/>
              <w:jc w:val="left"/>
            </w:pPr>
            <w:r>
              <w:t xml:space="preserve">standing.systolic</w:t>
            </w:r>
          </w:p>
        </w:tc>
        <w:tc>
          <w:p>
            <w:pPr>
              <w:pStyle w:val="Compact"/>
              <w:jc w:val="left"/>
            </w:pPr>
            <w:r>
              <w:t xml:space="preserve">120.95 (10.59)</w:t>
            </w:r>
          </w:p>
        </w:tc>
        <w:tc>
          <w:p>
            <w:pPr>
              <w:pStyle w:val="Compact"/>
              <w:jc w:val="left"/>
            </w:pPr>
            <w:r>
              <w:t xml:space="preserve">108.68 (15.76)</w:t>
            </w:r>
          </w:p>
        </w:tc>
        <w:tc>
          <w:p>
            <w:pPr>
              <w:pStyle w:val="Compact"/>
              <w:jc w:val="left"/>
            </w:pPr>
            <w:r>
              <w:t xml:space="preserve">&lt; 0.001</w:t>
            </w:r>
          </w:p>
        </w:tc>
        <w:tc>
          <w:p>
            <w:pPr>
              <w:pStyle w:val="Compact"/>
              <w:jc w:val="left"/>
            </w:pPr>
            <w:r>
              <w:t xml:space="preserve">&lt;0.001</w:t>
            </w:r>
          </w:p>
        </w:tc>
      </w:tr>
      <w:tr>
        <w:tc>
          <w:p>
            <w:pPr>
              <w:pStyle w:val="Compact"/>
              <w:jc w:val="left"/>
            </w:pPr>
            <w:r>
              <w:t xml:space="preserve">end.systolic</w:t>
            </w:r>
          </w:p>
        </w:tc>
        <w:tc>
          <w:p>
            <w:pPr>
              <w:pStyle w:val="Compact"/>
              <w:jc w:val="left"/>
            </w:pPr>
            <w:r>
              <w:t xml:space="preserve">125.08 (12.33)</w:t>
            </w:r>
          </w:p>
        </w:tc>
        <w:tc>
          <w:p>
            <w:pPr>
              <w:pStyle w:val="Compact"/>
              <w:jc w:val="left"/>
            </w:pPr>
            <w:r>
              <w:t xml:space="preserve">121.39 (13.09)</w:t>
            </w:r>
          </w:p>
        </w:tc>
        <w:tc>
          <w:p>
            <w:pPr>
              <w:pStyle w:val="Compact"/>
              <w:jc w:val="left"/>
            </w:pPr>
            <w:r>
              <w:t xml:space="preserve">0.02942</w:t>
            </w:r>
          </w:p>
        </w:tc>
        <w:tc>
          <w:p>
            <w:pPr>
              <w:pStyle w:val="Compact"/>
              <w:jc w:val="left"/>
            </w:pPr>
            <w:r>
              <w:t xml:space="preserve">0.118</w:t>
            </w:r>
          </w:p>
        </w:tc>
      </w:tr>
      <w:tr>
        <w:tc>
          <w:p>
            <w:pPr>
              <w:pStyle w:val="Compact"/>
              <w:jc w:val="left"/>
            </w:pPr>
            <w:r>
              <w:t xml:space="preserve">end.diastolic</w:t>
            </w:r>
          </w:p>
        </w:tc>
        <w:tc>
          <w:p>
            <w:pPr>
              <w:pStyle w:val="Compact"/>
              <w:jc w:val="left"/>
            </w:pPr>
            <w:r>
              <w:t xml:space="preserve">68.17 [11.25]</w:t>
            </w:r>
          </w:p>
        </w:tc>
        <w:tc>
          <w:p>
            <w:pPr>
              <w:pStyle w:val="Compact"/>
              <w:jc w:val="left"/>
            </w:pPr>
            <w:r>
              <w:t xml:space="preserve">64.33 [9.33]</w:t>
            </w:r>
          </w:p>
        </w:tc>
        <w:tc>
          <w:p>
            <w:pPr>
              <w:pStyle w:val="Compact"/>
              <w:jc w:val="left"/>
            </w:pPr>
            <w:r>
              <w:t xml:space="preserve">0.00425</w:t>
            </w:r>
          </w:p>
        </w:tc>
        <w:tc>
          <w:p>
            <w:pPr>
              <w:pStyle w:val="Compact"/>
              <w:jc w:val="left"/>
            </w:pPr>
            <w:r>
              <w:t xml:space="preserve">0.017</w:t>
            </w:r>
          </w:p>
        </w:tc>
      </w:tr>
    </w:tbl>
    <w:p>
      <w:pPr>
        <w:pStyle w:val="Heading3"/>
      </w:pPr>
      <w:bookmarkStart w:id="44" w:name="table-11."/>
      <w:bookmarkEnd w:id="44"/>
      <w:r>
        <w:t xml:space="preserve">Table 11.</w:t>
      </w:r>
    </w:p>
    <w:p>
      <w:pPr>
        <w:pStyle w:val="FirstParagraph"/>
      </w:pPr>
      <w:r>
        <w:t xml:space="preserve">Pediatric BP comparisons by drug. Mean (SD) or median [IQR]. P Values adjusted using the Bonferroni method.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PLAC</w:t>
            </w:r>
          </w:p>
        </w:tc>
        <w:tc>
          <w:tcPr>
            <w:tcBorders>
              <w:bottom w:val="single"/>
            </w:tcBorders>
            <w:vAlign w:val="bottom"/>
          </w:tcPr>
          <w:p>
            <w:pPr>
              <w:pStyle w:val="Compact"/>
              <w:jc w:val="left"/>
            </w:pPr>
            <w:r>
              <w:t xml:space="preserve">BCQR</w:t>
            </w:r>
          </w:p>
        </w:tc>
        <w:tc>
          <w:tcPr>
            <w:tcBorders>
              <w:bottom w:val="single"/>
            </w:tcBorders>
            <w:vAlign w:val="bottom"/>
          </w:tcPr>
          <w:p>
            <w:pPr>
              <w:pStyle w:val="Compact"/>
              <w:jc w:val="left"/>
            </w:pPr>
            <w:r>
              <w:t xml:space="preserve">Raw P Value</w:t>
            </w:r>
          </w:p>
        </w:tc>
        <w:tc>
          <w:tcPr>
            <w:tcBorders>
              <w:bottom w:val="single"/>
            </w:tcBorders>
            <w:vAlign w:val="bottom"/>
          </w:tcPr>
          <w:p>
            <w:pPr>
              <w:pStyle w:val="Compact"/>
              <w:jc w:val="left"/>
            </w:pPr>
            <w:r>
              <w:t xml:space="preserve">Adjusted P Value</w:t>
            </w:r>
          </w:p>
        </w:tc>
      </w:tr>
      <w:tr>
        <w:tc>
          <w:p>
            <w:pPr>
              <w:pStyle w:val="Compact"/>
              <w:jc w:val="left"/>
            </w:pPr>
            <w:r>
              <w:t xml:space="preserve">supine.systolic</w:t>
            </w:r>
          </w:p>
        </w:tc>
        <w:tc>
          <w:p>
            <w:pPr>
              <w:pStyle w:val="Compact"/>
              <w:jc w:val="left"/>
            </w:pPr>
            <w:r>
              <w:t xml:space="preserve">123.65 (10.5)</w:t>
            </w:r>
          </w:p>
        </w:tc>
        <w:tc>
          <w:p>
            <w:pPr>
              <w:pStyle w:val="Compact"/>
              <w:jc w:val="left"/>
            </w:pPr>
            <w:r>
              <w:t xml:space="preserve">116.3 (11.12)</w:t>
            </w:r>
          </w:p>
        </w:tc>
        <w:tc>
          <w:p>
            <w:pPr>
              <w:pStyle w:val="Compact"/>
              <w:jc w:val="left"/>
            </w:pPr>
            <w:r>
              <w:t xml:space="preserve">&lt;0.001</w:t>
            </w:r>
          </w:p>
        </w:tc>
        <w:tc>
          <w:p>
            <w:pPr>
              <w:pStyle w:val="Compact"/>
              <w:jc w:val="left"/>
            </w:pPr>
            <w:r>
              <w:t xml:space="preserve">&lt;0.001</w:t>
            </w:r>
          </w:p>
        </w:tc>
      </w:tr>
      <w:tr>
        <w:tc>
          <w:p>
            <w:pPr>
              <w:pStyle w:val="Compact"/>
              <w:jc w:val="left"/>
            </w:pPr>
            <w:r>
              <w:t xml:space="preserve">standing.systolic</w:t>
            </w:r>
          </w:p>
        </w:tc>
        <w:tc>
          <w:p>
            <w:pPr>
              <w:pStyle w:val="Compact"/>
              <w:jc w:val="left"/>
            </w:pPr>
            <w:r>
              <w:t xml:space="preserve">122.6 (11.55)</w:t>
            </w:r>
          </w:p>
        </w:tc>
        <w:tc>
          <w:p>
            <w:pPr>
              <w:pStyle w:val="Compact"/>
              <w:jc w:val="left"/>
            </w:pPr>
            <w:r>
              <w:t xml:space="preserve">117.75 (15.77)</w:t>
            </w:r>
          </w:p>
        </w:tc>
        <w:tc>
          <w:p>
            <w:pPr>
              <w:pStyle w:val="Compact"/>
              <w:jc w:val="left"/>
            </w:pPr>
            <w:r>
              <w:t xml:space="preserve">0.257</w:t>
            </w:r>
          </w:p>
        </w:tc>
        <w:tc>
          <w:p>
            <w:pPr>
              <w:pStyle w:val="Compact"/>
              <w:jc w:val="left"/>
            </w:pPr>
            <w:r>
              <w:t xml:space="preserve">0.514</w:t>
            </w:r>
          </w:p>
        </w:tc>
      </w:tr>
    </w:tbl>
    <w:p>
      <w:pPr>
        <w:pStyle w:val="BodyText"/>
      </w:pPr>
      <w:r>
        <w:t xml:space="preserve">*Only two participants had end of visit BP readings, so the variables were excluded from this table.</w:t>
      </w:r>
    </w:p>
    <w:p>
      <w:pPr>
        <w:pStyle w:val="Heading2"/>
      </w:pPr>
      <w:bookmarkStart w:id="45" w:name="scale-of-symptoms"/>
      <w:bookmarkEnd w:id="45"/>
      <w:r>
        <w:t xml:space="preserve">6. Scale of symptoms</w:t>
      </w:r>
    </w:p>
    <w:p>
      <w:pPr>
        <w:pStyle w:val="FirstParagraph"/>
      </w:pPr>
      <w:r>
        <w:t xml:space="preserve">The scale of symptoms was not recorded, but all were mild except for those participants who withdrew as a result. In the pediatric cohort, only one participant withdrew due to symptoms. Per Susan Gross:</w:t>
      </w:r>
      <w:r>
        <w:t xml:space="preserve"> </w:t>
      </w:r>
      <w:r>
        <w:t xml:space="preserve">“</w:t>
      </w:r>
      <w:r>
        <w:t xml:space="preserve">There was really just the one subject that withdrew due to symptoms (PBCQR-22). She did pass out and was very nauseous at the full dose 4 pills. This was resolved when she went back down to the 2 pills, but again, her parents would not allow her to continue.</w:t>
      </w:r>
      <w:r>
        <w:t xml:space="preserve">”</w:t>
      </w:r>
      <w:r>
        <w:t xml:space="preserve"> </w:t>
      </w:r>
      <w:r>
        <w:t xml:space="preserve">This was the same for the adult cohort as well. Per Irene Schauer:</w:t>
      </w:r>
      <w:r>
        <w:t xml:space="preserve"> </w:t>
      </w:r>
      <w:r>
        <w:t xml:space="preserve">“</w:t>
      </w:r>
      <w:r>
        <w:t xml:space="preserve">If they didn’t withdraw, the symptoms were always mild OR very transient (ie first dose or two and then gone).</w:t>
      </w:r>
      <w:r>
        <w:t xml:space="preserve">”</w:t>
      </w:r>
      <w:r>
        <w:t xml:space="preserve"> </w:t>
      </w:r>
      <w:r>
        <w:t xml:space="preserve">See Table 7 for withdrawal reasons in the adult cohort.</w:t>
      </w:r>
    </w:p>
    <w:p>
      <w:pPr>
        <w:pStyle w:val="Heading2"/>
      </w:pPr>
      <w:bookmarkStart w:id="46" w:name="further-bp-clarification"/>
      <w:bookmarkEnd w:id="46"/>
      <w:r>
        <w:t xml:space="preserve">7. Further BP clarification</w:t>
      </w:r>
    </w:p>
    <w:p>
      <w:pPr>
        <w:pStyle w:val="Heading3"/>
      </w:pPr>
      <w:bookmarkStart w:id="47" w:name="table-11.-1"/>
      <w:bookmarkEnd w:id="47"/>
      <w:r>
        <w:t xml:space="preserve">Table 11.</w:t>
      </w:r>
    </w:p>
    <w:p>
      <w:pPr>
        <w:pStyle w:val="FirstParagraph"/>
      </w:pPr>
      <w:r>
        <w:t xml:space="preserve">Adult Endopat BP comparisons by drug, median [IQR].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BCQR</w:t>
            </w:r>
          </w:p>
        </w:tc>
        <w:tc>
          <w:tcPr>
            <w:tcBorders>
              <w:bottom w:val="single"/>
            </w:tcBorders>
            <w:vAlign w:val="bottom"/>
          </w:tcPr>
          <w:p>
            <w:pPr>
              <w:pStyle w:val="Compact"/>
              <w:jc w:val="left"/>
            </w:pPr>
            <w:r>
              <w:t xml:space="preserve">PLAC</w:t>
            </w:r>
          </w:p>
        </w:tc>
        <w:tc>
          <w:tcPr>
            <w:tcBorders>
              <w:bottom w:val="single"/>
            </w:tcBorders>
            <w:vAlign w:val="bottom"/>
          </w:tcPr>
          <w:p>
            <w:pPr>
              <w:pStyle w:val="Compact"/>
              <w:jc w:val="left"/>
            </w:pPr>
            <w:r>
              <w:t xml:space="preserve">p</w:t>
            </w:r>
          </w:p>
        </w:tc>
      </w:tr>
      <w:tr>
        <w:tc>
          <w:p>
            <w:pPr>
              <w:pStyle w:val="Compact"/>
              <w:jc w:val="left"/>
            </w:pPr>
            <w:r>
              <w:t xml:space="preserve">n</w:t>
            </w:r>
          </w:p>
        </w:tc>
        <w:tc>
          <w:p>
            <w:pPr>
              <w:pStyle w:val="Compact"/>
              <w:jc w:val="left"/>
            </w:pPr>
            <w:r>
              <w:t xml:space="preserve">25</w:t>
            </w:r>
          </w:p>
        </w:tc>
        <w:tc>
          <w:p>
            <w:pPr>
              <w:pStyle w:val="Compact"/>
              <w:jc w:val="left"/>
            </w:pPr>
            <w:r>
              <w:t xml:space="preserve">25</w:t>
            </w:r>
          </w:p>
        </w:tc>
        <w:tc>
          <w:p>
            <w:pPr>
              <w:pStyle w:val="Compact"/>
            </w:pPr>
          </w:p>
        </w:tc>
      </w:tr>
      <w:tr>
        <w:tc>
          <w:p>
            <w:pPr>
              <w:pStyle w:val="Compact"/>
              <w:jc w:val="left"/>
            </w:pPr>
            <w:r>
              <w:t xml:space="preserve">SystolicPressure (median [IQR])</w:t>
            </w:r>
          </w:p>
        </w:tc>
        <w:tc>
          <w:p>
            <w:pPr>
              <w:pStyle w:val="Compact"/>
              <w:jc w:val="left"/>
            </w:pPr>
            <w:r>
              <w:t xml:space="preserve">117.00 [113.00, 131.00]</w:t>
            </w:r>
          </w:p>
        </w:tc>
        <w:tc>
          <w:p>
            <w:pPr>
              <w:pStyle w:val="Compact"/>
              <w:jc w:val="left"/>
            </w:pPr>
            <w:r>
              <w:t xml:space="preserve">124.00 [114.00, 133.00]</w:t>
            </w:r>
          </w:p>
        </w:tc>
        <w:tc>
          <w:p>
            <w:pPr>
              <w:pStyle w:val="Compact"/>
              <w:jc w:val="left"/>
            </w:pPr>
            <w:r>
              <w:t xml:space="preserve">0.145</w:t>
            </w:r>
          </w:p>
        </w:tc>
      </w:tr>
      <w:tr>
        <w:tc>
          <w:p>
            <w:pPr>
              <w:pStyle w:val="Compact"/>
              <w:jc w:val="left"/>
            </w:pPr>
            <w:r>
              <w:t xml:space="preserve">DiastolicPressure (median [IQR])</w:t>
            </w:r>
          </w:p>
        </w:tc>
        <w:tc>
          <w:p>
            <w:pPr>
              <w:pStyle w:val="Compact"/>
              <w:jc w:val="left"/>
            </w:pPr>
            <w:r>
              <w:t xml:space="preserve">63.00 [60.00, 70.00]</w:t>
            </w:r>
          </w:p>
        </w:tc>
        <w:tc>
          <w:p>
            <w:pPr>
              <w:pStyle w:val="Compact"/>
              <w:jc w:val="left"/>
            </w:pPr>
            <w:r>
              <w:t xml:space="preserve">67.00 [62.00, 74.00]</w:t>
            </w:r>
          </w:p>
        </w:tc>
        <w:tc>
          <w:p>
            <w:pPr>
              <w:pStyle w:val="Compact"/>
              <w:jc w:val="left"/>
            </w:pPr>
            <w:r>
              <w:t xml:space="preserve">0.002</w:t>
            </w:r>
          </w:p>
        </w:tc>
      </w:tr>
    </w:tbl>
    <w:p>
      <w:pPr>
        <w:pStyle w:val="Heading3"/>
      </w:pPr>
      <w:bookmarkStart w:id="48" w:name="table-12."/>
      <w:bookmarkEnd w:id="48"/>
      <w:r>
        <w:t xml:space="preserve">Table 12.</w:t>
      </w:r>
    </w:p>
    <w:p>
      <w:pPr>
        <w:pStyle w:val="FirstParagraph"/>
      </w:pPr>
      <w:r>
        <w:t xml:space="preserve">Pediatric Endopat BP comparisons by drug, median [IQR].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BCQR</w:t>
            </w:r>
          </w:p>
        </w:tc>
        <w:tc>
          <w:tcPr>
            <w:tcBorders>
              <w:bottom w:val="single"/>
            </w:tcBorders>
            <w:vAlign w:val="bottom"/>
          </w:tcPr>
          <w:p>
            <w:pPr>
              <w:pStyle w:val="Compact"/>
              <w:jc w:val="left"/>
            </w:pPr>
            <w:r>
              <w:t xml:space="preserve">PLAC</w:t>
            </w:r>
          </w:p>
        </w:tc>
        <w:tc>
          <w:tcPr>
            <w:tcBorders>
              <w:bottom w:val="single"/>
            </w:tcBorders>
            <w:vAlign w:val="bottom"/>
          </w:tcPr>
          <w:p>
            <w:pPr>
              <w:pStyle w:val="Compact"/>
              <w:jc w:val="left"/>
            </w:pPr>
            <w:r>
              <w:t xml:space="preserve">p</w:t>
            </w:r>
          </w:p>
        </w:tc>
      </w:tr>
      <w:tr>
        <w:tc>
          <w:p>
            <w:pPr>
              <w:pStyle w:val="Compact"/>
              <w:jc w:val="left"/>
            </w:pPr>
            <w:r>
              <w:t xml:space="preserve">n</w:t>
            </w:r>
          </w:p>
        </w:tc>
        <w:tc>
          <w:p>
            <w:pPr>
              <w:pStyle w:val="Compact"/>
              <w:jc w:val="left"/>
            </w:pPr>
            <w:r>
              <w:t xml:space="preserve">19</w:t>
            </w:r>
          </w:p>
        </w:tc>
        <w:tc>
          <w:p>
            <w:pPr>
              <w:pStyle w:val="Compact"/>
              <w:jc w:val="left"/>
            </w:pPr>
            <w:r>
              <w:t xml:space="preserve">19</w:t>
            </w:r>
          </w:p>
        </w:tc>
        <w:tc>
          <w:p>
            <w:pPr>
              <w:pStyle w:val="Compact"/>
            </w:pPr>
          </w:p>
        </w:tc>
      </w:tr>
      <w:tr>
        <w:tc>
          <w:p>
            <w:pPr>
              <w:pStyle w:val="Compact"/>
              <w:jc w:val="left"/>
            </w:pPr>
            <w:r>
              <w:t xml:space="preserve">SystolicPressure (median [IQR])</w:t>
            </w:r>
          </w:p>
        </w:tc>
        <w:tc>
          <w:p>
            <w:pPr>
              <w:pStyle w:val="Compact"/>
              <w:jc w:val="left"/>
            </w:pPr>
            <w:r>
              <w:t xml:space="preserve">117.00 [106.50, 121.00]</w:t>
            </w:r>
          </w:p>
        </w:tc>
        <w:tc>
          <w:p>
            <w:pPr>
              <w:pStyle w:val="Compact"/>
              <w:jc w:val="left"/>
            </w:pPr>
            <w:r>
              <w:t xml:space="preserve">123.00 [116.50, 128.00]</w:t>
            </w:r>
          </w:p>
        </w:tc>
        <w:tc>
          <w:p>
            <w:pPr>
              <w:pStyle w:val="Compact"/>
              <w:jc w:val="left"/>
            </w:pPr>
            <w:r>
              <w:t xml:space="preserve">0.002</w:t>
            </w:r>
          </w:p>
        </w:tc>
      </w:tr>
      <w:tr>
        <w:tc>
          <w:p>
            <w:pPr>
              <w:pStyle w:val="Compact"/>
              <w:jc w:val="left"/>
            </w:pPr>
            <w:r>
              <w:t xml:space="preserve">DiastolicPressure (median [IQR])</w:t>
            </w:r>
          </w:p>
        </w:tc>
        <w:tc>
          <w:p>
            <w:pPr>
              <w:pStyle w:val="Compact"/>
              <w:jc w:val="left"/>
            </w:pPr>
            <w:r>
              <w:t xml:space="preserve">58.00 [55.00, 64.00]</w:t>
            </w:r>
          </w:p>
        </w:tc>
        <w:tc>
          <w:p>
            <w:pPr>
              <w:pStyle w:val="Compact"/>
              <w:jc w:val="left"/>
            </w:pPr>
            <w:r>
              <w:t xml:space="preserve">63.00 [56.50, 67.00]</w:t>
            </w:r>
          </w:p>
        </w:tc>
        <w:tc>
          <w:p>
            <w:pPr>
              <w:pStyle w:val="Compact"/>
              <w:jc w:val="left"/>
            </w:pPr>
            <w:r>
              <w:t xml:space="preserve">0.061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7dc5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1120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Bromocriptine Safety Report - Unblinded</dc:title>
  <dc:creator>Tim Vigers &amp; Laura Pyle</dc:creator>
  <dcterms:created xsi:type="dcterms:W3CDTF">2018-11-28T16:55:25Z</dcterms:created>
  <dcterms:modified xsi:type="dcterms:W3CDTF">2018-11-28T16:55:25Z</dcterms:modified>
</cp:coreProperties>
</file>