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Latino</w:t>
      </w:r>
      <w:r>
        <w:t xml:space="preserve"> </w:t>
      </w:r>
      <w:r>
        <w:t xml:space="preserve">Program</w:t>
      </w:r>
      <w:r>
        <w:t xml:space="preserve"> </w:t>
      </w:r>
      <w:r>
        <w:t xml:space="preserve">-</w:t>
      </w:r>
      <w:r>
        <w:t xml:space="preserve"> </w:t>
      </w:r>
      <w:r>
        <w:t xml:space="preserve">Gerard</w:t>
      </w:r>
      <w:r>
        <w:t xml:space="preserve"> </w:t>
      </w:r>
      <w:r>
        <w:t xml:space="preserve">Gonzalez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statistical-methods"/>
      <w:bookmarkEnd w:id="21"/>
      <w:r>
        <w:t xml:space="preserve">Statistical Methods</w:t>
      </w:r>
    </w:p>
    <w:p>
      <w:pPr>
        <w:pStyle w:val="Heading1"/>
      </w:pPr>
      <w:bookmarkStart w:id="22" w:name="summary-statistics"/>
      <w:bookmarkEnd w:id="22"/>
      <w:r>
        <w:t xml:space="preserve">Summary Statistics</w:t>
      </w:r>
    </w:p>
    <w:p>
      <w:pPr>
        <w:pStyle w:val="FirstParagraph"/>
      </w:pPr>
      <w:r>
        <w:rPr>
          <w:b/>
        </w:rPr>
        <w:t xml:space="preserve">Table 1a: . Descriptive statistics for Latino Program group by year (of last value per time period)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A1C - Last Measure in Year</w:t>
            </w:r>
          </w:p>
        </w:tc>
        <w:tc>
          <w:p>
            <w:pPr>
              <w:pStyle w:val="Compact"/>
              <w:jc w:val="left"/>
            </w:pPr>
            <w:r>
              <w:t xml:space="preserve">9.66±2.33</w:t>
            </w:r>
          </w:p>
        </w:tc>
        <w:tc>
          <w:p>
            <w:pPr>
              <w:pStyle w:val="Compact"/>
              <w:jc w:val="left"/>
            </w:pPr>
            <w:r>
              <w:t xml:space="preserve">9.53±2.09</w:t>
            </w:r>
          </w:p>
        </w:tc>
        <w:tc>
          <w:p>
            <w:pPr>
              <w:pStyle w:val="Compact"/>
              <w:jc w:val="left"/>
            </w:pPr>
            <w:r>
              <w:t xml:space="preserve">10.15±2.39</w:t>
            </w:r>
          </w:p>
        </w:tc>
        <w:tc>
          <w:p>
            <w:pPr>
              <w:pStyle w:val="Compact"/>
              <w:jc w:val="left"/>
            </w:pPr>
            <w:r>
              <w:t xml:space="preserve">10.26±2.36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Checks per Day - Last Measure in Year</w:t>
            </w:r>
          </w:p>
        </w:tc>
        <w:tc>
          <w:p>
            <w:pPr>
              <w:pStyle w:val="Compact"/>
              <w:jc w:val="left"/>
            </w:pPr>
            <w:r>
              <w:t xml:space="preserve">3.88±1.83</w:t>
            </w:r>
          </w:p>
        </w:tc>
        <w:tc>
          <w:p>
            <w:pPr>
              <w:pStyle w:val="Compact"/>
              <w:jc w:val="left"/>
            </w:pPr>
            <w:r>
              <w:t xml:space="preserve">3.81±2.16</w:t>
            </w:r>
          </w:p>
        </w:tc>
        <w:tc>
          <w:p>
            <w:pPr>
              <w:pStyle w:val="Compact"/>
              <w:jc w:val="left"/>
            </w:pPr>
            <w:r>
              <w:t xml:space="preserve">3.87±2.23</w:t>
            </w:r>
          </w:p>
        </w:tc>
        <w:tc>
          <w:p>
            <w:pPr>
              <w:pStyle w:val="Compact"/>
              <w:jc w:val="left"/>
            </w:pPr>
            <w:r>
              <w:t xml:space="preserve">3.76±1.88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</w:tbl>
    <w:p>
      <w:pPr>
        <w:pStyle w:val="BodyText"/>
      </w:pPr>
      <w:r>
        <w:rPr>
          <w:b/>
        </w:rPr>
        <w:t xml:space="preserve">Table 1b:. Descriptive statistics for Control group by year (of last value per time period)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A1C - Last Measure in Year</w:t>
            </w:r>
          </w:p>
        </w:tc>
        <w:tc>
          <w:p>
            <w:pPr>
              <w:pStyle w:val="Compact"/>
              <w:jc w:val="left"/>
            </w:pPr>
            <w:r>
              <w:t xml:space="preserve">9.41±2.13</w:t>
            </w:r>
          </w:p>
        </w:tc>
        <w:tc>
          <w:p>
            <w:pPr>
              <w:pStyle w:val="Compact"/>
              <w:jc w:val="left"/>
            </w:pPr>
            <w:r>
              <w:t xml:space="preserve">8.78±1.36</w:t>
            </w:r>
          </w:p>
        </w:tc>
        <w:tc>
          <w:p>
            <w:pPr>
              <w:pStyle w:val="Compact"/>
              <w:jc w:val="left"/>
            </w:pPr>
            <w:r>
              <w:t xml:space="preserve">8.95±2.04</w:t>
            </w:r>
          </w:p>
        </w:tc>
        <w:tc>
          <w:p>
            <w:pPr>
              <w:pStyle w:val="Compact"/>
              <w:jc w:val="left"/>
            </w:pPr>
            <w:r>
              <w:t xml:space="preserve">9.92±1.84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Checks per Day - Last Measure in Year</w:t>
            </w:r>
          </w:p>
        </w:tc>
        <w:tc>
          <w:p>
            <w:pPr>
              <w:pStyle w:val="Compact"/>
              <w:jc w:val="left"/>
            </w:pPr>
            <w:r>
              <w:t xml:space="preserve">4.11±1.65</w:t>
            </w:r>
          </w:p>
        </w:tc>
        <w:tc>
          <w:p>
            <w:pPr>
              <w:pStyle w:val="Compact"/>
              <w:jc w:val="left"/>
            </w:pPr>
            <w:r>
              <w:t xml:space="preserve">3.35±1.99</w:t>
            </w:r>
          </w:p>
        </w:tc>
        <w:tc>
          <w:p>
            <w:pPr>
              <w:pStyle w:val="Compact"/>
              <w:jc w:val="left"/>
            </w:pPr>
            <w:r>
              <w:t xml:space="preserve">3.82±2.18</w:t>
            </w:r>
          </w:p>
        </w:tc>
        <w:tc>
          <w:p>
            <w:pPr>
              <w:pStyle w:val="Compact"/>
              <w:jc w:val="left"/>
            </w:pPr>
            <w:r>
              <w:t xml:space="preserve">3.43±2.1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Table 1 presents descriptive statistics of A1c and Checks per Day by time period, regardless of age group category.</w:t>
      </w:r>
    </w:p>
    <w:p>
      <w:pPr>
        <w:pStyle w:val="BodyText"/>
      </w:pPr>
      <w:r>
        <w:rPr>
          <w:b/>
        </w:rPr>
        <w:t xml:space="preserve">Table 2. A1c and BMI Descriptive Statistics by year, age category and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ControlYoung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ControlOld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TrtYoung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TrtOld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Base1: A1C - Last Measure in Year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(std. dev)</w:t>
            </w:r>
          </w:p>
        </w:tc>
        <w:tc>
          <w:p>
            <w:pPr>
              <w:pStyle w:val="Compact"/>
              <w:jc w:val="left"/>
            </w:pPr>
            <w:r>
              <w:t xml:space="preserve">9.533 (2.761)</w:t>
            </w:r>
          </w:p>
        </w:tc>
        <w:tc>
          <w:p>
            <w:pPr>
              <w:pStyle w:val="Compact"/>
              <w:jc w:val="left"/>
            </w:pPr>
            <w:r>
              <w:t xml:space="preserve">9.345 (2.761)</w:t>
            </w:r>
          </w:p>
        </w:tc>
        <w:tc>
          <w:p>
            <w:pPr>
              <w:pStyle w:val="Compact"/>
              <w:jc w:val="left"/>
            </w:pPr>
            <w:r>
              <w:t xml:space="preserve">9.218 (2.761)</w:t>
            </w:r>
          </w:p>
        </w:tc>
        <w:tc>
          <w:p>
            <w:pPr>
              <w:pStyle w:val="Compact"/>
              <w:jc w:val="left"/>
            </w:pPr>
            <w:r>
              <w:t xml:space="preserve">9.993 (2.761)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Year1: A1C - Last Measure in Year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(std. dev)</w:t>
            </w:r>
          </w:p>
        </w:tc>
        <w:tc>
          <w:p>
            <w:pPr>
              <w:pStyle w:val="Compact"/>
              <w:jc w:val="left"/>
            </w:pPr>
            <w:r>
              <w:t xml:space="preserve">8.833 (0.423)</w:t>
            </w:r>
          </w:p>
        </w:tc>
        <w:tc>
          <w:p>
            <w:pPr>
              <w:pStyle w:val="Compact"/>
              <w:jc w:val="left"/>
            </w:pPr>
            <w:r>
              <w:t xml:space="preserve">8.74 (0.423)</w:t>
            </w:r>
          </w:p>
        </w:tc>
        <w:tc>
          <w:p>
            <w:pPr>
              <w:pStyle w:val="Compact"/>
              <w:jc w:val="left"/>
            </w:pPr>
            <w:r>
              <w:t xml:space="preserve">8.727 (0.423)</w:t>
            </w:r>
          </w:p>
        </w:tc>
        <w:tc>
          <w:p>
            <w:pPr>
              <w:pStyle w:val="Compact"/>
              <w:jc w:val="left"/>
            </w:pPr>
            <w:r>
              <w:t xml:space="preserve">10.149 (0.423)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Year2: A1C - Last Measure in Year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(std. dev)</w:t>
            </w:r>
          </w:p>
        </w:tc>
        <w:tc>
          <w:p>
            <w:pPr>
              <w:pStyle w:val="Compact"/>
              <w:jc w:val="left"/>
            </w:pPr>
            <w:r>
              <w:t xml:space="preserve">9.32 (1.704)</w:t>
            </w:r>
          </w:p>
        </w:tc>
        <w:tc>
          <w:p>
            <w:pPr>
              <w:pStyle w:val="Compact"/>
              <w:jc w:val="left"/>
            </w:pPr>
            <w:r>
              <w:t xml:space="preserve">8.792 (1.704)</w:t>
            </w:r>
          </w:p>
        </w:tc>
        <w:tc>
          <w:p>
            <w:pPr>
              <w:pStyle w:val="Compact"/>
              <w:jc w:val="left"/>
            </w:pPr>
            <w:r>
              <w:t xml:space="preserve">8.614 (1.704)</w:t>
            </w:r>
          </w:p>
        </w:tc>
        <w:tc>
          <w:p>
            <w:pPr>
              <w:pStyle w:val="Compact"/>
              <w:jc w:val="left"/>
            </w:pPr>
            <w:r>
              <w:t xml:space="preserve">10.774 (1.704)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Year3: A1C - Last Measure in Year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(std. dev)</w:t>
            </w:r>
          </w:p>
        </w:tc>
        <w:tc>
          <w:p>
            <w:pPr>
              <w:pStyle w:val="Compact"/>
              <w:jc w:val="left"/>
            </w:pPr>
            <w:r>
              <w:t xml:space="preserve">9.3 (0.992)</w:t>
            </w:r>
          </w:p>
        </w:tc>
        <w:tc>
          <w:p>
            <w:pPr>
              <w:pStyle w:val="Compact"/>
              <w:jc w:val="left"/>
            </w:pPr>
            <w:r>
              <w:t xml:space="preserve">10.235 (0.992)</w:t>
            </w:r>
          </w:p>
        </w:tc>
        <w:tc>
          <w:p>
            <w:pPr>
              <w:pStyle w:val="Compact"/>
              <w:jc w:val="left"/>
            </w:pPr>
            <w:r>
              <w:t xml:space="preserve">8.738 (0.992)</w:t>
            </w:r>
          </w:p>
        </w:tc>
        <w:tc>
          <w:p>
            <w:pPr>
              <w:pStyle w:val="Compact"/>
              <w:jc w:val="left"/>
            </w:pPr>
            <w:r>
              <w:t xml:space="preserve">10.763 (0.992)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Base1: Checks per Day - Last Measure in Year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(std. dev)</w:t>
            </w:r>
          </w:p>
        </w:tc>
        <w:tc>
          <w:p>
            <w:pPr>
              <w:pStyle w:val="Compact"/>
              <w:jc w:val="left"/>
            </w:pPr>
            <w:r>
              <w:t xml:space="preserve">5.367 (1.546)</w:t>
            </w:r>
          </w:p>
        </w:tc>
        <w:tc>
          <w:p>
            <w:pPr>
              <w:pStyle w:val="Compact"/>
              <w:jc w:val="left"/>
            </w:pPr>
            <w:r>
              <w:t xml:space="preserve">3.427 (1.546)</w:t>
            </w:r>
          </w:p>
        </w:tc>
        <w:tc>
          <w:p>
            <w:pPr>
              <w:pStyle w:val="Compact"/>
              <w:jc w:val="left"/>
            </w:pPr>
            <w:r>
              <w:t xml:space="preserve">4.606 (1.546)</w:t>
            </w:r>
          </w:p>
        </w:tc>
        <w:tc>
          <w:p>
            <w:pPr>
              <w:pStyle w:val="Compact"/>
              <w:jc w:val="left"/>
            </w:pPr>
            <w:r>
              <w:t xml:space="preserve">3.323 (1.546)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Year1: Checks per Day - Last Measure in Year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(std. dev)</w:t>
            </w:r>
          </w:p>
        </w:tc>
        <w:tc>
          <w:p>
            <w:pPr>
              <w:pStyle w:val="Compact"/>
              <w:jc w:val="left"/>
            </w:pPr>
            <w:r>
              <w:t xml:space="preserve">3.583 (3.052)</w:t>
            </w:r>
          </w:p>
        </w:tc>
        <w:tc>
          <w:p>
            <w:pPr>
              <w:pStyle w:val="Compact"/>
              <w:jc w:val="left"/>
            </w:pPr>
            <w:r>
              <w:t xml:space="preserve">3.209 (3.052)</w:t>
            </w:r>
          </w:p>
        </w:tc>
        <w:tc>
          <w:p>
            <w:pPr>
              <w:pStyle w:val="Compact"/>
              <w:jc w:val="left"/>
            </w:pPr>
            <w:r>
              <w:t xml:space="preserve">5.142 (3.052)</w:t>
            </w:r>
          </w:p>
        </w:tc>
        <w:tc>
          <w:p>
            <w:pPr>
              <w:pStyle w:val="Compact"/>
              <w:jc w:val="left"/>
            </w:pPr>
            <w:r>
              <w:t xml:space="preserve">2.784 (3.052)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Year2: Checks per Day - Last Measure in Year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(std. dev)</w:t>
            </w:r>
          </w:p>
        </w:tc>
        <w:tc>
          <w:p>
            <w:pPr>
              <w:pStyle w:val="Compact"/>
              <w:jc w:val="left"/>
            </w:pPr>
            <w:r>
              <w:t xml:space="preserve">4.36 (1.466)</w:t>
            </w:r>
          </w:p>
        </w:tc>
        <w:tc>
          <w:p>
            <w:pPr>
              <w:pStyle w:val="Compact"/>
              <w:jc w:val="left"/>
            </w:pPr>
            <w:r>
              <w:t xml:space="preserve">3.595 (1.466)</w:t>
            </w:r>
          </w:p>
        </w:tc>
        <w:tc>
          <w:p>
            <w:pPr>
              <w:pStyle w:val="Compact"/>
              <w:jc w:val="left"/>
            </w:pPr>
            <w:r>
              <w:t xml:space="preserve">5.482 (1.466)</w:t>
            </w:r>
          </w:p>
        </w:tc>
        <w:tc>
          <w:p>
            <w:pPr>
              <w:pStyle w:val="Compact"/>
              <w:jc w:val="left"/>
            </w:pPr>
            <w:r>
              <w:t xml:space="preserve">3.209 (1.466)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Year3: Checks per Day - Last Measure in Year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(std. dev)</w:t>
            </w:r>
          </w:p>
        </w:tc>
        <w:tc>
          <w:p>
            <w:pPr>
              <w:pStyle w:val="Compact"/>
              <w:jc w:val="left"/>
            </w:pPr>
            <w:r>
              <w:t xml:space="preserve">4.36 (3.044)</w:t>
            </w:r>
          </w:p>
        </w:tc>
        <w:tc>
          <w:p>
            <w:pPr>
              <w:pStyle w:val="Compact"/>
              <w:jc w:val="left"/>
            </w:pPr>
            <w:r>
              <w:t xml:space="preserve">2.96 (3.044)</w:t>
            </w:r>
          </w:p>
        </w:tc>
        <w:tc>
          <w:p>
            <w:pPr>
              <w:pStyle w:val="Compact"/>
              <w:jc w:val="left"/>
            </w:pPr>
            <w:r>
              <w:t xml:space="preserve">4.775 (3.044)</w:t>
            </w:r>
          </w:p>
        </w:tc>
        <w:tc>
          <w:p>
            <w:pPr>
              <w:pStyle w:val="Compact"/>
              <w:jc w:val="left"/>
            </w:pPr>
            <w:r>
              <w:t xml:space="preserve">3.43 (3.044)</w:t>
            </w:r>
          </w:p>
        </w:tc>
      </w:tr>
    </w:tbl>
    <w:p>
      <w:pPr>
        <w:pStyle w:val="BodyText"/>
      </w:pPr>
      <w:r>
        <w:t xml:space="preserve">Table 2 presents descriptive statistics of A1c and Checks per Day by treatment group, time period and age category.</w:t>
      </w:r>
    </w:p>
    <w:p>
      <w:pPr>
        <w:pStyle w:val="BodyText"/>
      </w:pPr>
      <w:r>
        <w:rPr>
          <w:b/>
        </w:rPr>
        <w:t xml:space="preserve">Table 3A. Results of mixed effects modeling A1c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5.707</w:t>
            </w:r>
          </w:p>
        </w:tc>
        <w:tc>
          <w:p>
            <w:pPr>
              <w:pStyle w:val="Compact"/>
              <w:jc w:val="left"/>
            </w:pPr>
            <w:r>
              <w:t xml:space="preserve">0.954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baseline_a1c</w:t>
            </w:r>
          </w:p>
        </w:tc>
        <w:tc>
          <w:p>
            <w:pPr>
              <w:pStyle w:val="Compact"/>
              <w:jc w:val="left"/>
            </w:pPr>
            <w:r>
              <w:t xml:space="preserve">0.502</w:t>
            </w:r>
          </w:p>
        </w:tc>
        <w:tc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</w:t>
            </w:r>
          </w:p>
        </w:tc>
        <w:tc>
          <w:p>
            <w:pPr>
              <w:pStyle w:val="Compact"/>
              <w:jc w:val="left"/>
            </w:pPr>
            <w:r>
              <w:t xml:space="preserve">-0.823</w:t>
            </w:r>
          </w:p>
        </w:tc>
        <w:tc>
          <w:p>
            <w:pPr>
              <w:pStyle w:val="Compact"/>
              <w:jc w:val="left"/>
            </w:pPr>
            <w:r>
              <w:t xml:space="preserve">0.544</w:t>
            </w:r>
          </w:p>
        </w:tc>
        <w:tc>
          <w:p>
            <w:pPr>
              <w:pStyle w:val="Compact"/>
              <w:jc w:val="lef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</w:t>
            </w:r>
          </w:p>
        </w:tc>
        <w:tc>
          <w:p>
            <w:pPr>
              <w:pStyle w:val="Compact"/>
              <w:jc w:val="left"/>
            </w:pPr>
            <w:r>
              <w:t xml:space="preserve">-0.964</w:t>
            </w:r>
          </w:p>
        </w:tc>
        <w:tc>
          <w:p>
            <w:pPr>
              <w:pStyle w:val="Compact"/>
              <w:jc w:val="left"/>
            </w:pPr>
            <w:r>
              <w:t xml:space="preserve">0.555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</w:t>
            </w:r>
          </w:p>
        </w:tc>
        <w:tc>
          <w:p>
            <w:pPr>
              <w:pStyle w:val="Compact"/>
              <w:jc w:val="left"/>
            </w:pPr>
            <w:r>
              <w:t xml:space="preserve">-0.690</w:t>
            </w:r>
          </w:p>
        </w:tc>
        <w:tc>
          <w:p>
            <w:pPr>
              <w:pStyle w:val="Compact"/>
              <w:jc w:val="left"/>
            </w:pPr>
            <w:r>
              <w:t xml:space="preserve">0.544</w:t>
            </w:r>
          </w:p>
        </w:tc>
        <w:tc>
          <w:p>
            <w:pPr>
              <w:pStyle w:val="Compact"/>
              <w:jc w:val="left"/>
            </w:pPr>
            <w:r>
              <w:t xml:space="preserve">0.206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groupLess than 12</w:t>
            </w:r>
          </w:p>
        </w:tc>
        <w:tc>
          <w:p>
            <w:pPr>
              <w:pStyle w:val="Compact"/>
              <w:jc w:val="left"/>
            </w:pPr>
            <w:r>
              <w:t xml:space="preserve">-0.969</w:t>
            </w:r>
          </w:p>
        </w:tc>
        <w:tc>
          <w:p>
            <w:pPr>
              <w:pStyle w:val="Compact"/>
              <w:jc w:val="left"/>
            </w:pPr>
            <w:r>
              <w:t xml:space="preserve">0.305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-0.017</w:t>
            </w:r>
          </w:p>
        </w:tc>
        <w:tc>
          <w:p>
            <w:pPr>
              <w:pStyle w:val="Compact"/>
              <w:jc w:val="left"/>
            </w:pPr>
            <w:r>
              <w:t xml:space="preserve">0.569</w:t>
            </w:r>
          </w:p>
        </w:tc>
        <w:tc>
          <w:p>
            <w:pPr>
              <w:pStyle w:val="Compact"/>
              <w:jc w:val="left"/>
            </w:pPr>
            <w:r>
              <w:t xml:space="preserve">0.976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duration_of_diagnosis</w:t>
            </w:r>
          </w:p>
        </w:tc>
        <w:tc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p>
            <w:pPr>
              <w:pStyle w:val="Compact"/>
              <w:jc w:val="left"/>
            </w:pPr>
            <w:r>
              <w:t xml:space="preserve">0.056</w:t>
            </w:r>
          </w:p>
        </w:tc>
        <w:tc>
          <w:p>
            <w:pPr>
              <w:pStyle w:val="Compact"/>
              <w:jc w:val="left"/>
            </w:pPr>
            <w:r>
              <w:t xml:space="preserve">0.961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0.398</w:t>
            </w:r>
          </w:p>
        </w:tc>
        <w:tc>
          <w:p>
            <w:pPr>
              <w:pStyle w:val="Compact"/>
              <w:jc w:val="left"/>
            </w:pPr>
            <w:r>
              <w:t xml:space="preserve">0.608</w:t>
            </w:r>
          </w:p>
        </w:tc>
        <w:tc>
          <w:p>
            <w:pPr>
              <w:pStyle w:val="Compact"/>
              <w:jc w:val="left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0.426</w:t>
            </w:r>
          </w:p>
        </w:tc>
        <w:tc>
          <w:p>
            <w:pPr>
              <w:pStyle w:val="Compact"/>
              <w:jc w:val="left"/>
            </w:pPr>
            <w:r>
              <w:t xml:space="preserve">0.618</w:t>
            </w:r>
          </w:p>
        </w:tc>
        <w:tc>
          <w:p>
            <w:pPr>
              <w:pStyle w:val="Compact"/>
              <w:jc w:val="left"/>
            </w:pPr>
            <w:r>
              <w:t xml:space="preserve">0.491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0.502</w:t>
            </w:r>
          </w:p>
        </w:tc>
        <w:tc>
          <w:p>
            <w:pPr>
              <w:pStyle w:val="Compact"/>
              <w:jc w:val="left"/>
            </w:pPr>
            <w:r>
              <w:t xml:space="preserve">0.604</w:t>
            </w:r>
          </w:p>
        </w:tc>
        <w:tc>
          <w:p>
            <w:pPr>
              <w:pStyle w:val="Compact"/>
              <w:jc w:val="left"/>
            </w:pPr>
            <w:r>
              <w:t xml:space="preserve">0.407</w:t>
            </w:r>
          </w:p>
        </w:tc>
      </w:tr>
    </w:tbl>
    <w:p>
      <w:pPr>
        <w:pStyle w:val="BodyText"/>
      </w:pPr>
      <w:r>
        <w:rPr>
          <w:b/>
        </w:rPr>
        <w:t xml:space="preserve">Table 3b: Results of Difference between Latino Program and Control A1c at each timepoint.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c_base1</w:t>
            </w:r>
          </w:p>
        </w:tc>
        <w:tc>
          <w:p>
            <w:pPr>
              <w:pStyle w:val="Compact"/>
              <w:jc w:val="left"/>
            </w:pPr>
            <w:r>
              <w:t xml:space="preserve">-0.3669376</w:t>
            </w:r>
          </w:p>
        </w:tc>
        <w:tc>
          <w:p>
            <w:pPr>
              <w:pStyle w:val="Compact"/>
              <w:jc w:val="left"/>
            </w:pPr>
            <w:r>
              <w:t xml:space="preserve">0.6031574</w:t>
            </w:r>
          </w:p>
        </w:tc>
        <w:tc>
          <w:p>
            <w:pPr>
              <w:pStyle w:val="Compact"/>
              <w:jc w:val="left"/>
            </w:pPr>
            <w:r>
              <w:t xml:space="preserve">0.5447618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c_year1</w:t>
            </w:r>
          </w:p>
        </w:tc>
        <w:tc>
          <w:p>
            <w:pPr>
              <w:pStyle w:val="Compact"/>
              <w:jc w:val="left"/>
            </w:pPr>
            <w:r>
              <w:t xml:space="preserve">0.1872338</w:t>
            </w:r>
          </w:p>
        </w:tc>
        <w:tc>
          <w:p>
            <w:pPr>
              <w:pStyle w:val="Compact"/>
              <w:jc w:val="left"/>
            </w:pPr>
            <w:r>
              <w:t xml:space="preserve">0.6123839</w:t>
            </w:r>
          </w:p>
        </w:tc>
        <w:tc>
          <w:p>
            <w:pPr>
              <w:pStyle w:val="Compact"/>
              <w:jc w:val="left"/>
            </w:pPr>
            <w:r>
              <w:t xml:space="preserve">0.7606341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c_year2</w:t>
            </w:r>
          </w:p>
        </w:tc>
        <w:tc>
          <w:p>
            <w:pPr>
              <w:pStyle w:val="Compact"/>
              <w:jc w:val="left"/>
            </w:pPr>
            <w:r>
              <w:t xml:space="preserve">-0.0203312</w:t>
            </w:r>
          </w:p>
        </w:tc>
        <w:tc>
          <w:p>
            <w:pPr>
              <w:pStyle w:val="Compact"/>
              <w:jc w:val="left"/>
            </w:pPr>
            <w:r>
              <w:t xml:space="preserve">0.6106911</w:t>
            </w:r>
          </w:p>
        </w:tc>
        <w:tc>
          <w:p>
            <w:pPr>
              <w:pStyle w:val="Compact"/>
              <w:jc w:val="left"/>
            </w:pPr>
            <w:r>
              <w:t xml:space="preserve">0.9735289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c_year3</w:t>
            </w:r>
          </w:p>
        </w:tc>
        <w:tc>
          <w:p>
            <w:pPr>
              <w:pStyle w:val="Compact"/>
              <w:jc w:val="left"/>
            </w:pPr>
            <w:r>
              <w:t xml:space="preserve">0.2469700</w:t>
            </w:r>
          </w:p>
        </w:tc>
        <w:tc>
          <w:p>
            <w:pPr>
              <w:pStyle w:val="Compact"/>
              <w:jc w:val="left"/>
            </w:pPr>
            <w:r>
              <w:t xml:space="preserve">0.6141781</w:t>
            </w:r>
          </w:p>
        </w:tc>
        <w:tc>
          <w:p>
            <w:pPr>
              <w:pStyle w:val="Compact"/>
              <w:jc w:val="left"/>
            </w:pPr>
            <w:r>
              <w:t xml:space="preserve">0.6887284</w:t>
            </w:r>
          </w:p>
        </w:tc>
      </w:tr>
    </w:tbl>
    <w:p>
      <w:pPr>
        <w:pStyle w:val="BodyText"/>
      </w:pPr>
      <w:r>
        <w:t xml:space="preserve">Table 3A-3B show results of mixed effects modeling looking at whether there was a significant difference in A1c in Treatment and Control groups at baseline, year 1 and year 2 (table 3A), as well as results of specific contrasts of interest. There is not a significant difference in trend of A1c over time between groups (table 3A, p=xxx). There was no significant difference in A1c between groups at baseline, year 1 or year 2 (table 3B, p=xxx, p=xxx, p=xxx).</w:t>
      </w:r>
    </w:p>
    <w:p>
      <w:pPr>
        <w:pStyle w:val="BodyText"/>
      </w:pPr>
      <w:r>
        <w:rPr>
          <w:b/>
        </w:rPr>
        <w:t xml:space="preserve">Table 4A. Results of mixed effects modeling of checks per day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4.233</w:t>
            </w:r>
          </w:p>
        </w:tc>
        <w:tc>
          <w:p>
            <w:pPr>
              <w:pStyle w:val="Compact"/>
              <w:jc w:val="left"/>
            </w:pPr>
            <w:r>
              <w:t xml:space="preserve">1.055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baseline_a1c</w:t>
            </w:r>
          </w:p>
        </w:tc>
        <w:tc>
          <w:p>
            <w:pPr>
              <w:pStyle w:val="Compact"/>
              <w:jc w:val="left"/>
            </w:pPr>
            <w:r>
              <w:t xml:space="preserve">-0.065</w:t>
            </w:r>
          </w:p>
        </w:tc>
        <w:tc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p>
            <w:pPr>
              <w:pStyle w:val="Compact"/>
              <w:jc w:val="left"/>
            </w:pPr>
            <w:r>
              <w:t xml:space="preserve">0.366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</w:t>
            </w:r>
          </w:p>
        </w:tc>
        <w:tc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p>
            <w:pPr>
              <w:pStyle w:val="Compact"/>
              <w:jc w:val="left"/>
            </w:pPr>
            <w:r>
              <w:t xml:space="preserve">0.550</w:t>
            </w:r>
          </w:p>
        </w:tc>
        <w:tc>
          <w:p>
            <w:pPr>
              <w:pStyle w:val="Compact"/>
              <w:jc w:val="left"/>
            </w:pPr>
            <w:r>
              <w:t xml:space="preserve">0.304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0.562</w:t>
            </w:r>
          </w:p>
        </w:tc>
        <w:tc>
          <w:p>
            <w:pPr>
              <w:pStyle w:val="Compact"/>
              <w:jc w:val="left"/>
            </w:pPr>
            <w:r>
              <w:t xml:space="preserve">0.952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</w:t>
            </w:r>
          </w:p>
        </w:tc>
        <w:tc>
          <w:p>
            <w:pPr>
              <w:pStyle w:val="Compact"/>
              <w:jc w:val="left"/>
            </w:pPr>
            <w:r>
              <w:t xml:space="preserve">0.327</w:t>
            </w:r>
          </w:p>
        </w:tc>
        <w:tc>
          <w:p>
            <w:pPr>
              <w:pStyle w:val="Compact"/>
              <w:jc w:val="left"/>
            </w:pPr>
            <w:r>
              <w:t xml:space="preserve">0.550</w:t>
            </w:r>
          </w:p>
        </w:tc>
        <w:tc>
          <w:p>
            <w:pPr>
              <w:pStyle w:val="Compact"/>
              <w:jc w:val="left"/>
            </w:pPr>
            <w:r>
              <w:t xml:space="preserve">0.553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groupLess than 12</w:t>
            </w:r>
          </w:p>
        </w:tc>
        <w:tc>
          <w:p>
            <w:pPr>
              <w:pStyle w:val="Compact"/>
              <w:jc w:val="left"/>
            </w:pPr>
            <w:r>
              <w:t xml:space="preserve">0.980</w:t>
            </w:r>
          </w:p>
        </w:tc>
        <w:tc>
          <w:p>
            <w:pPr>
              <w:pStyle w:val="Compact"/>
              <w:jc w:val="left"/>
            </w:pPr>
            <w:r>
              <w:t xml:space="preserve">0.328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0.247</w:t>
            </w:r>
          </w:p>
        </w:tc>
        <w:tc>
          <w:p>
            <w:pPr>
              <w:pStyle w:val="Compact"/>
              <w:jc w:val="left"/>
            </w:pPr>
            <w:r>
              <w:t xml:space="preserve">0.614</w:t>
            </w:r>
          </w:p>
        </w:tc>
        <w:tc>
          <w:p>
            <w:pPr>
              <w:pStyle w:val="Compact"/>
              <w:jc w:val="left"/>
            </w:pPr>
            <w:r>
              <w:t xml:space="preserve">0.689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duration_of_diagnosis</w:t>
            </w:r>
          </w:p>
        </w:tc>
        <w:tc>
          <w:p>
            <w:pPr>
              <w:pStyle w:val="Compact"/>
              <w:jc w:val="left"/>
            </w:pPr>
            <w:r>
              <w:t xml:space="preserve">-0.055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0.382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factor(yeargrouping)Base1:factor(trt_grp)LP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-0.614</w:t>
            </w:r>
          </w:p>
        </w:tc>
        <w:tc>
          <w:p>
            <w:pPr>
              <w:pStyle w:val="Compact"/>
              <w:jc w:val="left"/>
            </w:pPr>
            <w:r>
              <w:t xml:space="preserve">0.615</w:t>
            </w:r>
          </w:p>
        </w:tc>
        <w:tc>
          <w:p>
            <w:pPr>
              <w:pStyle w:val="Compact"/>
              <w:jc w:val="left"/>
            </w:pPr>
            <w:r>
              <w:t xml:space="preserve">0.319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factor(yeargrouping)Year1:factor(trt_grp)LP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-0.060</w:t>
            </w:r>
          </w:p>
        </w:tc>
        <w:tc>
          <w:p>
            <w:pPr>
              <w:pStyle w:val="Compact"/>
              <w:jc w:val="left"/>
            </w:pPr>
            <w:r>
              <w:t xml:space="preserve">0.626</w:t>
            </w:r>
          </w:p>
        </w:tc>
        <w:tc>
          <w:p>
            <w:pPr>
              <w:pStyle w:val="Compact"/>
              <w:jc w:val="left"/>
            </w:pPr>
            <w:r>
              <w:t xml:space="preserve">0.924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factor(yeargrouping)Year2:factor(trt_grp)LP</w:t>
            </w:r>
          </w:p>
        </w:tc>
        <w:tc>
          <w:p>
            <w:pPr>
              <w:pStyle w:val="Compact"/>
              <w:jc w:val="left"/>
            </w:pPr>
            <w:r>
              <w:t xml:space="preserve">-0.267</w:t>
            </w:r>
          </w:p>
        </w:tc>
        <w:tc>
          <w:p>
            <w:pPr>
              <w:pStyle w:val="Compact"/>
              <w:jc w:val="left"/>
            </w:pPr>
            <w:r>
              <w:t xml:space="preserve">0.611</w:t>
            </w:r>
          </w:p>
        </w:tc>
        <w:tc>
          <w:p>
            <w:pPr>
              <w:pStyle w:val="Compact"/>
              <w:jc w:val="left"/>
            </w:pPr>
            <w:r>
              <w:t xml:space="preserve">0.662</w:t>
            </w:r>
          </w:p>
        </w:tc>
      </w:tr>
    </w:tbl>
    <w:p>
      <w:pPr>
        <w:pStyle w:val="BodyText"/>
      </w:pPr>
      <w:r>
        <w:rPr>
          <w:b/>
        </w:rPr>
        <w:t xml:space="preserve">Table 4b: Results of Difference between Latino Program and Control Checks per Day at each timepoint.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c_base1</w:t>
            </w:r>
          </w:p>
        </w:tc>
        <w:tc>
          <w:p>
            <w:pPr>
              <w:pStyle w:val="Compact"/>
              <w:jc w:val="left"/>
            </w:pPr>
            <w:r>
              <w:t xml:space="preserve">-0.367</w:t>
            </w:r>
          </w:p>
        </w:tc>
        <w:tc>
          <w:p>
            <w:pPr>
              <w:pStyle w:val="Compact"/>
              <w:jc w:val="left"/>
            </w:pPr>
            <w:r>
              <w:t xml:space="preserve">0.603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-0.6083614</w:t>
            </w:r>
          </w:p>
        </w:tc>
        <w:tc>
          <w:p>
            <w:pPr>
              <w:pStyle w:val="Compact"/>
              <w:jc w:val="left"/>
            </w:pPr>
            <w:r>
              <w:t xml:space="preserve">0.545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c_year1</w:t>
            </w:r>
          </w:p>
        </w:tc>
        <w:tc>
          <w:p>
            <w:pPr>
              <w:pStyle w:val="Compact"/>
              <w:jc w:val="left"/>
            </w:pPr>
            <w:r>
              <w:t xml:space="preserve">0.187</w:t>
            </w:r>
          </w:p>
        </w:tc>
        <w:tc>
          <w:p>
            <w:pPr>
              <w:pStyle w:val="Compact"/>
              <w:jc w:val="left"/>
            </w:pPr>
            <w:r>
              <w:t xml:space="preserve">0.612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0.3057459</w:t>
            </w:r>
          </w:p>
        </w:tc>
        <w:tc>
          <w:p>
            <w:pPr>
              <w:pStyle w:val="Compact"/>
              <w:jc w:val="left"/>
            </w:pPr>
            <w:r>
              <w:t xml:space="preserve">0.761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c_year2</w:t>
            </w:r>
          </w:p>
        </w:tc>
        <w:tc>
          <w:p>
            <w:pPr>
              <w:pStyle w:val="Compact"/>
              <w:jc w:val="left"/>
            </w:pPr>
            <w:r>
              <w:t xml:space="preserve">-0.020</w:t>
            </w:r>
          </w:p>
        </w:tc>
        <w:tc>
          <w:p>
            <w:pPr>
              <w:pStyle w:val="Compact"/>
              <w:jc w:val="left"/>
            </w:pPr>
            <w:r>
              <w:t xml:space="preserve">0.611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-0.0332922</w:t>
            </w:r>
          </w:p>
        </w:tc>
        <w:tc>
          <w:p>
            <w:pPr>
              <w:pStyle w:val="Compact"/>
              <w:jc w:val="left"/>
            </w:pPr>
            <w:r>
              <w:t xml:space="preserve">0.974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c_year3</w:t>
            </w:r>
          </w:p>
        </w:tc>
        <w:tc>
          <w:p>
            <w:pPr>
              <w:pStyle w:val="Compact"/>
              <w:jc w:val="left"/>
            </w:pPr>
            <w:r>
              <w:t xml:space="preserve">0.247</w:t>
            </w:r>
          </w:p>
        </w:tc>
        <w:tc>
          <w:p>
            <w:pPr>
              <w:pStyle w:val="Compact"/>
              <w:jc w:val="left"/>
            </w:pPr>
            <w:r>
              <w:t xml:space="preserve">0.614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0.4021146</w:t>
            </w:r>
          </w:p>
        </w:tc>
        <w:tc>
          <w:p>
            <w:pPr>
              <w:pStyle w:val="Compact"/>
              <w:jc w:val="left"/>
            </w:pPr>
            <w:r>
              <w:t xml:space="preserve">0.689</w:t>
            </w:r>
          </w:p>
        </w:tc>
      </w:tr>
    </w:tbl>
    <w:p>
      <w:pPr>
        <w:pStyle w:val="BodyText"/>
      </w:pPr>
      <w:r>
        <w:t xml:space="preserve">Table 4A-4B show results of mixed effects modeling looking at whether there was a significant difference in Checks per Day in Treatment and Control groups at baseline, year 1, year 2, and year 3 (table 4A), as well as results of specific comparisons of interest. There is not a significant difference in trend of A1c over time between groups (table 4A, p=xxx). There was no significant difference in Checks per Day between groups at baseline, year 1 or year 2 (table 4B, p=xxx, p=xxx, p=xxx).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e4fb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Latino Program - Gerard Gonzalez</dc:title>
  <dc:creator>Kristen Campbell</dc:creator>
  <dcterms:created xsi:type="dcterms:W3CDTF">2019-05-17T17:35:19Z</dcterms:created>
  <dcterms:modified xsi:type="dcterms:W3CDTF">2019-05-17T17:35:19Z</dcterms:modified>
</cp:coreProperties>
</file>