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Latino</w:t>
      </w:r>
      <w:r>
        <w:t xml:space="preserve"> </w:t>
      </w:r>
      <w:r>
        <w:t xml:space="preserve">Program</w:t>
      </w:r>
      <w:r>
        <w:t xml:space="preserve"> </w:t>
      </w:r>
      <w:r>
        <w:t xml:space="preserve">-</w:t>
      </w:r>
      <w:r>
        <w:t xml:space="preserve"> </w:t>
      </w:r>
      <w:r>
        <w:t xml:space="preserve">Gerard</w:t>
      </w:r>
      <w:r>
        <w:t xml:space="preserve"> </w:t>
      </w:r>
      <w:r>
        <w:t xml:space="preserve">Gonzalez</w:t>
      </w:r>
    </w:p>
    <w:p>
      <w:pPr>
        <w:pStyle w:val="Author"/>
      </w:pPr>
      <w:r>
        <w:t xml:space="preserve">Kristen</w:t>
      </w:r>
      <w:r>
        <w:t xml:space="preserve"> </w:t>
      </w:r>
      <w:r>
        <w:t xml:space="preserve">Campbell</w:t>
      </w:r>
    </w:p>
    <w:p>
      <w:pPr>
        <w:pStyle w:val="Date"/>
      </w:pPr>
      <w:r>
        <w:t xml:space="preserve">May</w:t>
      </w:r>
      <w:r>
        <w:t xml:space="preserve"> </w:t>
      </w:r>
      <w:r>
        <w:t xml:space="preserve">17,</w:t>
      </w:r>
      <w:r>
        <w:t xml:space="preserve"> </w:t>
      </w:r>
      <w:r>
        <w:t xml:space="preserve">2019</w:t>
      </w:r>
    </w:p>
    <w:p>
      <w:pPr>
        <w:pStyle w:val="Heading1"/>
      </w:pPr>
      <w:bookmarkStart w:id="21" w:name="statistical-methods"/>
      <w:bookmarkEnd w:id="21"/>
      <w:r>
        <w:t xml:space="preserve">Statistical Methods</w:t>
      </w:r>
    </w:p>
    <w:p>
      <w:pPr>
        <w:pStyle w:val="FirstParagraph"/>
      </w:pPr>
      <w:r>
        <w:t xml:space="preserve">There were a total of 75 participants and 16 controls in the data with differing numbers of visits during baseline, year 1, year 2 and year 3. Only those who were followed at least 3 years were included in this analysis. Baseline visit was indicated by clinician. Visits were categorized into 12 visit windows ±1.5 months around target visit times (three month intervals after baseline). Up to 3 years of data were analyzed. If there was more than one visit in a window, the visit nearest to the target was selected. The last visit of each year was utilized for descriptive statistics and analyses.</w:t>
      </w:r>
    </w:p>
    <w:p>
      <w:pPr>
        <w:pStyle w:val="BodyText"/>
      </w:pPr>
      <w:r>
        <w:t xml:space="preserve">If a participant was less than 12 years of age during year 1 and transitioned to greater than or equal to 12 years of age during that year, the participant was considered less than 12 years old during the entirety of year 1. If a participant was less than 12 years old during year 2 and transitioned to greater than or equal to 12 years old during that year, the participant was considered less than 12 years old during the entirety of year 2. The same was done for year 3 age categories. The checks per day variable was only reported for patients who were never on CGM during a given year.</w:t>
      </w:r>
      <w:r>
        <w:t xml:space="preserve"> </w:t>
      </w:r>
      <w:r>
        <w:t xml:space="preserve">Descriptive statistics were obtained for A1c and checks per day. The summary was stratified by treatment group and age group (&lt;12 years old, ???12 years old).</w:t>
      </w:r>
      <w:r>
        <w:br w:type="textWrapping"/>
      </w:r>
      <w:r>
        <w:t xml:space="preserve">Linear mixed effects models were used to test whether there was a significant difference in the trend of A1c from baseline to year 3 by treatment group, after adjusting for age category, diabetes duration, and technology type (CGM only, Pump only, neither, or both). Least squares were used to test for whether there was a significant difference in A1c between treatment groups at baseline, year 1, year 2, and year 3. As a sensitivity analysis, the model was also fit separately for each age group. The linear mixed effects models were repeated for the outcome of checks per day, to test if there was a difference between LP and control patients in terms of checks per day during each year of the program.</w:t>
      </w:r>
    </w:p>
    <w:p>
      <w:pPr>
        <w:pStyle w:val="BodyText"/>
      </w:pPr>
      <w:r>
        <w:t xml:space="preserve">Descriptive statistics for pump usage and CGM use by time period, age category, and treatment group were obtained. If a participant ever used a pump during a time period, pump usage was considered to be</w:t>
      </w:r>
      <w:r>
        <w:t xml:space="preserve"> </w:t>
      </w:r>
      <w:r>
        <w:t xml:space="preserve">‘</w:t>
      </w:r>
      <w:r>
        <w:t xml:space="preserve">Yes.</w:t>
      </w:r>
      <w:r>
        <w:t xml:space="preserve">’</w:t>
      </w:r>
      <w:r>
        <w:t xml:space="preserve"> </w:t>
      </w:r>
      <w:r>
        <w:t xml:space="preserve">If a participant never used a pump during a visit for a time period, pump usage was considered to be</w:t>
      </w:r>
      <w:r>
        <w:t xml:space="preserve"> </w:t>
      </w:r>
      <w:r>
        <w:t xml:space="preserve">‘</w:t>
      </w:r>
      <w:r>
        <w:t xml:space="preserve">No.</w:t>
      </w:r>
      <w:r>
        <w:t xml:space="preserve">’</w:t>
      </w:r>
      <w:r>
        <w:t xml:space="preserve"> </w:t>
      </w:r>
      <w:r>
        <w:t xml:space="preserve">The same logic was used for CGM use. A frequency and percent of pump usage and CGM usage for participants during baseline, year1, year 2, and year 3 were obtained by age cohort. Using all patients that had both baseline and year 3 pump/CGM data, a paired t-test reported whether there was significant change in usage from baseline to year 3.</w:t>
      </w:r>
    </w:p>
    <w:p>
      <w:pPr>
        <w:pStyle w:val="Heading1"/>
      </w:pPr>
      <w:bookmarkStart w:id="22" w:name="summary-statistics"/>
      <w:bookmarkEnd w:id="22"/>
      <w:r>
        <w:t xml:space="preserve">Summary Statistics</w:t>
      </w:r>
    </w:p>
    <w:p>
      <w:pPr>
        <w:pStyle w:val="FirstParagraph"/>
      </w:pPr>
      <w:r>
        <w:rPr>
          <w:b/>
        </w:rPr>
        <w:t xml:space="preserve">Table 1a: . Descriptive statistics for Latino Program group by year (of last value per time period)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Baseline</w:t>
            </w:r>
          </w:p>
        </w:tc>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Year2</w:t>
            </w:r>
          </w:p>
        </w:tc>
        <w:tc>
          <w:tcPr>
            <w:tcBorders>
              <w:bottom w:val="single"/>
            </w:tcBorders>
            <w:vAlign w:val="bottom"/>
          </w:tcPr>
          <w:p>
            <w:pPr>
              <w:pStyle w:val="Compact"/>
              <w:jc w:val="left"/>
            </w:pPr>
            <w:r>
              <w:t xml:space="preserve">Year3</w:t>
            </w:r>
          </w:p>
        </w:tc>
      </w:tr>
      <w:tr>
        <w:tc>
          <w:p>
            <w:pPr>
              <w:pStyle w:val="Compact"/>
              <w:jc w:val="left"/>
            </w:pPr>
            <w:r>
              <w:rPr>
                <w:b/>
              </w:rPr>
              <w:t xml:space="preserve">A1C - Last Measure in Year</w:t>
            </w:r>
          </w:p>
        </w:tc>
        <w:tc>
          <w:p>
            <w:pPr>
              <w:pStyle w:val="Compact"/>
              <w:jc w:val="left"/>
            </w:pPr>
            <w:r>
              <w:t xml:space="preserve">9.66±2.36</w:t>
            </w:r>
          </w:p>
        </w:tc>
        <w:tc>
          <w:p>
            <w:pPr>
              <w:pStyle w:val="Compact"/>
              <w:jc w:val="left"/>
            </w:pPr>
            <w:r>
              <w:t xml:space="preserve">9.53±2.12</w:t>
            </w:r>
          </w:p>
        </w:tc>
        <w:tc>
          <w:p>
            <w:pPr>
              <w:pStyle w:val="Compact"/>
              <w:jc w:val="left"/>
            </w:pPr>
            <w:r>
              <w:t xml:space="preserve">10.22±2.46</w:t>
            </w:r>
          </w:p>
        </w:tc>
        <w:tc>
          <w:p>
            <w:pPr>
              <w:pStyle w:val="Compact"/>
              <w:jc w:val="left"/>
            </w:pPr>
            <w:r>
              <w:t xml:space="preserve">10.21±2.2</w:t>
            </w:r>
          </w:p>
        </w:tc>
      </w:tr>
      <w:tr>
        <w:tc>
          <w:p>
            <w:pPr>
              <w:pStyle w:val="Compact"/>
              <w:jc w:val="left"/>
            </w:pPr>
            <w:r>
              <w:t xml:space="preserve">n</w:t>
            </w:r>
          </w:p>
        </w:tc>
        <w:tc>
          <w:p>
            <w:pPr>
              <w:pStyle w:val="Compact"/>
              <w:jc w:val="left"/>
            </w:pPr>
            <w:r>
              <w:t xml:space="preserve">74</w:t>
            </w:r>
          </w:p>
        </w:tc>
        <w:tc>
          <w:p>
            <w:pPr>
              <w:pStyle w:val="Compact"/>
              <w:jc w:val="left"/>
            </w:pPr>
            <w:r>
              <w:t xml:space="preserve">74</w:t>
            </w:r>
          </w:p>
        </w:tc>
        <w:tc>
          <w:p>
            <w:pPr>
              <w:pStyle w:val="Compact"/>
              <w:jc w:val="left"/>
            </w:pPr>
            <w:r>
              <w:t xml:space="preserve">74</w:t>
            </w:r>
          </w:p>
        </w:tc>
        <w:tc>
          <w:p>
            <w:pPr>
              <w:pStyle w:val="Compact"/>
              <w:jc w:val="left"/>
            </w:pPr>
            <w:r>
              <w:t xml:space="preserve">75</w:t>
            </w:r>
          </w:p>
        </w:tc>
      </w:tr>
      <w:tr>
        <w:tc>
          <w:p>
            <w:pPr>
              <w:pStyle w:val="Compact"/>
              <w:jc w:val="left"/>
            </w:pPr>
            <w:r>
              <w:rPr>
                <w:b/>
              </w:rPr>
              <w:t xml:space="preserve">Checks per Day - Last Measure in Year (CGM=No)</w:t>
            </w:r>
          </w:p>
        </w:tc>
        <w:tc>
          <w:p>
            <w:pPr>
              <w:pStyle w:val="Compact"/>
              <w:jc w:val="left"/>
            </w:pPr>
            <w:r>
              <w:t xml:space="preserve">3.91±1.85</w:t>
            </w:r>
          </w:p>
        </w:tc>
        <w:tc>
          <w:p>
            <w:pPr>
              <w:pStyle w:val="Compact"/>
              <w:jc w:val="left"/>
            </w:pPr>
            <w:r>
              <w:t xml:space="preserve">3.78±2.18</w:t>
            </w:r>
          </w:p>
        </w:tc>
        <w:tc>
          <w:p>
            <w:pPr>
              <w:pStyle w:val="Compact"/>
              <w:jc w:val="left"/>
            </w:pPr>
            <w:r>
              <w:t xml:space="preserve">3.97±2.28</w:t>
            </w:r>
          </w:p>
        </w:tc>
        <w:tc>
          <w:p>
            <w:pPr>
              <w:pStyle w:val="Compact"/>
              <w:jc w:val="left"/>
            </w:pPr>
            <w:r>
              <w:t xml:space="preserve">3.29±2.14</w:t>
            </w:r>
          </w:p>
        </w:tc>
      </w:tr>
      <w:tr>
        <w:tc>
          <w:p>
            <w:pPr>
              <w:pStyle w:val="Compact"/>
              <w:jc w:val="left"/>
            </w:pPr>
            <w:r>
              <w:t xml:space="preserve">n</w:t>
            </w:r>
          </w:p>
        </w:tc>
        <w:tc>
          <w:p>
            <w:pPr>
              <w:pStyle w:val="Compact"/>
              <w:jc w:val="left"/>
            </w:pPr>
            <w:r>
              <w:t xml:space="preserve">74</w:t>
            </w:r>
          </w:p>
        </w:tc>
        <w:tc>
          <w:p>
            <w:pPr>
              <w:pStyle w:val="Compact"/>
              <w:jc w:val="left"/>
            </w:pPr>
            <w:r>
              <w:t xml:space="preserve">71</w:t>
            </w:r>
          </w:p>
        </w:tc>
        <w:tc>
          <w:p>
            <w:pPr>
              <w:pStyle w:val="Compact"/>
              <w:jc w:val="left"/>
            </w:pPr>
            <w:r>
              <w:t xml:space="preserve">63</w:t>
            </w:r>
          </w:p>
        </w:tc>
        <w:tc>
          <w:p>
            <w:pPr>
              <w:pStyle w:val="Compact"/>
              <w:jc w:val="left"/>
            </w:pPr>
            <w:r>
              <w:t xml:space="preserve">48</w:t>
            </w:r>
          </w:p>
        </w:tc>
      </w:tr>
    </w:tbl>
    <w:p>
      <w:pPr>
        <w:pStyle w:val="BodyText"/>
      </w:pPr>
      <w:r>
        <w:rPr>
          <w:b/>
        </w:rPr>
        <w:t xml:space="preserve">Table 1b:. Descriptive statistics for Control group by year (of last value per time period)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Baseline</w:t>
            </w:r>
          </w:p>
        </w:tc>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Year2</w:t>
            </w:r>
          </w:p>
        </w:tc>
        <w:tc>
          <w:tcPr>
            <w:tcBorders>
              <w:bottom w:val="single"/>
            </w:tcBorders>
            <w:vAlign w:val="bottom"/>
          </w:tcPr>
          <w:p>
            <w:pPr>
              <w:pStyle w:val="Compact"/>
              <w:jc w:val="left"/>
            </w:pPr>
            <w:r>
              <w:t xml:space="preserve">Year3</w:t>
            </w:r>
          </w:p>
        </w:tc>
      </w:tr>
      <w:tr>
        <w:tc>
          <w:p>
            <w:pPr>
              <w:pStyle w:val="Compact"/>
              <w:jc w:val="left"/>
            </w:pPr>
            <w:r>
              <w:rPr>
                <w:b/>
              </w:rPr>
              <w:t xml:space="preserve">A1C - Last Measure in Year</w:t>
            </w:r>
          </w:p>
        </w:tc>
        <w:tc>
          <w:p>
            <w:pPr>
              <w:pStyle w:val="Compact"/>
              <w:jc w:val="left"/>
            </w:pPr>
            <w:r>
              <w:t xml:space="preserve">9.15±1.63</w:t>
            </w:r>
          </w:p>
        </w:tc>
        <w:tc>
          <w:p>
            <w:pPr>
              <w:pStyle w:val="Compact"/>
              <w:jc w:val="left"/>
            </w:pPr>
            <w:r>
              <w:t xml:space="preserve">8.99±1.43</w:t>
            </w:r>
          </w:p>
        </w:tc>
        <w:tc>
          <w:p>
            <w:pPr>
              <w:pStyle w:val="Compact"/>
              <w:jc w:val="left"/>
            </w:pPr>
            <w:r>
              <w:t xml:space="preserve">9.27±1.92</w:t>
            </w:r>
          </w:p>
        </w:tc>
        <w:tc>
          <w:p>
            <w:pPr>
              <w:pStyle w:val="Compact"/>
              <w:jc w:val="left"/>
            </w:pPr>
            <w:r>
              <w:t xml:space="preserve">9.9±1.78</w:t>
            </w:r>
          </w:p>
        </w:tc>
      </w:tr>
      <w:tr>
        <w:tc>
          <w:p>
            <w:pPr>
              <w:pStyle w:val="Compact"/>
              <w:jc w:val="left"/>
            </w:pPr>
            <w:r>
              <w:t xml:space="preserve">n</w:t>
            </w:r>
          </w:p>
        </w:tc>
        <w:tc>
          <w:p>
            <w:pPr>
              <w:pStyle w:val="Compact"/>
              <w:jc w:val="left"/>
            </w:pPr>
            <w:r>
              <w:t xml:space="preserve">16</w:t>
            </w:r>
          </w:p>
        </w:tc>
        <w:tc>
          <w:p>
            <w:pPr>
              <w:pStyle w:val="Compact"/>
              <w:jc w:val="left"/>
            </w:pPr>
            <w:r>
              <w:t xml:space="preserve">15</w:t>
            </w:r>
          </w:p>
        </w:tc>
        <w:tc>
          <w:p>
            <w:pPr>
              <w:pStyle w:val="Compact"/>
              <w:jc w:val="left"/>
            </w:pPr>
            <w:r>
              <w:t xml:space="preserve">16</w:t>
            </w:r>
          </w:p>
        </w:tc>
        <w:tc>
          <w:p>
            <w:pPr>
              <w:pStyle w:val="Compact"/>
              <w:jc w:val="left"/>
            </w:pPr>
            <w:r>
              <w:t xml:space="preserve">16</w:t>
            </w:r>
          </w:p>
        </w:tc>
      </w:tr>
      <w:tr>
        <w:tc>
          <w:p>
            <w:pPr>
              <w:pStyle w:val="Compact"/>
              <w:jc w:val="left"/>
            </w:pPr>
            <w:r>
              <w:rPr>
                <w:b/>
              </w:rPr>
              <w:t xml:space="preserve">Checks per Day - Last Measure in Year (CGM=No)</w:t>
            </w:r>
          </w:p>
        </w:tc>
        <w:tc>
          <w:p>
            <w:pPr>
              <w:pStyle w:val="Compact"/>
              <w:jc w:val="left"/>
            </w:pPr>
            <w:r>
              <w:t xml:space="preserve">3.88±1.68</w:t>
            </w:r>
          </w:p>
        </w:tc>
        <w:tc>
          <w:p>
            <w:pPr>
              <w:pStyle w:val="Compact"/>
              <w:jc w:val="left"/>
            </w:pPr>
            <w:r>
              <w:t xml:space="preserve">3.51±1.81</w:t>
            </w:r>
          </w:p>
        </w:tc>
        <w:tc>
          <w:p>
            <w:pPr>
              <w:pStyle w:val="Compact"/>
              <w:jc w:val="left"/>
            </w:pPr>
            <w:r>
              <w:t xml:space="preserve">3.89±2.13</w:t>
            </w:r>
          </w:p>
        </w:tc>
        <w:tc>
          <w:p>
            <w:pPr>
              <w:pStyle w:val="Compact"/>
              <w:jc w:val="left"/>
            </w:pPr>
            <w:r>
              <w:t xml:space="preserve">3.57±2.3</w:t>
            </w:r>
          </w:p>
        </w:tc>
      </w:tr>
      <w:tr>
        <w:tc>
          <w:p>
            <w:pPr>
              <w:pStyle w:val="Compact"/>
              <w:jc w:val="left"/>
            </w:pPr>
            <w:r>
              <w:t xml:space="preserve">n</w:t>
            </w:r>
          </w:p>
        </w:tc>
        <w:tc>
          <w:p>
            <w:pPr>
              <w:pStyle w:val="Compact"/>
              <w:jc w:val="left"/>
            </w:pPr>
            <w:r>
              <w:t xml:space="preserve">16</w:t>
            </w:r>
          </w:p>
        </w:tc>
        <w:tc>
          <w:p>
            <w:pPr>
              <w:pStyle w:val="Compact"/>
              <w:jc w:val="left"/>
            </w:pPr>
            <w:r>
              <w:t xml:space="preserve">15</w:t>
            </w:r>
          </w:p>
        </w:tc>
        <w:tc>
          <w:p>
            <w:pPr>
              <w:pStyle w:val="Compact"/>
              <w:jc w:val="left"/>
            </w:pPr>
            <w:r>
              <w:t xml:space="preserve">15</w:t>
            </w:r>
          </w:p>
        </w:tc>
        <w:tc>
          <w:p>
            <w:pPr>
              <w:pStyle w:val="Compact"/>
              <w:jc w:val="left"/>
            </w:pPr>
            <w:r>
              <w:t xml:space="preserve">12</w:t>
            </w:r>
          </w:p>
        </w:tc>
      </w:tr>
    </w:tbl>
    <w:p>
      <w:pPr>
        <w:pStyle w:val="BodyText"/>
      </w:pPr>
      <w:r>
        <w:t xml:space="preserve">Table 1 presents descriptive statistics of A1c and Checks per Day by time period, regardless of age group category.</w:t>
      </w:r>
    </w:p>
    <w:p>
      <w:pPr>
        <w:pStyle w:val="BodyText"/>
      </w:pPr>
      <w:r>
        <w:rPr>
          <w:b/>
        </w:rPr>
        <w:t xml:space="preserve">Table 2. A1c and BMI Descriptive Statistics by year, age category and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ControlYoung</w:t>
            </w:r>
          </w:p>
        </w:tc>
        <w:tc>
          <w:tcPr>
            <w:tcBorders>
              <w:bottom w:val="single"/>
            </w:tcBorders>
            <w:vAlign w:val="bottom"/>
          </w:tcPr>
          <w:p>
            <w:pPr>
              <w:pStyle w:val="Compact"/>
              <w:jc w:val="left"/>
            </w:pPr>
            <w:r>
              <w:t xml:space="preserve">ControlOld</w:t>
            </w:r>
          </w:p>
        </w:tc>
        <w:tc>
          <w:tcPr>
            <w:tcBorders>
              <w:bottom w:val="single"/>
            </w:tcBorders>
            <w:vAlign w:val="bottom"/>
          </w:tcPr>
          <w:p>
            <w:pPr>
              <w:pStyle w:val="Compact"/>
              <w:jc w:val="left"/>
            </w:pPr>
            <w:r>
              <w:t xml:space="preserve">TrtYoung</w:t>
            </w:r>
          </w:p>
        </w:tc>
        <w:tc>
          <w:tcPr>
            <w:tcBorders>
              <w:bottom w:val="single"/>
            </w:tcBorders>
            <w:vAlign w:val="bottom"/>
          </w:tcPr>
          <w:p>
            <w:pPr>
              <w:pStyle w:val="Compact"/>
              <w:jc w:val="left"/>
            </w:pPr>
            <w:r>
              <w:t xml:space="preserve">TrtOld</w:t>
            </w:r>
          </w:p>
        </w:tc>
      </w:tr>
      <w:tr>
        <w:tc>
          <w:p>
            <w:pPr>
              <w:pStyle w:val="Compact"/>
              <w:jc w:val="left"/>
            </w:pPr>
            <w:r>
              <w:t xml:space="preserve">Base1: A1C - Last Measure in Year</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8.44±0.75</w:t>
            </w:r>
          </w:p>
        </w:tc>
        <w:tc>
          <w:p>
            <w:pPr>
              <w:pStyle w:val="Compact"/>
              <w:jc w:val="left"/>
            </w:pPr>
            <w:r>
              <w:t xml:space="preserve">9.473±1.843</w:t>
            </w:r>
          </w:p>
        </w:tc>
        <w:tc>
          <w:p>
            <w:pPr>
              <w:pStyle w:val="Compact"/>
              <w:jc w:val="left"/>
            </w:pPr>
            <w:r>
              <w:t xml:space="preserve">9.218±2.062</w:t>
            </w:r>
          </w:p>
        </w:tc>
        <w:tc>
          <w:p>
            <w:pPr>
              <w:pStyle w:val="Compact"/>
              <w:jc w:val="left"/>
            </w:pPr>
            <w:r>
              <w:t xml:space="preserve">10.012±2.548</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A1C - Last Measure in Year</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8.96±0.321</w:t>
            </w:r>
          </w:p>
        </w:tc>
        <w:tc>
          <w:p>
            <w:pPr>
              <w:pStyle w:val="Compact"/>
              <w:jc w:val="left"/>
            </w:pPr>
            <w:r>
              <w:t xml:space="preserve">9±1.767</w:t>
            </w:r>
          </w:p>
        </w:tc>
        <w:tc>
          <w:p>
            <w:pPr>
              <w:pStyle w:val="Compact"/>
              <w:jc w:val="left"/>
            </w:pPr>
            <w:r>
              <w:t xml:space="preserve">8.727±1.625</w:t>
            </w:r>
          </w:p>
        </w:tc>
        <w:tc>
          <w:p>
            <w:pPr>
              <w:pStyle w:val="Compact"/>
              <w:jc w:val="left"/>
            </w:pPr>
            <w:r>
              <w:t xml:space="preserve">10.168±2.262</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A1C - Last Measure in Year</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9.32±1.704</w:t>
            </w:r>
          </w:p>
        </w:tc>
        <w:tc>
          <w:p>
            <w:pPr>
              <w:pStyle w:val="Compact"/>
              <w:jc w:val="left"/>
            </w:pPr>
            <w:r>
              <w:t xml:space="preserve">9.245±2.096</w:t>
            </w:r>
          </w:p>
        </w:tc>
        <w:tc>
          <w:p>
            <w:pPr>
              <w:pStyle w:val="Compact"/>
              <w:jc w:val="left"/>
            </w:pPr>
            <w:r>
              <w:t xml:space="preserve">8.773±1.739</w:t>
            </w:r>
          </w:p>
        </w:tc>
        <w:tc>
          <w:p>
            <w:pPr>
              <w:pStyle w:val="Compact"/>
              <w:jc w:val="left"/>
            </w:pPr>
            <w:r>
              <w:t xml:space="preserve">10.827±2.477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A1C - Last Measure in Year</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9.3±0.992</w:t>
            </w:r>
          </w:p>
        </w:tc>
        <w:tc>
          <w:p>
            <w:pPr>
              <w:pStyle w:val="Compact"/>
              <w:jc w:val="left"/>
            </w:pPr>
            <w:r>
              <w:t xml:space="preserve">10.168±2.019</w:t>
            </w:r>
          </w:p>
        </w:tc>
        <w:tc>
          <w:p>
            <w:pPr>
              <w:pStyle w:val="Compact"/>
              <w:jc w:val="left"/>
            </w:pPr>
            <w:r>
              <w:t xml:space="preserve">8.556±0.577</w:t>
            </w:r>
          </w:p>
        </w:tc>
        <w:tc>
          <w:p>
            <w:pPr>
              <w:pStyle w:val="Compact"/>
              <w:jc w:val="left"/>
            </w:pPr>
            <w:r>
              <w:t xml:space="preserve">10.656±2.27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r>
        <w:tc>
          <w:p>
            <w:pPr>
              <w:pStyle w:val="Compact"/>
              <w:jc w:val="left"/>
            </w:pPr>
            <w:r>
              <w:t xml:space="preserve">Base1: Checks per Day - Last Measure in Year (CGM=No)</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5.24±1.694</w:t>
            </w:r>
          </w:p>
        </w:tc>
        <w:tc>
          <w:p>
            <w:pPr>
              <w:pStyle w:val="Compact"/>
              <w:jc w:val="left"/>
            </w:pPr>
            <w:r>
              <w:t xml:space="preserve">3.264±1.328</w:t>
            </w:r>
          </w:p>
        </w:tc>
        <w:tc>
          <w:p>
            <w:pPr>
              <w:pStyle w:val="Compact"/>
              <w:jc w:val="left"/>
            </w:pPr>
            <w:r>
              <w:t xml:space="preserve">4.606±1.562</w:t>
            </w:r>
          </w:p>
        </w:tc>
        <w:tc>
          <w:p>
            <w:pPr>
              <w:pStyle w:val="Compact"/>
              <w:jc w:val="left"/>
            </w:pPr>
            <w:r>
              <w:t xml:space="preserve">3.341±1.883</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Checks per Day - Last Measure in Year (CGM=No)</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4.3±2.791</w:t>
            </w:r>
          </w:p>
        </w:tc>
        <w:tc>
          <w:p>
            <w:pPr>
              <w:pStyle w:val="Compact"/>
              <w:jc w:val="left"/>
            </w:pPr>
            <w:r>
              <w:t xml:space="preserve">3.11±1.046</w:t>
            </w:r>
          </w:p>
        </w:tc>
        <w:tc>
          <w:p>
            <w:pPr>
              <w:pStyle w:val="Compact"/>
              <w:jc w:val="left"/>
            </w:pPr>
            <w:r>
              <w:t xml:space="preserve">5.16±2.053</w:t>
            </w:r>
          </w:p>
        </w:tc>
        <w:tc>
          <w:p>
            <w:pPr>
              <w:pStyle w:val="Compact"/>
              <w:jc w:val="left"/>
            </w:pPr>
            <w:r>
              <w:t xml:space="preserve">2.774±1.663</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Checks per Day - Last Measure in Year (CGM=No)</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4.36±1.466</w:t>
            </w:r>
          </w:p>
        </w:tc>
        <w:tc>
          <w:p>
            <w:pPr>
              <w:pStyle w:val="Compact"/>
              <w:jc w:val="left"/>
            </w:pPr>
            <w:r>
              <w:t xml:space="preserve">3.65±2.427</w:t>
            </w:r>
          </w:p>
        </w:tc>
        <w:tc>
          <w:p>
            <w:pPr>
              <w:pStyle w:val="Compact"/>
              <w:jc w:val="left"/>
            </w:pPr>
            <w:r>
              <w:t xml:space="preserve">5.917±2.345</w:t>
            </w:r>
          </w:p>
        </w:tc>
        <w:tc>
          <w:p>
            <w:pPr>
              <w:pStyle w:val="Compact"/>
              <w:jc w:val="left"/>
            </w:pPr>
            <w:r>
              <w:t xml:space="preserve">3.187±1.736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Checks per Day - Last Measure in Year (CGM=No)</w:t>
            </w:r>
          </w:p>
        </w:tc>
        <w:tc>
          <w:p>
            <w:pPr>
              <w:pStyle w:val="Compact"/>
            </w:pPr>
          </w:p>
        </w:tc>
        <w:tc>
          <w:p>
            <w:pPr>
              <w:pStyle w:val="Compact"/>
            </w:pPr>
          </w:p>
        </w:tc>
        <w:tc>
          <w:p>
            <w:pPr>
              <w:pStyle w:val="Compact"/>
            </w:pPr>
          </w:p>
        </w:tc>
        <w:tc>
          <w:p>
            <w:pPr>
              <w:pStyle w:val="Compact"/>
            </w:pPr>
          </w:p>
        </w:tc>
      </w:tr>
      <w:tr>
        <w:tc>
          <w:p>
            <w:pPr>
              <w:pStyle w:val="Compact"/>
              <w:jc w:val="left"/>
            </w:pPr>
            <w:r>
              <w:t xml:space="preserve">mean±sd</w:t>
            </w:r>
          </w:p>
        </w:tc>
        <w:tc>
          <w:p>
            <w:pPr>
              <w:pStyle w:val="Compact"/>
              <w:jc w:val="left"/>
            </w:pPr>
            <w:r>
              <w:t xml:space="preserve">5.067±4.02</w:t>
            </w:r>
          </w:p>
        </w:tc>
        <w:tc>
          <w:p>
            <w:pPr>
              <w:pStyle w:val="Compact"/>
              <w:jc w:val="left"/>
            </w:pPr>
            <w:r>
              <w:t xml:space="preserve">3.067±1.459</w:t>
            </w:r>
          </w:p>
        </w:tc>
        <w:tc>
          <w:p>
            <w:pPr>
              <w:pStyle w:val="Compact"/>
              <w:jc w:val="left"/>
            </w:pPr>
            <w:r>
              <w:t xml:space="preserve">5.3±2.447</w:t>
            </w:r>
          </w:p>
        </w:tc>
        <w:tc>
          <w:p>
            <w:pPr>
              <w:pStyle w:val="Compact"/>
              <w:jc w:val="left"/>
            </w:pPr>
            <w:r>
              <w:t xml:space="preserve">3.001±1.96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bl>
    <w:p>
      <w:pPr>
        <w:pStyle w:val="BodyText"/>
      </w:pPr>
      <w:r>
        <w:t xml:space="preserve">Table 2 presents descriptive statistics of A1c and Checks per Day by treatment group, time period and age category.</w:t>
      </w:r>
    </w:p>
    <w:p>
      <w:pPr>
        <w:pStyle w:val="Heading1"/>
      </w:pPr>
      <w:bookmarkStart w:id="23" w:name="a1c-results"/>
      <w:bookmarkEnd w:id="23"/>
      <w:r>
        <w:t xml:space="preserve">A1C Results</w:t>
      </w:r>
    </w:p>
    <w:p>
      <w:pPr>
        <w:pStyle w:val="FirstParagraph"/>
      </w:pPr>
      <w:r>
        <w:rPr>
          <w:b/>
        </w:rPr>
        <w:t xml:space="preserve">Table 3a. A1c Over Time: WHOLE COHORT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5.073</w:t>
            </w:r>
          </w:p>
        </w:tc>
        <w:tc>
          <w:p>
            <w:pPr>
              <w:pStyle w:val="Compact"/>
              <w:jc w:val="left"/>
            </w:pPr>
            <w:r>
              <w:t xml:space="preserve">0.814</w:t>
            </w:r>
          </w:p>
        </w:tc>
        <w:tc>
          <w:p>
            <w:pPr>
              <w:pStyle w:val="Compact"/>
              <w:jc w:val="left"/>
            </w:pPr>
            <w:r>
              <w:t xml:space="preserve">0.000</w:t>
            </w:r>
          </w:p>
        </w:tc>
      </w:tr>
      <w:tr>
        <w:tc>
          <w:p>
            <w:pPr>
              <w:pStyle w:val="Compact"/>
              <w:jc w:val="left"/>
            </w:pPr>
            <w:r>
              <w:t xml:space="preserve">baseline_a1c</w:t>
            </w:r>
          </w:p>
        </w:tc>
        <w:tc>
          <w:p>
            <w:pPr>
              <w:pStyle w:val="Compact"/>
              <w:jc w:val="left"/>
            </w:pPr>
            <w:r>
              <w:t xml:space="preserve">0.517</w:t>
            </w:r>
          </w:p>
        </w:tc>
        <w:tc>
          <w:p>
            <w:pPr>
              <w:pStyle w:val="Compact"/>
              <w:jc w:val="left"/>
            </w:pPr>
            <w:r>
              <w:t xml:space="preserve">0.057</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-0.702</w:t>
            </w:r>
          </w:p>
        </w:tc>
        <w:tc>
          <w:p>
            <w:pPr>
              <w:pStyle w:val="Compact"/>
              <w:jc w:val="left"/>
            </w:pPr>
            <w:r>
              <w:t xml:space="preserve">0.516</w:t>
            </w:r>
          </w:p>
        </w:tc>
        <w:tc>
          <w:p>
            <w:pPr>
              <w:pStyle w:val="Compact"/>
              <w:jc w:val="left"/>
            </w:pPr>
            <w:r>
              <w:t xml:space="preserve">0.175</w:t>
            </w:r>
          </w:p>
        </w:tc>
      </w:tr>
      <w:tr>
        <w:tc>
          <w:p>
            <w:pPr>
              <w:pStyle w:val="Compact"/>
              <w:jc w:val="left"/>
            </w:pPr>
            <w:r>
              <w:t xml:space="preserve">factor(yeargrouping)Year1</w:t>
            </w:r>
          </w:p>
        </w:tc>
        <w:tc>
          <w:p>
            <w:pPr>
              <w:pStyle w:val="Compact"/>
              <w:jc w:val="left"/>
            </w:pPr>
            <w:r>
              <w:t xml:space="preserve">-0.742</w:t>
            </w:r>
          </w:p>
        </w:tc>
        <w:tc>
          <w:p>
            <w:pPr>
              <w:pStyle w:val="Compact"/>
              <w:jc w:val="left"/>
            </w:pPr>
            <w:r>
              <w:t xml:space="preserve">0.525</w:t>
            </w:r>
          </w:p>
        </w:tc>
        <w:tc>
          <w:p>
            <w:pPr>
              <w:pStyle w:val="Compact"/>
              <w:jc w:val="left"/>
            </w:pPr>
            <w:r>
              <w:t xml:space="preserve">0.159</w:t>
            </w:r>
          </w:p>
        </w:tc>
      </w:tr>
      <w:tr>
        <w:tc>
          <w:p>
            <w:pPr>
              <w:pStyle w:val="Compact"/>
              <w:jc w:val="left"/>
            </w:pPr>
            <w:r>
              <w:t xml:space="preserve">factor(yeargrouping)Year2</w:t>
            </w:r>
          </w:p>
        </w:tc>
        <w:tc>
          <w:p>
            <w:pPr>
              <w:pStyle w:val="Compact"/>
              <w:jc w:val="left"/>
            </w:pPr>
            <w:r>
              <w:t xml:space="preserve">-0.544</w:t>
            </w:r>
          </w:p>
        </w:tc>
        <w:tc>
          <w:p>
            <w:pPr>
              <w:pStyle w:val="Compact"/>
              <w:jc w:val="left"/>
            </w:pPr>
            <w:r>
              <w:t xml:space="preserve">0.513</w:t>
            </w:r>
          </w:p>
        </w:tc>
        <w:tc>
          <w:p>
            <w:pPr>
              <w:pStyle w:val="Compact"/>
              <w:jc w:val="left"/>
            </w:pPr>
            <w:r>
              <w:t xml:space="preserve">0.290</w:t>
            </w:r>
          </w:p>
        </w:tc>
      </w:tr>
      <w:tr>
        <w:tc>
          <w:p>
            <w:pPr>
              <w:pStyle w:val="Compact"/>
              <w:jc w:val="left"/>
            </w:pPr>
            <w:r>
              <w:t xml:space="preserve">groupLess than 12</w:t>
            </w:r>
          </w:p>
        </w:tc>
        <w:tc>
          <w:p>
            <w:pPr>
              <w:pStyle w:val="Compact"/>
              <w:jc w:val="left"/>
            </w:pPr>
            <w:r>
              <w:t xml:space="preserve">-0.663</w:t>
            </w:r>
          </w:p>
        </w:tc>
        <w:tc>
          <w:p>
            <w:pPr>
              <w:pStyle w:val="Compact"/>
              <w:jc w:val="left"/>
            </w:pPr>
            <w:r>
              <w:t xml:space="preserve">0.271</w:t>
            </w:r>
          </w:p>
        </w:tc>
        <w:tc>
          <w:p>
            <w:pPr>
              <w:pStyle w:val="Compact"/>
              <w:jc w:val="left"/>
            </w:pPr>
            <w:r>
              <w:t xml:space="preserve">0.015</w:t>
            </w:r>
          </w:p>
        </w:tc>
      </w:tr>
      <w:tr>
        <w:tc>
          <w:p>
            <w:pPr>
              <w:pStyle w:val="Compact"/>
              <w:jc w:val="left"/>
            </w:pPr>
            <w:r>
              <w:t xml:space="preserve">factor(trt_grp)LP</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r>
        <w:tc>
          <w:p>
            <w:pPr>
              <w:pStyle w:val="Compact"/>
              <w:jc w:val="left"/>
            </w:pPr>
            <w:r>
              <w:t xml:space="preserve">duration_of_diagnosis</w:t>
            </w:r>
          </w:p>
        </w:tc>
        <w:tc>
          <w:p>
            <w:pPr>
              <w:pStyle w:val="Compact"/>
              <w:jc w:val="left"/>
            </w:pPr>
            <w:r>
              <w:t xml:space="preserve">0.030</w:t>
            </w:r>
          </w:p>
        </w:tc>
        <w:tc>
          <w:p>
            <w:pPr>
              <w:pStyle w:val="Compact"/>
              <w:jc w:val="left"/>
            </w:pPr>
            <w:r>
              <w:t xml:space="preserve">0.040</w:t>
            </w:r>
          </w:p>
        </w:tc>
        <w:tc>
          <w:p>
            <w:pPr>
              <w:pStyle w:val="Compact"/>
              <w:jc w:val="left"/>
            </w:pPr>
            <w:r>
              <w:t xml:space="preserve">0.455</w:t>
            </w:r>
          </w:p>
        </w:tc>
      </w:tr>
      <w:tr>
        <w:tc>
          <w:p>
            <w:pPr>
              <w:pStyle w:val="Compact"/>
              <w:jc w:val="left"/>
            </w:pPr>
            <w:r>
              <w:t xml:space="preserve">technology_type_inyearCGM and Pump</w:t>
            </w:r>
          </w:p>
        </w:tc>
        <w:tc>
          <w:p>
            <w:pPr>
              <w:pStyle w:val="Compact"/>
              <w:jc w:val="left"/>
            </w:pPr>
            <w:r>
              <w:t xml:space="preserve">0.167</w:t>
            </w:r>
          </w:p>
        </w:tc>
        <w:tc>
          <w:p>
            <w:pPr>
              <w:pStyle w:val="Compact"/>
              <w:jc w:val="left"/>
            </w:pPr>
            <w:r>
              <w:t xml:space="preserve">0.389</w:t>
            </w:r>
          </w:p>
        </w:tc>
        <w:tc>
          <w:p>
            <w:pPr>
              <w:pStyle w:val="Compact"/>
              <w:jc w:val="left"/>
            </w:pPr>
            <w:r>
              <w:t xml:space="preserve">0.668</w:t>
            </w:r>
          </w:p>
        </w:tc>
      </w:tr>
      <w:tr>
        <w:tc>
          <w:p>
            <w:pPr>
              <w:pStyle w:val="Compact"/>
              <w:jc w:val="left"/>
            </w:pPr>
            <w:r>
              <w:t xml:space="preserve">technology_type_inyearCGM Only</w:t>
            </w:r>
          </w:p>
        </w:tc>
        <w:tc>
          <w:p>
            <w:pPr>
              <w:pStyle w:val="Compact"/>
              <w:jc w:val="left"/>
            </w:pPr>
            <w:r>
              <w:t xml:space="preserve">0.591</w:t>
            </w:r>
          </w:p>
        </w:tc>
        <w:tc>
          <w:p>
            <w:pPr>
              <w:pStyle w:val="Compact"/>
              <w:jc w:val="left"/>
            </w:pPr>
            <w:r>
              <w:t xml:space="preserve">0.412</w:t>
            </w:r>
          </w:p>
        </w:tc>
        <w:tc>
          <w:p>
            <w:pPr>
              <w:pStyle w:val="Compact"/>
              <w:jc w:val="left"/>
            </w:pPr>
            <w:r>
              <w:t xml:space="preserve">0.152</w:t>
            </w:r>
          </w:p>
        </w:tc>
      </w:tr>
      <w:tr>
        <w:tc>
          <w:p>
            <w:pPr>
              <w:pStyle w:val="Compact"/>
              <w:jc w:val="left"/>
            </w:pPr>
            <w:r>
              <w:t xml:space="preserve">technology_type_inyearPump Only</w:t>
            </w:r>
          </w:p>
        </w:tc>
        <w:tc>
          <w:p>
            <w:pPr>
              <w:pStyle w:val="Compact"/>
              <w:jc w:val="left"/>
            </w:pPr>
            <w:r>
              <w:t xml:space="preserve">-0.798</w:t>
            </w:r>
          </w:p>
        </w:tc>
        <w:tc>
          <w:p>
            <w:pPr>
              <w:pStyle w:val="Compact"/>
              <w:jc w:val="left"/>
            </w:pPr>
            <w:r>
              <w:t xml:space="preserve">0.266</w:t>
            </w:r>
          </w:p>
        </w:tc>
        <w:tc>
          <w:p>
            <w:pPr>
              <w:pStyle w:val="Compact"/>
              <w:jc w:val="left"/>
            </w:pPr>
            <w:r>
              <w:t xml:space="preserve">0.003</w:t>
            </w:r>
          </w:p>
        </w:tc>
      </w:tr>
      <w:tr>
        <w:tc>
          <w:p>
            <w:pPr>
              <w:pStyle w:val="Compact"/>
              <w:jc w:val="left"/>
            </w:pPr>
            <w:r>
              <w:t xml:space="preserve">factor(yeargrouping)Base1:factor(trt_grp)LP</w:t>
            </w:r>
          </w:p>
        </w:tc>
        <w:tc>
          <w:p>
            <w:pPr>
              <w:pStyle w:val="Compact"/>
              <w:jc w:val="left"/>
            </w:pPr>
            <w:r>
              <w:t xml:space="preserve">0.356</w:t>
            </w:r>
          </w:p>
        </w:tc>
        <w:tc>
          <w:p>
            <w:pPr>
              <w:pStyle w:val="Compact"/>
              <w:jc w:val="left"/>
            </w:pPr>
            <w:r>
              <w:t xml:space="preserve">0.566</w:t>
            </w:r>
          </w:p>
        </w:tc>
        <w:tc>
          <w:p>
            <w:pPr>
              <w:pStyle w:val="Compact"/>
              <w:jc w:val="left"/>
            </w:pPr>
            <w:r>
              <w:t xml:space="preserve">0.530</w:t>
            </w:r>
          </w:p>
        </w:tc>
      </w:tr>
      <w:tr>
        <w:tc>
          <w:p>
            <w:pPr>
              <w:pStyle w:val="Compact"/>
              <w:jc w:val="left"/>
            </w:pPr>
            <w:r>
              <w:t xml:space="preserve">factor(yeargrouping)Year1:factor(trt_grp)LP</w:t>
            </w:r>
          </w:p>
        </w:tc>
        <w:tc>
          <w:p>
            <w:pPr>
              <w:pStyle w:val="Compact"/>
              <w:jc w:val="left"/>
            </w:pPr>
            <w:r>
              <w:t xml:space="preserve">0.343</w:t>
            </w:r>
          </w:p>
        </w:tc>
        <w:tc>
          <w:p>
            <w:pPr>
              <w:pStyle w:val="Compact"/>
              <w:jc w:val="left"/>
            </w:pPr>
            <w:r>
              <w:t xml:space="preserve">0.574</w:t>
            </w:r>
          </w:p>
        </w:tc>
        <w:tc>
          <w:p>
            <w:pPr>
              <w:pStyle w:val="Compact"/>
              <w:jc w:val="left"/>
            </w:pPr>
            <w:r>
              <w:t xml:space="preserve">0.551</w:t>
            </w:r>
          </w:p>
        </w:tc>
      </w:tr>
      <w:tr>
        <w:tc>
          <w:p>
            <w:pPr>
              <w:pStyle w:val="Compact"/>
              <w:jc w:val="left"/>
            </w:pPr>
            <w:r>
              <w:t xml:space="preserve">factor(yeargrouping)Year2:factor(trt_grp)LP</w:t>
            </w:r>
          </w:p>
        </w:tc>
        <w:tc>
          <w:p>
            <w:pPr>
              <w:pStyle w:val="Compact"/>
              <w:jc w:val="left"/>
            </w:pPr>
            <w:r>
              <w:t xml:space="preserve">0.733</w:t>
            </w:r>
          </w:p>
        </w:tc>
        <w:tc>
          <w:p>
            <w:pPr>
              <w:pStyle w:val="Compact"/>
              <w:jc w:val="left"/>
            </w:pPr>
            <w:r>
              <w:t xml:space="preserve">0.564</w:t>
            </w:r>
          </w:p>
        </w:tc>
        <w:tc>
          <w:p>
            <w:pPr>
              <w:pStyle w:val="Compact"/>
              <w:jc w:val="left"/>
            </w:pPr>
            <w:r>
              <w:t xml:space="preserve">0.195</w:t>
            </w:r>
          </w:p>
        </w:tc>
      </w:tr>
    </w:tbl>
    <w:p>
      <w:pPr>
        <w:pStyle w:val="BodyText"/>
      </w:pPr>
      <w:r>
        <w:rPr>
          <w:b/>
        </w:rPr>
        <w:t xml:space="preserve">Table 3b: Difference between Latino Program and Control A1c at each timepoint: WHOLE COHORT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0.513</w:t>
            </w:r>
          </w:p>
        </w:tc>
        <w:tc>
          <w:p>
            <w:pPr>
              <w:pStyle w:val="Compact"/>
              <w:jc w:val="left"/>
            </w:pPr>
            <w:r>
              <w:t xml:space="preserve">0.504</w:t>
            </w:r>
          </w:p>
        </w:tc>
        <w:tc>
          <w:p>
            <w:pPr>
              <w:pStyle w:val="Compact"/>
              <w:jc w:val="left"/>
            </w:pPr>
            <w:r>
              <w:t xml:space="preserve">0.311</w:t>
            </w:r>
          </w:p>
        </w:tc>
      </w:tr>
      <w:tr>
        <w:tc>
          <w:p>
            <w:pPr>
              <w:pStyle w:val="Compact"/>
              <w:jc w:val="left"/>
            </w:pPr>
            <w:r>
              <w:t xml:space="preserve">c_year1</w:t>
            </w:r>
          </w:p>
        </w:tc>
        <w:tc>
          <w:p>
            <w:pPr>
              <w:pStyle w:val="Compact"/>
              <w:jc w:val="left"/>
            </w:pPr>
            <w:r>
              <w:t xml:space="preserve">0.500</w:t>
            </w:r>
          </w:p>
        </w:tc>
        <w:tc>
          <w:p>
            <w:pPr>
              <w:pStyle w:val="Compact"/>
              <w:jc w:val="left"/>
            </w:pPr>
            <w:r>
              <w:t xml:space="preserve">0.514</w:t>
            </w:r>
          </w:p>
        </w:tc>
        <w:tc>
          <w:p>
            <w:pPr>
              <w:pStyle w:val="Compact"/>
              <w:jc w:val="left"/>
            </w:pPr>
            <w:r>
              <w:t xml:space="preserve">0.333</w:t>
            </w:r>
          </w:p>
        </w:tc>
      </w:tr>
      <w:tr>
        <w:tc>
          <w:p>
            <w:pPr>
              <w:pStyle w:val="Compact"/>
              <w:jc w:val="left"/>
            </w:pPr>
            <w:r>
              <w:t xml:space="preserve">c_year2</w:t>
            </w:r>
          </w:p>
        </w:tc>
        <w:tc>
          <w:p>
            <w:pPr>
              <w:pStyle w:val="Compact"/>
              <w:jc w:val="left"/>
            </w:pPr>
            <w:r>
              <w:t xml:space="preserve">0.890</w:t>
            </w:r>
          </w:p>
        </w:tc>
        <w:tc>
          <w:p>
            <w:pPr>
              <w:pStyle w:val="Compact"/>
              <w:jc w:val="left"/>
            </w:pPr>
            <w:r>
              <w:t xml:space="preserve">0.513</w:t>
            </w:r>
          </w:p>
        </w:tc>
        <w:tc>
          <w:p>
            <w:pPr>
              <w:pStyle w:val="Compact"/>
              <w:jc w:val="left"/>
            </w:pPr>
            <w:r>
              <w:t xml:space="preserve">0.086</w:t>
            </w:r>
          </w:p>
        </w:tc>
      </w:tr>
      <w:tr>
        <w:tc>
          <w:p>
            <w:pPr>
              <w:pStyle w:val="Compact"/>
              <w:jc w:val="left"/>
            </w:pPr>
            <w:r>
              <w:t xml:space="preserve">c_year3</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bl>
    <w:p>
      <w:pPr>
        <w:pStyle w:val="BodyText"/>
      </w:pPr>
      <w:r>
        <w:t xml:space="preserve">Table 3A-3B show results of mixed effects modeling looking at whether there was a significant difference in A1c in Treatment and Control groups at baseline, year 1 and year 2 (table 3A), as well as results of specific contrasts of interest. There is not a significant difference in trend of A1c over time between groups (table 3A, p=0.64). There was no significant difference in A1c between groups at baseline, year 1 or year 2 (table 3B, p=xxx, p=xxx, p=xxx).</w:t>
      </w:r>
    </w:p>
    <w:p>
      <w:pPr>
        <w:pStyle w:val="BodyText"/>
      </w:pPr>
      <w:r>
        <w:rPr>
          <w:b/>
        </w:rPr>
        <w:t xml:space="preserve">Table 3c: Difference between Latino Program and Control A1c: &lt;12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0.582</w:t>
            </w:r>
          </w:p>
        </w:tc>
        <w:tc>
          <w:p>
            <w:pPr>
              <w:pStyle w:val="Compact"/>
              <w:jc w:val="left"/>
            </w:pPr>
            <w:r>
              <w:t xml:space="preserve">0.668</w:t>
            </w:r>
          </w:p>
        </w:tc>
        <w:tc>
          <w:p>
            <w:pPr>
              <w:pStyle w:val="Compact"/>
              <w:jc w:val="left"/>
            </w:pPr>
            <w:r>
              <w:t xml:space="preserve">0.390</w:t>
            </w:r>
          </w:p>
        </w:tc>
      </w:tr>
      <w:tr>
        <w:tc>
          <w:p>
            <w:pPr>
              <w:pStyle w:val="Compact"/>
              <w:jc w:val="left"/>
            </w:pPr>
            <w:r>
              <w:t xml:space="preserve">c_year1_young</w:t>
            </w:r>
          </w:p>
        </w:tc>
        <w:tc>
          <w:p>
            <w:pPr>
              <w:pStyle w:val="Compact"/>
              <w:jc w:val="left"/>
            </w:pPr>
            <w:r>
              <w:t xml:space="preserve">-0.418</w:t>
            </w:r>
          </w:p>
        </w:tc>
        <w:tc>
          <w:p>
            <w:pPr>
              <w:pStyle w:val="Compact"/>
              <w:jc w:val="left"/>
            </w:pPr>
            <w:r>
              <w:t xml:space="preserve">0.673</w:t>
            </w:r>
          </w:p>
        </w:tc>
        <w:tc>
          <w:p>
            <w:pPr>
              <w:pStyle w:val="Compact"/>
              <w:jc w:val="left"/>
            </w:pPr>
            <w:r>
              <w:t xml:space="preserve">0.538</w:t>
            </w:r>
          </w:p>
        </w:tc>
      </w:tr>
      <w:tr>
        <w:tc>
          <w:p>
            <w:pPr>
              <w:pStyle w:val="Compact"/>
              <w:jc w:val="left"/>
            </w:pPr>
            <w:r>
              <w:t xml:space="preserve">c_year2_young</w:t>
            </w:r>
          </w:p>
        </w:tc>
        <w:tc>
          <w:p>
            <w:pPr>
              <w:pStyle w:val="Compact"/>
              <w:jc w:val="left"/>
            </w:pPr>
            <w:r>
              <w:t xml:space="preserve">-0.634</w:t>
            </w:r>
          </w:p>
        </w:tc>
        <w:tc>
          <w:p>
            <w:pPr>
              <w:pStyle w:val="Compact"/>
              <w:jc w:val="left"/>
            </w:pPr>
            <w:r>
              <w:t xml:space="preserve">0.712</w:t>
            </w:r>
          </w:p>
        </w:tc>
        <w:tc>
          <w:p>
            <w:pPr>
              <w:pStyle w:val="Compact"/>
              <w:jc w:val="left"/>
            </w:pPr>
            <w:r>
              <w:t xml:space="preserve">0.380</w:t>
            </w:r>
          </w:p>
        </w:tc>
      </w:tr>
      <w:tr>
        <w:tc>
          <w:p>
            <w:pPr>
              <w:pStyle w:val="Compact"/>
              <w:jc w:val="left"/>
            </w:pPr>
            <w:r>
              <w:t xml:space="preserve">c_year3_young</w:t>
            </w:r>
          </w:p>
        </w:tc>
        <w:tc>
          <w:p>
            <w:pPr>
              <w:pStyle w:val="Compact"/>
              <w:jc w:val="left"/>
            </w:pPr>
            <w:r>
              <w:t xml:space="preserve">-1.203</w:t>
            </w:r>
          </w:p>
        </w:tc>
        <w:tc>
          <w:p>
            <w:pPr>
              <w:pStyle w:val="Compact"/>
              <w:jc w:val="left"/>
            </w:pPr>
            <w:r>
              <w:t xml:space="preserve">0.738</w:t>
            </w:r>
          </w:p>
        </w:tc>
        <w:tc>
          <w:p>
            <w:pPr>
              <w:pStyle w:val="Compact"/>
              <w:jc w:val="left"/>
            </w:pPr>
            <w:r>
              <w:t xml:space="preserve">0.112</w:t>
            </w:r>
          </w:p>
        </w:tc>
      </w:tr>
    </w:tbl>
    <w:p>
      <w:pPr>
        <w:pStyle w:val="BodyText"/>
      </w:pPr>
      <w:r>
        <w:t xml:space="preserve">There is not a significant difference in trend of A1c over time between groups (table 3A, p=0.304).</w:t>
      </w:r>
    </w:p>
    <w:p>
      <w:pPr>
        <w:pStyle w:val="BodyText"/>
      </w:pPr>
      <w:r>
        <w:rPr>
          <w:b/>
        </w:rPr>
        <w:t xml:space="preserve">Table 3d: Difference between Latino Program and Control A1c: 12+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0.240</w:t>
            </w:r>
          </w:p>
        </w:tc>
        <w:tc>
          <w:p>
            <w:pPr>
              <w:pStyle w:val="Compact"/>
              <w:jc w:val="left"/>
            </w:pPr>
            <w:r>
              <w:t xml:space="preserve">0.672</w:t>
            </w:r>
          </w:p>
        </w:tc>
        <w:tc>
          <w:p>
            <w:pPr>
              <w:pStyle w:val="Compact"/>
              <w:jc w:val="left"/>
            </w:pPr>
            <w:r>
              <w:t xml:space="preserve">0.723</w:t>
            </w:r>
          </w:p>
        </w:tc>
      </w:tr>
      <w:tr>
        <w:tc>
          <w:p>
            <w:pPr>
              <w:pStyle w:val="Compact"/>
              <w:jc w:val="left"/>
            </w:pPr>
            <w:r>
              <w:t xml:space="preserve">c_year1_old</w:t>
            </w:r>
          </w:p>
        </w:tc>
        <w:tc>
          <w:p>
            <w:pPr>
              <w:pStyle w:val="Compact"/>
              <w:jc w:val="left"/>
            </w:pPr>
            <w:r>
              <w:t xml:space="preserve">0.784</w:t>
            </w:r>
          </w:p>
        </w:tc>
        <w:tc>
          <w:p>
            <w:pPr>
              <w:pStyle w:val="Compact"/>
              <w:jc w:val="left"/>
            </w:pPr>
            <w:r>
              <w:t xml:space="preserve">0.688</w:t>
            </w:r>
          </w:p>
        </w:tc>
        <w:tc>
          <w:p>
            <w:pPr>
              <w:pStyle w:val="Compact"/>
              <w:jc w:val="left"/>
            </w:pPr>
            <w:r>
              <w:t xml:space="preserve">0.258</w:t>
            </w:r>
          </w:p>
        </w:tc>
      </w:tr>
      <w:tr>
        <w:tc>
          <w:p>
            <w:pPr>
              <w:pStyle w:val="Compact"/>
              <w:jc w:val="left"/>
            </w:pPr>
            <w:r>
              <w:t xml:space="preserve">c_year2_old</w:t>
            </w:r>
          </w:p>
        </w:tc>
        <w:tc>
          <w:p>
            <w:pPr>
              <w:pStyle w:val="Compact"/>
              <w:jc w:val="left"/>
            </w:pPr>
            <w:r>
              <w:t xml:space="preserve">1.463</w:t>
            </w:r>
          </w:p>
        </w:tc>
        <w:tc>
          <w:p>
            <w:pPr>
              <w:pStyle w:val="Compact"/>
              <w:jc w:val="left"/>
            </w:pPr>
            <w:r>
              <w:t xml:space="preserve">0.671</w:t>
            </w:r>
          </w:p>
        </w:tc>
        <w:tc>
          <w:p>
            <w:pPr>
              <w:pStyle w:val="Compact"/>
              <w:jc w:val="left"/>
            </w:pPr>
            <w:r>
              <w:t xml:space="preserve">0.033</w:t>
            </w:r>
          </w:p>
        </w:tc>
      </w:tr>
      <w:tr>
        <w:tc>
          <w:p>
            <w:pPr>
              <w:pStyle w:val="Compact"/>
              <w:jc w:val="left"/>
            </w:pPr>
            <w:r>
              <w:t xml:space="preserve">c_year3_old</w:t>
            </w:r>
          </w:p>
        </w:tc>
        <w:tc>
          <w:p>
            <w:pPr>
              <w:pStyle w:val="Compact"/>
              <w:jc w:val="left"/>
            </w:pPr>
            <w:r>
              <w:t xml:space="preserve">0.418</w:t>
            </w:r>
          </w:p>
        </w:tc>
        <w:tc>
          <w:p>
            <w:pPr>
              <w:pStyle w:val="Compact"/>
              <w:jc w:val="left"/>
            </w:pPr>
            <w:r>
              <w:t xml:space="preserve">0.662</w:t>
            </w:r>
          </w:p>
        </w:tc>
        <w:tc>
          <w:p>
            <w:pPr>
              <w:pStyle w:val="Compact"/>
              <w:jc w:val="left"/>
            </w:pPr>
            <w:r>
              <w:t xml:space="preserve">0.530</w:t>
            </w:r>
          </w:p>
        </w:tc>
      </w:tr>
    </w:tbl>
    <w:p>
      <w:pPr>
        <w:pStyle w:val="BodyText"/>
      </w:pPr>
      <w:r>
        <w:t xml:space="preserve">There is not a significant difference in trend of A1c over time between groups (table 3A, p=0.301).</w:t>
      </w:r>
    </w:p>
    <w:p>
      <w:pPr>
        <w:pStyle w:val="BodyText"/>
      </w:pPr>
      <w:r>
        <w:rPr>
          <w:b/>
        </w:rPr>
        <w:t xml:space="preserve">Table 3e: Difference between Latino Program and Control A1c: PUMP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0.432</w:t>
            </w:r>
          </w:p>
        </w:tc>
        <w:tc>
          <w:p>
            <w:pPr>
              <w:pStyle w:val="Compact"/>
              <w:jc w:val="left"/>
            </w:pPr>
            <w:r>
              <w:t xml:space="preserve">1.319</w:t>
            </w:r>
          </w:p>
        </w:tc>
        <w:tc>
          <w:p>
            <w:pPr>
              <w:pStyle w:val="Compact"/>
              <w:jc w:val="left"/>
            </w:pPr>
            <w:r>
              <w:t xml:space="preserve">0.745</w:t>
            </w:r>
          </w:p>
        </w:tc>
      </w:tr>
      <w:tr>
        <w:tc>
          <w:p>
            <w:pPr>
              <w:pStyle w:val="Compact"/>
              <w:jc w:val="left"/>
            </w:pPr>
            <w:r>
              <w:t xml:space="preserve">c_year1_pump</w:t>
            </w:r>
          </w:p>
        </w:tc>
        <w:tc>
          <w:p>
            <w:pPr>
              <w:pStyle w:val="Compact"/>
              <w:jc w:val="left"/>
            </w:pPr>
            <w:r>
              <w:t xml:space="preserve">0.764</w:t>
            </w:r>
          </w:p>
        </w:tc>
        <w:tc>
          <w:p>
            <w:pPr>
              <w:pStyle w:val="Compact"/>
              <w:jc w:val="left"/>
            </w:pPr>
            <w:r>
              <w:t xml:space="preserve">1.038</w:t>
            </w:r>
          </w:p>
        </w:tc>
        <w:tc>
          <w:p>
            <w:pPr>
              <w:pStyle w:val="Compact"/>
              <w:jc w:val="left"/>
            </w:pPr>
            <w:r>
              <w:t xml:space="preserve">0.467</w:t>
            </w:r>
          </w:p>
        </w:tc>
      </w:tr>
      <w:tr>
        <w:tc>
          <w:p>
            <w:pPr>
              <w:pStyle w:val="Compact"/>
              <w:jc w:val="left"/>
            </w:pPr>
            <w:r>
              <w:t xml:space="preserve">c_year2_pump</w:t>
            </w:r>
          </w:p>
        </w:tc>
        <w:tc>
          <w:p>
            <w:pPr>
              <w:pStyle w:val="Compact"/>
              <w:jc w:val="left"/>
            </w:pPr>
            <w:r>
              <w:t xml:space="preserve">-1.970</w:t>
            </w:r>
          </w:p>
        </w:tc>
        <w:tc>
          <w:p>
            <w:pPr>
              <w:pStyle w:val="Compact"/>
              <w:jc w:val="left"/>
            </w:pPr>
            <w:r>
              <w:t xml:space="preserve">0.911</w:t>
            </w:r>
          </w:p>
        </w:tc>
        <w:tc>
          <w:p>
            <w:pPr>
              <w:pStyle w:val="Compact"/>
              <w:jc w:val="left"/>
            </w:pPr>
            <w:r>
              <w:t xml:space="preserve">0.037</w:t>
            </w:r>
          </w:p>
        </w:tc>
      </w:tr>
      <w:tr>
        <w:tc>
          <w:p>
            <w:pPr>
              <w:pStyle w:val="Compact"/>
              <w:jc w:val="left"/>
            </w:pPr>
            <w:r>
              <w:t xml:space="preserve">c_year3_pump</w:t>
            </w:r>
          </w:p>
        </w:tc>
        <w:tc>
          <w:p>
            <w:pPr>
              <w:pStyle w:val="Compact"/>
              <w:jc w:val="left"/>
            </w:pPr>
            <w:r>
              <w:t xml:space="preserve">-1.808</w:t>
            </w:r>
          </w:p>
        </w:tc>
        <w:tc>
          <w:p>
            <w:pPr>
              <w:pStyle w:val="Compact"/>
              <w:jc w:val="left"/>
            </w:pPr>
            <w:r>
              <w:t xml:space="preserve">0.819</w:t>
            </w:r>
          </w:p>
        </w:tc>
        <w:tc>
          <w:p>
            <w:pPr>
              <w:pStyle w:val="Compact"/>
              <w:jc w:val="left"/>
            </w:pPr>
            <w:r>
              <w:t xml:space="preserve">0.034</w:t>
            </w:r>
          </w:p>
        </w:tc>
      </w:tr>
    </w:tbl>
    <w:p>
      <w:pPr>
        <w:pStyle w:val="BodyText"/>
      </w:pPr>
      <w:r>
        <w:t xml:space="preserve">There is not a significant difference in trend of A1c over time between groups (table 3A, p=0.025).</w:t>
      </w:r>
    </w:p>
    <w:p>
      <w:pPr>
        <w:pStyle w:val="BodyText"/>
      </w:pPr>
      <w:r>
        <w:rPr>
          <w:b/>
        </w:rPr>
        <w:t xml:space="preserve">Table 3f: Difference between Latino Program and Control A1c: NO PUMP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0.330</w:t>
            </w:r>
          </w:p>
        </w:tc>
        <w:tc>
          <w:p>
            <w:pPr>
              <w:pStyle w:val="Compact"/>
              <w:jc w:val="left"/>
            </w:pPr>
            <w:r>
              <w:t xml:space="preserve">0.531</w:t>
            </w:r>
          </w:p>
        </w:tc>
        <w:tc>
          <w:p>
            <w:pPr>
              <w:pStyle w:val="Compact"/>
              <w:jc w:val="left"/>
            </w:pPr>
            <w:r>
              <w:t xml:space="preserve">0.536</w:t>
            </w:r>
          </w:p>
        </w:tc>
      </w:tr>
      <w:tr>
        <w:tc>
          <w:p>
            <w:pPr>
              <w:pStyle w:val="Compact"/>
              <w:jc w:val="left"/>
            </w:pPr>
            <w:r>
              <w:t xml:space="preserve">c_year1_nopump</w:t>
            </w:r>
          </w:p>
        </w:tc>
        <w:tc>
          <w:p>
            <w:pPr>
              <w:pStyle w:val="Compact"/>
              <w:jc w:val="left"/>
            </w:pPr>
            <w:r>
              <w:t xml:space="preserve">0.410</w:t>
            </w:r>
          </w:p>
        </w:tc>
        <w:tc>
          <w:p>
            <w:pPr>
              <w:pStyle w:val="Compact"/>
              <w:jc w:val="left"/>
            </w:pPr>
            <w:r>
              <w:t xml:space="preserve">0.559</w:t>
            </w:r>
          </w:p>
        </w:tc>
        <w:tc>
          <w:p>
            <w:pPr>
              <w:pStyle w:val="Compact"/>
              <w:jc w:val="left"/>
            </w:pPr>
            <w:r>
              <w:t xml:space="preserve">0.466</w:t>
            </w:r>
          </w:p>
        </w:tc>
      </w:tr>
      <w:tr>
        <w:tc>
          <w:p>
            <w:pPr>
              <w:pStyle w:val="Compact"/>
              <w:jc w:val="left"/>
            </w:pPr>
            <w:r>
              <w:t xml:space="preserve">c_year2_nopump</w:t>
            </w:r>
          </w:p>
        </w:tc>
        <w:tc>
          <w:p>
            <w:pPr>
              <w:pStyle w:val="Compact"/>
              <w:jc w:val="left"/>
            </w:pPr>
            <w:r>
              <w:t xml:space="preserve">1.695</w:t>
            </w:r>
          </w:p>
        </w:tc>
        <w:tc>
          <w:p>
            <w:pPr>
              <w:pStyle w:val="Compact"/>
              <w:jc w:val="left"/>
            </w:pPr>
            <w:r>
              <w:t xml:space="preserve">0.578</w:t>
            </w:r>
          </w:p>
        </w:tc>
        <w:tc>
          <w:p>
            <w:pPr>
              <w:pStyle w:val="Compact"/>
              <w:jc w:val="left"/>
            </w:pPr>
            <w:r>
              <w:t xml:space="preserve">0.004</w:t>
            </w:r>
          </w:p>
        </w:tc>
      </w:tr>
      <w:tr>
        <w:tc>
          <w:p>
            <w:pPr>
              <w:pStyle w:val="Compact"/>
              <w:jc w:val="left"/>
            </w:pPr>
            <w:r>
              <w:t xml:space="preserve">c_year3_nopump</w:t>
            </w:r>
          </w:p>
        </w:tc>
        <w:tc>
          <w:p>
            <w:pPr>
              <w:pStyle w:val="Compact"/>
              <w:jc w:val="left"/>
            </w:pPr>
            <w:r>
              <w:t xml:space="preserve">1.132</w:t>
            </w:r>
          </w:p>
        </w:tc>
        <w:tc>
          <w:p>
            <w:pPr>
              <w:pStyle w:val="Compact"/>
              <w:jc w:val="left"/>
            </w:pPr>
            <w:r>
              <w:t xml:space="preserve">0.645</w:t>
            </w:r>
          </w:p>
        </w:tc>
        <w:tc>
          <w:p>
            <w:pPr>
              <w:pStyle w:val="Compact"/>
              <w:jc w:val="left"/>
            </w:pPr>
            <w:r>
              <w:t xml:space="preserve">0.083</w:t>
            </w:r>
          </w:p>
        </w:tc>
      </w:tr>
    </w:tbl>
    <w:p>
      <w:pPr>
        <w:pStyle w:val="BodyText"/>
      </w:pPr>
      <w:r>
        <w:t xml:space="preserve">There is not a significant difference in trend of A1c over time between groups (table 3A, p=0.118).</w:t>
      </w:r>
    </w:p>
    <w:p>
      <w:pPr>
        <w:pStyle w:val="Heading1"/>
      </w:pPr>
      <w:bookmarkStart w:id="24" w:name="checks-per-day-results"/>
      <w:bookmarkEnd w:id="24"/>
      <w:r>
        <w:t xml:space="preserve">Checks Per Day Results</w:t>
      </w:r>
    </w:p>
    <w:p>
      <w:pPr>
        <w:pStyle w:val="FirstParagraph"/>
      </w:pPr>
      <w:r>
        <w:rPr>
          <w:b/>
        </w:rPr>
        <w:t xml:space="preserve">Table 4a. Checks Per Day Over Time: WHOLE COHORT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1.481</w:t>
            </w:r>
          </w:p>
        </w:tc>
        <w:tc>
          <w:p>
            <w:pPr>
              <w:pStyle w:val="Compact"/>
              <w:jc w:val="left"/>
            </w:pPr>
            <w:r>
              <w:t xml:space="preserve">0.628</w:t>
            </w:r>
          </w:p>
        </w:tc>
        <w:tc>
          <w:p>
            <w:pPr>
              <w:pStyle w:val="Compact"/>
              <w:jc w:val="left"/>
            </w:pPr>
            <w:r>
              <w:t xml:space="preserve">0.019</w:t>
            </w:r>
          </w:p>
        </w:tc>
      </w:tr>
      <w:tr>
        <w:tc>
          <w:p>
            <w:pPr>
              <w:pStyle w:val="Compact"/>
              <w:jc w:val="left"/>
            </w:pPr>
            <w:r>
              <w:t xml:space="preserve">baseline_checks</w:t>
            </w:r>
          </w:p>
        </w:tc>
        <w:tc>
          <w:p>
            <w:pPr>
              <w:pStyle w:val="Compact"/>
              <w:jc w:val="left"/>
            </w:pPr>
            <w:r>
              <w:t xml:space="preserve">0.461</w:t>
            </w:r>
          </w:p>
        </w:tc>
        <w:tc>
          <w:p>
            <w:pPr>
              <w:pStyle w:val="Compact"/>
              <w:jc w:val="left"/>
            </w:pPr>
            <w:r>
              <w:t xml:space="preserve">0.062</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0.398</w:t>
            </w:r>
          </w:p>
        </w:tc>
        <w:tc>
          <w:p>
            <w:pPr>
              <w:pStyle w:val="Compact"/>
              <w:jc w:val="left"/>
            </w:pPr>
            <w:r>
              <w:t xml:space="preserve">0.552</w:t>
            </w:r>
          </w:p>
        </w:tc>
        <w:tc>
          <w:p>
            <w:pPr>
              <w:pStyle w:val="Compact"/>
              <w:jc w:val="left"/>
            </w:pPr>
            <w:r>
              <w:t xml:space="preserve">0.472</w:t>
            </w:r>
          </w:p>
        </w:tc>
      </w:tr>
      <w:tr>
        <w:tc>
          <w:p>
            <w:pPr>
              <w:pStyle w:val="Compact"/>
              <w:jc w:val="left"/>
            </w:pPr>
            <w:r>
              <w:t xml:space="preserve">factor(yeargrouping)Year1</w:t>
            </w:r>
          </w:p>
        </w:tc>
        <w:tc>
          <w:p>
            <w:pPr>
              <w:pStyle w:val="Compact"/>
              <w:jc w:val="left"/>
            </w:pPr>
            <w:r>
              <w:t xml:space="preserve">-0.132</w:t>
            </w:r>
          </w:p>
        </w:tc>
        <w:tc>
          <w:p>
            <w:pPr>
              <w:pStyle w:val="Compact"/>
              <w:jc w:val="left"/>
            </w:pPr>
            <w:r>
              <w:t xml:space="preserve">0.560</w:t>
            </w:r>
          </w:p>
        </w:tc>
        <w:tc>
          <w:p>
            <w:pPr>
              <w:pStyle w:val="Compact"/>
              <w:jc w:val="left"/>
            </w:pPr>
            <w:r>
              <w:t xml:space="preserve">0.814</w:t>
            </w:r>
          </w:p>
        </w:tc>
      </w:tr>
      <w:tr>
        <w:tc>
          <w:p>
            <w:pPr>
              <w:pStyle w:val="Compact"/>
              <w:jc w:val="left"/>
            </w:pPr>
            <w:r>
              <w:t xml:space="preserve">factor(yeargrouping)Year2</w:t>
            </w:r>
          </w:p>
        </w:tc>
        <w:tc>
          <w:p>
            <w:pPr>
              <w:pStyle w:val="Compact"/>
              <w:jc w:val="left"/>
            </w:pPr>
            <w:r>
              <w:t xml:space="preserve">0.268</w:t>
            </w:r>
          </w:p>
        </w:tc>
        <w:tc>
          <w:p>
            <w:pPr>
              <w:pStyle w:val="Compact"/>
              <w:jc w:val="left"/>
            </w:pPr>
            <w:r>
              <w:t xml:space="preserve">0.558</w:t>
            </w:r>
          </w:p>
        </w:tc>
        <w:tc>
          <w:p>
            <w:pPr>
              <w:pStyle w:val="Compact"/>
              <w:jc w:val="left"/>
            </w:pPr>
            <w:r>
              <w:t xml:space="preserve">0.632</w:t>
            </w:r>
          </w:p>
        </w:tc>
      </w:tr>
      <w:tr>
        <w:tc>
          <w:p>
            <w:pPr>
              <w:pStyle w:val="Compact"/>
              <w:jc w:val="left"/>
            </w:pPr>
            <w:r>
              <w:t xml:space="preserve">groupLess than 12</w:t>
            </w:r>
          </w:p>
        </w:tc>
        <w:tc>
          <w:p>
            <w:pPr>
              <w:pStyle w:val="Compact"/>
              <w:jc w:val="left"/>
            </w:pPr>
            <w:r>
              <w:t xml:space="preserve">0.978</w:t>
            </w:r>
          </w:p>
        </w:tc>
        <w:tc>
          <w:p>
            <w:pPr>
              <w:pStyle w:val="Compact"/>
              <w:jc w:val="left"/>
            </w:pPr>
            <w:r>
              <w:t xml:space="preserve">0.259</w:t>
            </w:r>
          </w:p>
        </w:tc>
        <w:tc>
          <w:p>
            <w:pPr>
              <w:pStyle w:val="Compact"/>
              <w:jc w:val="left"/>
            </w:pPr>
            <w:r>
              <w:t xml:space="preserve">0.000</w:t>
            </w:r>
          </w:p>
        </w:tc>
      </w:tr>
      <w:tr>
        <w:tc>
          <w:p>
            <w:pPr>
              <w:pStyle w:val="Compact"/>
              <w:jc w:val="left"/>
            </w:pPr>
            <w:r>
              <w:t xml:space="preserve">factor(trt_grp)LP</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r>
        <w:tc>
          <w:p>
            <w:pPr>
              <w:pStyle w:val="Compact"/>
              <w:jc w:val="left"/>
            </w:pPr>
            <w:r>
              <w:t xml:space="preserve">duration_of_diagnosis</w:t>
            </w:r>
          </w:p>
        </w:tc>
        <w:tc>
          <w:p>
            <w:pPr>
              <w:pStyle w:val="Compact"/>
              <w:jc w:val="left"/>
            </w:pPr>
            <w:r>
              <w:t xml:space="preserve">-0.018</w:t>
            </w:r>
          </w:p>
        </w:tc>
        <w:tc>
          <w:p>
            <w:pPr>
              <w:pStyle w:val="Compact"/>
              <w:jc w:val="left"/>
            </w:pPr>
            <w:r>
              <w:t xml:space="preserve">0.035</w:t>
            </w:r>
          </w:p>
        </w:tc>
        <w:tc>
          <w:p>
            <w:pPr>
              <w:pStyle w:val="Compact"/>
              <w:jc w:val="left"/>
            </w:pPr>
            <w:r>
              <w:t xml:space="preserve">0.614</w:t>
            </w:r>
          </w:p>
        </w:tc>
      </w:tr>
      <w:tr>
        <w:tc>
          <w:p>
            <w:pPr>
              <w:pStyle w:val="Compact"/>
              <w:jc w:val="left"/>
            </w:pPr>
            <w:r>
              <w:t xml:space="preserve">technology_type_inyearPump Only</w:t>
            </w:r>
          </w:p>
        </w:tc>
        <w:tc>
          <w:p>
            <w:pPr>
              <w:pStyle w:val="Compact"/>
              <w:jc w:val="left"/>
            </w:pPr>
            <w:r>
              <w:t xml:space="preserve">1.416</w:t>
            </w:r>
          </w:p>
        </w:tc>
        <w:tc>
          <w:p>
            <w:pPr>
              <w:pStyle w:val="Compact"/>
              <w:jc w:val="left"/>
            </w:pPr>
            <w:r>
              <w:t xml:space="preserve">0.241</w:t>
            </w:r>
          </w:p>
        </w:tc>
        <w:tc>
          <w:p>
            <w:pPr>
              <w:pStyle w:val="Compact"/>
              <w:jc w:val="left"/>
            </w:pPr>
            <w:r>
              <w:t xml:space="preserve">0.000</w:t>
            </w:r>
          </w:p>
        </w:tc>
      </w:tr>
      <w:tr>
        <w:tc>
          <w:p>
            <w:pPr>
              <w:pStyle w:val="Compact"/>
              <w:jc w:val="left"/>
            </w:pPr>
            <w:r>
              <w:t xml:space="preserve">factor(yeargrouping)Base1:factor(trt_grp)LP</w:t>
            </w:r>
          </w:p>
        </w:tc>
        <w:tc>
          <w:p>
            <w:pPr>
              <w:pStyle w:val="Compact"/>
              <w:jc w:val="left"/>
            </w:pPr>
            <w:r>
              <w:t xml:space="preserve">-0.006</w:t>
            </w:r>
          </w:p>
        </w:tc>
        <w:tc>
          <w:p>
            <w:pPr>
              <w:pStyle w:val="Compact"/>
              <w:jc w:val="left"/>
            </w:pPr>
            <w:r>
              <w:t xml:space="preserve">0.616</w:t>
            </w:r>
          </w:p>
        </w:tc>
        <w:tc>
          <w:p>
            <w:pPr>
              <w:pStyle w:val="Compact"/>
              <w:jc w:val="left"/>
            </w:pPr>
            <w:r>
              <w:t xml:space="preserve">0.992</w:t>
            </w:r>
          </w:p>
        </w:tc>
      </w:tr>
      <w:tr>
        <w:tc>
          <w:p>
            <w:pPr>
              <w:pStyle w:val="Compact"/>
              <w:jc w:val="left"/>
            </w:pPr>
            <w:r>
              <w:t xml:space="preserve">factor(yeargrouping)Year1:factor(trt_grp)LP</w:t>
            </w:r>
          </w:p>
        </w:tc>
        <w:tc>
          <w:p>
            <w:pPr>
              <w:pStyle w:val="Compact"/>
              <w:jc w:val="left"/>
            </w:pPr>
            <w:r>
              <w:t xml:space="preserve">0.287</w:t>
            </w:r>
          </w:p>
        </w:tc>
        <w:tc>
          <w:p>
            <w:pPr>
              <w:pStyle w:val="Compact"/>
              <w:jc w:val="left"/>
            </w:pPr>
            <w:r>
              <w:t xml:space="preserve">0.624</w:t>
            </w:r>
          </w:p>
        </w:tc>
        <w:tc>
          <w:p>
            <w:pPr>
              <w:pStyle w:val="Compact"/>
              <w:jc w:val="left"/>
            </w:pPr>
            <w:r>
              <w:t xml:space="preserve">0.646</w:t>
            </w:r>
          </w:p>
        </w:tc>
      </w:tr>
      <w:tr>
        <w:tc>
          <w:p>
            <w:pPr>
              <w:pStyle w:val="Compact"/>
              <w:jc w:val="left"/>
            </w:pPr>
            <w:r>
              <w:t xml:space="preserve">factor(yeargrouping)Year2:factor(trt_grp)LP</w:t>
            </w:r>
          </w:p>
        </w:tc>
        <w:tc>
          <w:p>
            <w:pPr>
              <w:pStyle w:val="Compact"/>
              <w:jc w:val="left"/>
            </w:pPr>
            <w:r>
              <w:t xml:space="preserve">0.063</w:t>
            </w:r>
          </w:p>
        </w:tc>
        <w:tc>
          <w:p>
            <w:pPr>
              <w:pStyle w:val="Compact"/>
              <w:jc w:val="left"/>
            </w:pPr>
            <w:r>
              <w:t xml:space="preserve">0.623</w:t>
            </w:r>
          </w:p>
        </w:tc>
        <w:tc>
          <w:p>
            <w:pPr>
              <w:pStyle w:val="Compact"/>
              <w:jc w:val="left"/>
            </w:pPr>
            <w:r>
              <w:t xml:space="preserve">0.920</w:t>
            </w:r>
          </w:p>
        </w:tc>
      </w:tr>
    </w:tbl>
    <w:p>
      <w:pPr>
        <w:pStyle w:val="BodyText"/>
      </w:pPr>
      <w:r>
        <w:t xml:space="preserve">p=0.954</w:t>
      </w:r>
    </w:p>
    <w:p>
      <w:pPr>
        <w:pStyle w:val="BodyText"/>
      </w:pPr>
      <w:r>
        <w:rPr>
          <w:b/>
        </w:rPr>
        <w:t xml:space="preserve">Table 4b: Difference between Latino Program and Control Checks Per Day at each timepoint: WHOLE COHORT.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-0.296</w:t>
            </w:r>
          </w:p>
        </w:tc>
        <w:tc>
          <w:p>
            <w:pPr>
              <w:pStyle w:val="Compact"/>
              <w:jc w:val="left"/>
            </w:pPr>
            <w:r>
              <w:t xml:space="preserve">0.444</w:t>
            </w:r>
          </w:p>
        </w:tc>
        <w:tc>
          <w:p>
            <w:pPr>
              <w:pStyle w:val="Compact"/>
              <w:jc w:val="left"/>
            </w:pPr>
            <w:r>
              <w:t xml:space="preserve">0.506</w:t>
            </w:r>
          </w:p>
        </w:tc>
      </w:tr>
      <w:tr>
        <w:tc>
          <w:p>
            <w:pPr>
              <w:pStyle w:val="Compact"/>
              <w:jc w:val="left"/>
            </w:pPr>
            <w:r>
              <w:t xml:space="preserve">c_year1</w:t>
            </w:r>
          </w:p>
        </w:tc>
        <w:tc>
          <w:p>
            <w:pPr>
              <w:pStyle w:val="Compact"/>
              <w:jc w:val="left"/>
            </w:pPr>
            <w:r>
              <w:t xml:space="preserve">-0.004</w:t>
            </w:r>
          </w:p>
        </w:tc>
        <w:tc>
          <w:p>
            <w:pPr>
              <w:pStyle w:val="Compact"/>
              <w:jc w:val="left"/>
            </w:pPr>
            <w:r>
              <w:t xml:space="preserve">0.455</w:t>
            </w:r>
          </w:p>
        </w:tc>
        <w:tc>
          <w:p>
            <w:pPr>
              <w:pStyle w:val="Compact"/>
              <w:jc w:val="left"/>
            </w:pPr>
            <w:r>
              <w:t xml:space="preserve">0.994</w:t>
            </w:r>
          </w:p>
        </w:tc>
      </w:tr>
      <w:tr>
        <w:tc>
          <w:p>
            <w:pPr>
              <w:pStyle w:val="Compact"/>
              <w:jc w:val="left"/>
            </w:pPr>
            <w:r>
              <w:t xml:space="preserve">c_year2</w:t>
            </w:r>
          </w:p>
        </w:tc>
        <w:tc>
          <w:p>
            <w:pPr>
              <w:pStyle w:val="Compact"/>
              <w:jc w:val="left"/>
            </w:pPr>
            <w:r>
              <w:t xml:space="preserve">-0.228</w:t>
            </w:r>
          </w:p>
        </w:tc>
        <w:tc>
          <w:p>
            <w:pPr>
              <w:pStyle w:val="Compact"/>
              <w:jc w:val="left"/>
            </w:pPr>
            <w:r>
              <w:t xml:space="preserve">0.468</w:t>
            </w:r>
          </w:p>
        </w:tc>
        <w:tc>
          <w:p>
            <w:pPr>
              <w:pStyle w:val="Compact"/>
              <w:jc w:val="left"/>
            </w:pPr>
            <w:r>
              <w:t xml:space="preserve">0.628</w:t>
            </w:r>
          </w:p>
        </w:tc>
      </w:tr>
      <w:tr>
        <w:tc>
          <w:p>
            <w:pPr>
              <w:pStyle w:val="Compact"/>
              <w:jc w:val="left"/>
            </w:pPr>
            <w:r>
              <w:t xml:space="preserve">c_year3</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bl>
    <w:p>
      <w:pPr>
        <w:pStyle w:val="BodyText"/>
      </w:pPr>
      <w:r>
        <w:rPr>
          <w:b/>
        </w:rPr>
        <w:t xml:space="preserve">Table 4c: Difference between Latino Program and Control Checks Per Day: &lt;12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-0.420</w:t>
            </w:r>
          </w:p>
        </w:tc>
        <w:tc>
          <w:p>
            <w:pPr>
              <w:pStyle w:val="Compact"/>
              <w:jc w:val="left"/>
            </w:pPr>
            <w:r>
              <w:t xml:space="preserve">0.712</w:t>
            </w:r>
          </w:p>
        </w:tc>
        <w:tc>
          <w:p>
            <w:pPr>
              <w:pStyle w:val="Compact"/>
              <w:jc w:val="left"/>
            </w:pPr>
            <w:r>
              <w:t xml:space="preserve">0.559</w:t>
            </w:r>
          </w:p>
        </w:tc>
      </w:tr>
      <w:tr>
        <w:tc>
          <w:p>
            <w:pPr>
              <w:pStyle w:val="Compact"/>
              <w:jc w:val="left"/>
            </w:pPr>
            <w:r>
              <w:t xml:space="preserve">c_year1_young</w:t>
            </w:r>
          </w:p>
        </w:tc>
        <w:tc>
          <w:p>
            <w:pPr>
              <w:pStyle w:val="Compact"/>
              <w:jc w:val="left"/>
            </w:pPr>
            <w:r>
              <w:t xml:space="preserve">0.703</w:t>
            </w:r>
          </w:p>
        </w:tc>
        <w:tc>
          <w:p>
            <w:pPr>
              <w:pStyle w:val="Compact"/>
              <w:jc w:val="left"/>
            </w:pPr>
            <w:r>
              <w:t xml:space="preserve">0.721</w:t>
            </w:r>
          </w:p>
        </w:tc>
        <w:tc>
          <w:p>
            <w:pPr>
              <w:pStyle w:val="Compact"/>
              <w:jc w:val="left"/>
            </w:pPr>
            <w:r>
              <w:t xml:space="preserve">0.336</w:t>
            </w:r>
          </w:p>
        </w:tc>
      </w:tr>
      <w:tr>
        <w:tc>
          <w:p>
            <w:pPr>
              <w:pStyle w:val="Compact"/>
              <w:jc w:val="left"/>
            </w:pPr>
            <w:r>
              <w:t xml:space="preserve">c_year2_young</w:t>
            </w:r>
          </w:p>
        </w:tc>
        <w:tc>
          <w:p>
            <w:pPr>
              <w:pStyle w:val="Compact"/>
              <w:jc w:val="left"/>
            </w:pPr>
            <w:r>
              <w:t xml:space="preserve">0.684</w:t>
            </w:r>
          </w:p>
        </w:tc>
        <w:tc>
          <w:p>
            <w:pPr>
              <w:pStyle w:val="Compact"/>
              <w:jc w:val="left"/>
            </w:pPr>
            <w:r>
              <w:t xml:space="preserve">0.769</w:t>
            </w:r>
          </w:p>
        </w:tc>
        <w:tc>
          <w:p>
            <w:pPr>
              <w:pStyle w:val="Compact"/>
              <w:jc w:val="left"/>
            </w:pPr>
            <w:r>
              <w:t xml:space="preserve">0.381</w:t>
            </w:r>
          </w:p>
        </w:tc>
      </w:tr>
      <w:tr>
        <w:tc>
          <w:p>
            <w:pPr>
              <w:pStyle w:val="Compact"/>
              <w:jc w:val="left"/>
            </w:pPr>
            <w:r>
              <w:t xml:space="preserve">c_year3_young</w:t>
            </w:r>
          </w:p>
        </w:tc>
        <w:tc>
          <w:p>
            <w:pPr>
              <w:pStyle w:val="Compact"/>
              <w:jc w:val="left"/>
            </w:pPr>
            <w:r>
              <w:t xml:space="preserve">-0.398</w:t>
            </w:r>
          </w:p>
        </w:tc>
        <w:tc>
          <w:p>
            <w:pPr>
              <w:pStyle w:val="Compact"/>
              <w:jc w:val="left"/>
            </w:pPr>
            <w:r>
              <w:t xml:space="preserve">1.034</w:t>
            </w:r>
          </w:p>
        </w:tc>
        <w:tc>
          <w:p>
            <w:pPr>
              <w:pStyle w:val="Compact"/>
              <w:jc w:val="left"/>
            </w:pPr>
            <w:r>
              <w:t xml:space="preserve">0.703</w:t>
            </w:r>
          </w:p>
        </w:tc>
      </w:tr>
    </w:tbl>
    <w:p>
      <w:pPr>
        <w:pStyle w:val="BodyText"/>
      </w:pPr>
      <w:r>
        <w:t xml:space="preserve">p=0.507</w:t>
      </w:r>
    </w:p>
    <w:p>
      <w:pPr>
        <w:pStyle w:val="BodyText"/>
      </w:pPr>
      <w:r>
        <w:rPr>
          <w:b/>
        </w:rPr>
        <w:t xml:space="preserve">Table 4d: Difference between Latino Program and Control A1c: 12+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0.059</w:t>
            </w:r>
          </w:p>
        </w:tc>
        <w:tc>
          <w:p>
            <w:pPr>
              <w:pStyle w:val="Compact"/>
              <w:jc w:val="left"/>
            </w:pPr>
            <w:r>
              <w:t xml:space="preserve">0.543</w:t>
            </w:r>
          </w:p>
        </w:tc>
        <w:tc>
          <w:p>
            <w:pPr>
              <w:pStyle w:val="Compact"/>
              <w:jc w:val="left"/>
            </w:pPr>
            <w:r>
              <w:t xml:space="preserve">0.913</w:t>
            </w:r>
          </w:p>
        </w:tc>
      </w:tr>
      <w:tr>
        <w:tc>
          <w:p>
            <w:pPr>
              <w:pStyle w:val="Compact"/>
              <w:jc w:val="left"/>
            </w:pPr>
            <w:r>
              <w:t xml:space="preserve">c_year1_old</w:t>
            </w:r>
          </w:p>
        </w:tc>
        <w:tc>
          <w:p>
            <w:pPr>
              <w:pStyle w:val="Compact"/>
              <w:jc w:val="left"/>
            </w:pPr>
            <w:r>
              <w:t xml:space="preserve">-0.310</w:t>
            </w:r>
          </w:p>
        </w:tc>
        <w:tc>
          <w:p>
            <w:pPr>
              <w:pStyle w:val="Compact"/>
              <w:jc w:val="left"/>
            </w:pPr>
            <w:r>
              <w:t xml:space="preserve">0.558</w:t>
            </w:r>
          </w:p>
        </w:tc>
        <w:tc>
          <w:p>
            <w:pPr>
              <w:pStyle w:val="Compact"/>
              <w:jc w:val="left"/>
            </w:pPr>
            <w:r>
              <w:t xml:space="preserve">0.581</w:t>
            </w:r>
          </w:p>
        </w:tc>
      </w:tr>
      <w:tr>
        <w:tc>
          <w:p>
            <w:pPr>
              <w:pStyle w:val="Compact"/>
              <w:jc w:val="left"/>
            </w:pPr>
            <w:r>
              <w:t xml:space="preserve">c_year2_old</w:t>
            </w:r>
          </w:p>
        </w:tc>
        <w:tc>
          <w:p>
            <w:pPr>
              <w:pStyle w:val="Compact"/>
              <w:jc w:val="left"/>
            </w:pPr>
            <w:r>
              <w:t xml:space="preserve">-0.629</w:t>
            </w:r>
          </w:p>
        </w:tc>
        <w:tc>
          <w:p>
            <w:pPr>
              <w:pStyle w:val="Compact"/>
              <w:jc w:val="left"/>
            </w:pPr>
            <w:r>
              <w:t xml:space="preserve">0.561</w:t>
            </w:r>
          </w:p>
        </w:tc>
        <w:tc>
          <w:p>
            <w:pPr>
              <w:pStyle w:val="Compact"/>
              <w:jc w:val="left"/>
            </w:pPr>
            <w:r>
              <w:t xml:space="preserve">0.267</w:t>
            </w:r>
          </w:p>
        </w:tc>
      </w:tr>
      <w:tr>
        <w:tc>
          <w:p>
            <w:pPr>
              <w:pStyle w:val="Compact"/>
              <w:jc w:val="left"/>
            </w:pPr>
            <w:r>
              <w:t xml:space="preserve">c_year3_old</w:t>
            </w:r>
          </w:p>
        </w:tc>
        <w:tc>
          <w:p>
            <w:pPr>
              <w:pStyle w:val="Compact"/>
              <w:jc w:val="left"/>
            </w:pPr>
            <w:r>
              <w:t xml:space="preserve">-0.108</w:t>
            </w:r>
          </w:p>
        </w:tc>
        <w:tc>
          <w:p>
            <w:pPr>
              <w:pStyle w:val="Compact"/>
              <w:jc w:val="left"/>
            </w:pPr>
            <w:r>
              <w:t xml:space="preserve">0.588</w:t>
            </w:r>
          </w:p>
        </w:tc>
        <w:tc>
          <w:p>
            <w:pPr>
              <w:pStyle w:val="Compact"/>
              <w:jc w:val="left"/>
            </w:pPr>
            <w:r>
              <w:t xml:space="preserve">0.855</w:t>
            </w:r>
          </w:p>
        </w:tc>
      </w:tr>
    </w:tbl>
    <w:p>
      <w:pPr>
        <w:pStyle w:val="BodyText"/>
      </w:pPr>
      <w:r>
        <w:t xml:space="preserve">p=0.772</w:t>
      </w:r>
    </w:p>
    <w:p>
      <w:pPr>
        <w:pStyle w:val="BodyText"/>
      </w:pPr>
      <w:r>
        <w:rPr>
          <w:b/>
        </w:rPr>
        <w:t xml:space="preserve">Table 4e: Difference between Latino Program and Control A1c: PUMP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-0.661</w:t>
            </w:r>
          </w:p>
        </w:tc>
        <w:tc>
          <w:p>
            <w:pPr>
              <w:pStyle w:val="Compact"/>
              <w:jc w:val="left"/>
            </w:pPr>
            <w:r>
              <w:t xml:space="preserve">1.769</w:t>
            </w:r>
          </w:p>
        </w:tc>
        <w:tc>
          <w:p>
            <w:pPr>
              <w:pStyle w:val="Compact"/>
              <w:jc w:val="left"/>
            </w:pPr>
            <w:r>
              <w:t xml:space="preserve">0.711</w:t>
            </w:r>
          </w:p>
        </w:tc>
      </w:tr>
      <w:tr>
        <w:tc>
          <w:p>
            <w:pPr>
              <w:pStyle w:val="Compact"/>
              <w:jc w:val="left"/>
            </w:pPr>
            <w:r>
              <w:t xml:space="preserve">c_year1_pump</w:t>
            </w:r>
          </w:p>
        </w:tc>
        <w:tc>
          <w:p>
            <w:pPr>
              <w:pStyle w:val="Compact"/>
              <w:jc w:val="left"/>
            </w:pPr>
            <w:r>
              <w:t xml:space="preserve">-2.316</w:t>
            </w:r>
          </w:p>
        </w:tc>
        <w:tc>
          <w:p>
            <w:pPr>
              <w:pStyle w:val="Compact"/>
              <w:jc w:val="left"/>
            </w:pPr>
            <w:r>
              <w:t xml:space="preserve">1.413</w:t>
            </w:r>
          </w:p>
        </w:tc>
        <w:tc>
          <w:p>
            <w:pPr>
              <w:pStyle w:val="Compact"/>
              <w:jc w:val="left"/>
            </w:pPr>
            <w:r>
              <w:t xml:space="preserve">0.112</w:t>
            </w:r>
          </w:p>
        </w:tc>
      </w:tr>
      <w:tr>
        <w:tc>
          <w:p>
            <w:pPr>
              <w:pStyle w:val="Compact"/>
              <w:jc w:val="left"/>
            </w:pPr>
            <w:r>
              <w:t xml:space="preserve">c_year2_pump</w:t>
            </w:r>
          </w:p>
        </w:tc>
        <w:tc>
          <w:p>
            <w:pPr>
              <w:pStyle w:val="Compact"/>
              <w:jc w:val="left"/>
            </w:pPr>
            <w:r>
              <w:t xml:space="preserve">-3.392</w:t>
            </w:r>
          </w:p>
        </w:tc>
        <w:tc>
          <w:p>
            <w:pPr>
              <w:pStyle w:val="Compact"/>
              <w:jc w:val="left"/>
            </w:pPr>
            <w:r>
              <w:t xml:space="preserve">1.350</w:t>
            </w:r>
          </w:p>
        </w:tc>
        <w:tc>
          <w:p>
            <w:pPr>
              <w:pStyle w:val="Compact"/>
              <w:jc w:val="left"/>
            </w:pPr>
            <w:r>
              <w:t xml:space="preserve">0.018</w:t>
            </w:r>
          </w:p>
        </w:tc>
      </w:tr>
      <w:tr>
        <w:tc>
          <w:p>
            <w:pPr>
              <w:pStyle w:val="Compact"/>
              <w:jc w:val="left"/>
            </w:pPr>
            <w:r>
              <w:t xml:space="preserve">c_year3_pump</w:t>
            </w:r>
          </w:p>
        </w:tc>
        <w:tc>
          <w:p>
            <w:pPr>
              <w:pStyle w:val="Compact"/>
              <w:jc w:val="left"/>
            </w:pPr>
            <w:r>
              <w:t xml:space="preserve">-1.995</w:t>
            </w:r>
          </w:p>
        </w:tc>
        <w:tc>
          <w:p>
            <w:pPr>
              <w:pStyle w:val="Compact"/>
              <w:jc w:val="left"/>
            </w:pPr>
            <w:r>
              <w:t xml:space="preserve">1.378</w:t>
            </w:r>
          </w:p>
        </w:tc>
        <w:tc>
          <w:p>
            <w:pPr>
              <w:pStyle w:val="Compact"/>
              <w:jc w:val="left"/>
            </w:pPr>
            <w:r>
              <w:t xml:space="preserve">0.159</w:t>
            </w:r>
          </w:p>
        </w:tc>
      </w:tr>
    </w:tbl>
    <w:p>
      <w:pPr>
        <w:pStyle w:val="BodyText"/>
      </w:pPr>
      <w:r>
        <w:t xml:space="preserve">p=0.477</w:t>
      </w:r>
    </w:p>
    <w:p>
      <w:pPr>
        <w:pStyle w:val="BodyText"/>
      </w:pPr>
      <w:r>
        <w:rPr>
          <w:b/>
        </w:rPr>
        <w:t xml:space="preserve">Table 4f: Difference between Latino Program and Control A1c: NO PUMP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-0.051</w:t>
            </w:r>
          </w:p>
        </w:tc>
        <w:tc>
          <w:p>
            <w:pPr>
              <w:pStyle w:val="Compact"/>
              <w:jc w:val="left"/>
            </w:pPr>
            <w:r>
              <w:t xml:space="preserve">0.409</w:t>
            </w:r>
          </w:p>
        </w:tc>
        <w:tc>
          <w:p>
            <w:pPr>
              <w:pStyle w:val="Compact"/>
              <w:jc w:val="left"/>
            </w:pPr>
            <w:r>
              <w:t xml:space="preserve">0.902</w:t>
            </w:r>
          </w:p>
        </w:tc>
      </w:tr>
      <w:tr>
        <w:tc>
          <w:p>
            <w:pPr>
              <w:pStyle w:val="Compact"/>
              <w:jc w:val="left"/>
            </w:pPr>
            <w:r>
              <w:t xml:space="preserve">c_year1_nopump</w:t>
            </w:r>
          </w:p>
        </w:tc>
        <w:tc>
          <w:p>
            <w:pPr>
              <w:pStyle w:val="Compact"/>
              <w:jc w:val="left"/>
            </w:pPr>
            <w:r>
              <w:t xml:space="preserve">0.210</w:t>
            </w:r>
          </w:p>
        </w:tc>
        <w:tc>
          <w:p>
            <w:pPr>
              <w:pStyle w:val="Compact"/>
              <w:jc w:val="left"/>
            </w:pPr>
            <w:r>
              <w:t xml:space="preserve">0.434</w:t>
            </w:r>
          </w:p>
        </w:tc>
        <w:tc>
          <w:p>
            <w:pPr>
              <w:pStyle w:val="Compact"/>
              <w:jc w:val="left"/>
            </w:pPr>
            <w:r>
              <w:t xml:space="preserve">0.629</w:t>
            </w:r>
          </w:p>
        </w:tc>
      </w:tr>
      <w:tr>
        <w:tc>
          <w:p>
            <w:pPr>
              <w:pStyle w:val="Compact"/>
              <w:jc w:val="left"/>
            </w:pPr>
            <w:r>
              <w:t xml:space="preserve">c_year2_nopump</w:t>
            </w:r>
          </w:p>
        </w:tc>
        <w:tc>
          <w:p>
            <w:pPr>
              <w:pStyle w:val="Compact"/>
              <w:jc w:val="left"/>
            </w:pPr>
            <w:r>
              <w:t xml:space="preserve">0.120</w:t>
            </w:r>
          </w:p>
        </w:tc>
        <w:tc>
          <w:p>
            <w:pPr>
              <w:pStyle w:val="Compact"/>
              <w:jc w:val="left"/>
            </w:pPr>
            <w:r>
              <w:t xml:space="preserve">0.451</w:t>
            </w:r>
          </w:p>
        </w:tc>
        <w:tc>
          <w:p>
            <w:pPr>
              <w:pStyle w:val="Compact"/>
              <w:jc w:val="left"/>
            </w:pPr>
            <w:r>
              <w:t xml:space="preserve">0.790</w:t>
            </w:r>
          </w:p>
        </w:tc>
      </w:tr>
      <w:tr>
        <w:tc>
          <w:p>
            <w:pPr>
              <w:pStyle w:val="Compact"/>
              <w:jc w:val="left"/>
            </w:pPr>
            <w:r>
              <w:t xml:space="preserve">c_year3_nopump</w:t>
            </w:r>
          </w:p>
        </w:tc>
        <w:tc>
          <w:p>
            <w:pPr>
              <w:pStyle w:val="Compact"/>
              <w:jc w:val="left"/>
            </w:pPr>
            <w:r>
              <w:t xml:space="preserve">0.584</w:t>
            </w:r>
          </w:p>
        </w:tc>
        <w:tc>
          <w:p>
            <w:pPr>
              <w:pStyle w:val="Compact"/>
              <w:jc w:val="left"/>
            </w:pPr>
            <w:r>
              <w:t xml:space="preserve">0.510</w:t>
            </w:r>
          </w:p>
        </w:tc>
        <w:tc>
          <w:p>
            <w:pPr>
              <w:pStyle w:val="Compact"/>
              <w:jc w:val="left"/>
            </w:pPr>
            <w:r>
              <w:t xml:space="preserve">0.256</w:t>
            </w:r>
          </w:p>
        </w:tc>
      </w:tr>
    </w:tbl>
    <w:p>
      <w:pPr>
        <w:pStyle w:val="BodyText"/>
      </w:pPr>
      <w:r>
        <w:t xml:space="preserve">p=0.751</w:t>
      </w:r>
    </w:p>
    <w:p>
      <w:pPr>
        <w:pStyle w:val="Heading1"/>
      </w:pPr>
      <w:bookmarkStart w:id="25" w:name="pump-use-results"/>
      <w:bookmarkEnd w:id="25"/>
      <w:r>
        <w:t xml:space="preserve">Pump Use Results</w:t>
      </w:r>
    </w:p>
    <w:p>
      <w:pPr>
        <w:pStyle w:val="FirstParagraph"/>
      </w:pPr>
      <w:r>
        <w:rPr>
          <w:b/>
        </w:rPr>
        <w:t xml:space="preserve">Table 5a: Frequency of pump usage in greater than or equal to 12 years cohort by time period in the Latino Program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Pump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4 (10%)</w:t>
            </w:r>
          </w:p>
        </w:tc>
        <w:tc>
          <w:p>
            <w:pPr>
              <w:pStyle w:val="Compact"/>
              <w:jc w:val="left"/>
            </w:pPr>
            <w:r>
              <w:t xml:space="preserve">7 (17%)</w:t>
            </w:r>
          </w:p>
        </w:tc>
        <w:tc>
          <w:p>
            <w:pPr>
              <w:pStyle w:val="Compact"/>
              <w:jc w:val="left"/>
            </w:pPr>
            <w:r>
              <w:t xml:space="preserve">14 (27%)</w:t>
            </w:r>
          </w:p>
        </w:tc>
        <w:tc>
          <w:p>
            <w:pPr>
              <w:pStyle w:val="Compact"/>
              <w:jc w:val="left"/>
            </w:pPr>
            <w:r>
              <w:t xml:space="preserve">21 (36%)</w:t>
            </w:r>
          </w:p>
        </w:tc>
      </w:tr>
      <w:tr>
        <w:tc>
          <w:p>
            <w:pPr>
              <w:pStyle w:val="Compact"/>
              <w:jc w:val="left"/>
            </w:pPr>
            <w:r>
              <w:t xml:space="preserve">No</w:t>
            </w:r>
          </w:p>
        </w:tc>
        <w:tc>
          <w:p>
            <w:pPr>
              <w:pStyle w:val="Compact"/>
              <w:jc w:val="left"/>
            </w:pPr>
            <w:r>
              <w:t xml:space="preserve">37 (90%)</w:t>
            </w:r>
          </w:p>
        </w:tc>
        <w:tc>
          <w:p>
            <w:pPr>
              <w:pStyle w:val="Compact"/>
              <w:jc w:val="left"/>
            </w:pPr>
            <w:r>
              <w:t xml:space="preserve">34 (83%)</w:t>
            </w:r>
          </w:p>
        </w:tc>
        <w:tc>
          <w:p>
            <w:pPr>
              <w:pStyle w:val="Compact"/>
              <w:jc w:val="left"/>
            </w:pPr>
            <w:r>
              <w:t xml:space="preserve">38 (73%)</w:t>
            </w:r>
          </w:p>
        </w:tc>
        <w:tc>
          <w:p>
            <w:pPr>
              <w:pStyle w:val="Compact"/>
              <w:jc w:val="left"/>
            </w:pPr>
            <w:r>
              <w:t xml:space="preserve">38 (64%)</w:t>
            </w:r>
          </w:p>
        </w:tc>
      </w:tr>
    </w:tbl>
    <w:p>
      <w:pPr>
        <w:pStyle w:val="BodyText"/>
      </w:pPr>
      <w:r>
        <w:t xml:space="preserve">Year 1 versus Year 3 pump use: 0.013</w:t>
      </w:r>
    </w:p>
    <w:p>
      <w:pPr>
        <w:pStyle w:val="BodyText"/>
      </w:pPr>
      <w:r>
        <w:rPr>
          <w:b/>
        </w:rPr>
        <w:t xml:space="preserve">Table 5B. Frequency of pump usage in greater than or equal to 12 years cohort by time period in the Control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Pump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0 (0%)</w:t>
            </w:r>
          </w:p>
        </w:tc>
        <w:tc>
          <w:p>
            <w:pPr>
              <w:pStyle w:val="Compact"/>
              <w:jc w:val="left"/>
            </w:pPr>
            <w:r>
              <w:t xml:space="preserve">1 (10%)</w:t>
            </w:r>
          </w:p>
        </w:tc>
        <w:tc>
          <w:p>
            <w:pPr>
              <w:pStyle w:val="Compact"/>
              <w:jc w:val="left"/>
            </w:pPr>
            <w:r>
              <w:t xml:space="preserve">2 (18%)</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9 (90%)</w:t>
            </w:r>
          </w:p>
        </w:tc>
        <w:tc>
          <w:p>
            <w:pPr>
              <w:pStyle w:val="Compact"/>
              <w:jc w:val="left"/>
            </w:pPr>
            <w:r>
              <w:t xml:space="preserve">9 (82%)</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6A. Frequency of pump usage in the less than 12 years cohort by time period in the Latino Program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Pump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6 (18%)</w:t>
            </w:r>
          </w:p>
        </w:tc>
        <w:tc>
          <w:p>
            <w:pPr>
              <w:pStyle w:val="Compact"/>
              <w:jc w:val="left"/>
            </w:pPr>
            <w:r>
              <w:t xml:space="preserve">14 (42%)</w:t>
            </w:r>
          </w:p>
        </w:tc>
        <w:tc>
          <w:p>
            <w:pPr>
              <w:pStyle w:val="Compact"/>
              <w:jc w:val="left"/>
            </w:pPr>
            <w:r>
              <w:t xml:space="preserve">13 (59%)</w:t>
            </w:r>
          </w:p>
        </w:tc>
        <w:tc>
          <w:p>
            <w:pPr>
              <w:pStyle w:val="Compact"/>
              <w:jc w:val="left"/>
            </w:pPr>
            <w:r>
              <w:t xml:space="preserve">12 (75%)</w:t>
            </w:r>
          </w:p>
        </w:tc>
      </w:tr>
      <w:tr>
        <w:tc>
          <w:p>
            <w:pPr>
              <w:pStyle w:val="Compact"/>
              <w:jc w:val="left"/>
            </w:pPr>
            <w:r>
              <w:t xml:space="preserve">No</w:t>
            </w:r>
          </w:p>
        </w:tc>
        <w:tc>
          <w:p>
            <w:pPr>
              <w:pStyle w:val="Compact"/>
              <w:jc w:val="left"/>
            </w:pPr>
            <w:r>
              <w:t xml:space="preserve">27 (82%)</w:t>
            </w:r>
          </w:p>
        </w:tc>
        <w:tc>
          <w:p>
            <w:pPr>
              <w:pStyle w:val="Compact"/>
              <w:jc w:val="left"/>
            </w:pPr>
            <w:r>
              <w:t xml:space="preserve">19 (58%)</w:t>
            </w:r>
          </w:p>
        </w:tc>
        <w:tc>
          <w:p>
            <w:pPr>
              <w:pStyle w:val="Compact"/>
              <w:jc w:val="left"/>
            </w:pPr>
            <w:r>
              <w:t xml:space="preserve">9 (41%)</w:t>
            </w:r>
          </w:p>
        </w:tc>
        <w:tc>
          <w:p>
            <w:pPr>
              <w:pStyle w:val="Compact"/>
              <w:jc w:val="left"/>
            </w:pPr>
            <w:r>
              <w:t xml:space="preserve">4 (25%)</w:t>
            </w:r>
          </w:p>
        </w:tc>
      </w:tr>
    </w:tbl>
    <w:p>
      <w:pPr>
        <w:pStyle w:val="BodyText"/>
      </w:pPr>
      <w:r>
        <w:t xml:space="preserve">Year 1 versus Year 3 pump use: 0.008</w:t>
      </w:r>
    </w:p>
    <w:p>
      <w:pPr>
        <w:pStyle w:val="BodyText"/>
      </w:pPr>
      <w:r>
        <w:rPr>
          <w:b/>
        </w:rPr>
        <w:t xml:space="preserve">Table 6B. Frequency of pump usage in the less than 12 years cohort by time period in the Control group</w:t>
      </w:r>
      <w:r>
        <w:rPr>
          <w:b/>
        </w:rP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Pump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1 (20%)</w:t>
            </w:r>
          </w:p>
        </w:tc>
        <w:tc>
          <w:p>
            <w:pPr>
              <w:pStyle w:val="Compact"/>
              <w:jc w:val="left"/>
            </w:pPr>
            <w:r>
              <w:t xml:space="preserve">1 (20%)</w:t>
            </w:r>
          </w:p>
        </w:tc>
        <w:tc>
          <w:p>
            <w:pPr>
              <w:pStyle w:val="Compact"/>
              <w:jc w:val="left"/>
            </w:pPr>
            <w:r>
              <w:t xml:space="preserve">1 (20%)</w:t>
            </w:r>
          </w:p>
        </w:tc>
        <w:tc>
          <w:p>
            <w:pPr>
              <w:pStyle w:val="Compact"/>
              <w:jc w:val="left"/>
            </w:pPr>
            <w:r>
              <w:t xml:space="preserve">2 (40%)</w:t>
            </w:r>
          </w:p>
        </w:tc>
      </w:tr>
      <w:tr>
        <w:tc>
          <w:p>
            <w:pPr>
              <w:pStyle w:val="Compact"/>
              <w:jc w:val="left"/>
            </w:pPr>
            <w:r>
              <w:t xml:space="preserve">No</w:t>
            </w:r>
          </w:p>
        </w:tc>
        <w:tc>
          <w:p>
            <w:pPr>
              <w:pStyle w:val="Compact"/>
              <w:jc w:val="left"/>
            </w:pPr>
            <w:r>
              <w:t xml:space="preserve">4 (80%)</w:t>
            </w:r>
          </w:p>
        </w:tc>
        <w:tc>
          <w:p>
            <w:pPr>
              <w:pStyle w:val="Compact"/>
              <w:jc w:val="left"/>
            </w:pPr>
            <w:r>
              <w:t xml:space="preserve">4 (80%)</w:t>
            </w:r>
          </w:p>
        </w:tc>
        <w:tc>
          <w:p>
            <w:pPr>
              <w:pStyle w:val="Compact"/>
              <w:jc w:val="left"/>
            </w:pPr>
            <w:r>
              <w:t xml:space="preserve">4 (80%)</w:t>
            </w:r>
          </w:p>
        </w:tc>
        <w:tc>
          <w:p>
            <w:pPr>
              <w:pStyle w:val="Compact"/>
              <w:jc w:val="left"/>
            </w:pPr>
            <w:r>
              <w:t xml:space="preserve">3 (60%)</w:t>
            </w:r>
          </w:p>
        </w:tc>
      </w:tr>
    </w:tbl>
    <w:p>
      <w:pPr>
        <w:pStyle w:val="BodyText"/>
      </w:pPr>
      <w:r>
        <w:t xml:space="preserve">Year 1 versus Year 3 pump use: 1</w:t>
      </w:r>
    </w:p>
    <w:p>
      <w:pPr>
        <w:pStyle w:val="BodyText"/>
      </w:pPr>
      <w:r>
        <w:rPr>
          <w:b/>
        </w:rPr>
        <w:t xml:space="preserve">Table 7A. Frequency of CGM usage in greater than or equal to 12 years cohort by time period in the Latino Program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CGM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7 (13%)</w:t>
            </w:r>
          </w:p>
        </w:tc>
        <w:tc>
          <w:p>
            <w:pPr>
              <w:pStyle w:val="Compact"/>
              <w:jc w:val="left"/>
            </w:pPr>
            <w:r>
              <w:t xml:space="preserve">17 (29%)</w:t>
            </w:r>
          </w:p>
        </w:tc>
      </w:tr>
      <w:tr>
        <w:tc>
          <w:p>
            <w:pPr>
              <w:pStyle w:val="Compact"/>
              <w:jc w:val="left"/>
            </w:pPr>
            <w:r>
              <w:t xml:space="preserve">No</w:t>
            </w:r>
          </w:p>
        </w:tc>
        <w:tc>
          <w:p>
            <w:pPr>
              <w:pStyle w:val="Compact"/>
              <w:jc w:val="left"/>
            </w:pPr>
            <w:r>
              <w:t xml:space="preserve">41 (100%)</w:t>
            </w:r>
          </w:p>
        </w:tc>
        <w:tc>
          <w:p>
            <w:pPr>
              <w:pStyle w:val="Compact"/>
              <w:jc w:val="left"/>
            </w:pPr>
            <w:r>
              <w:t xml:space="preserve">41 (100%)</w:t>
            </w:r>
          </w:p>
        </w:tc>
        <w:tc>
          <w:p>
            <w:pPr>
              <w:pStyle w:val="Compact"/>
              <w:jc w:val="left"/>
            </w:pPr>
            <w:r>
              <w:t xml:space="preserve">45 (87%)</w:t>
            </w:r>
          </w:p>
        </w:tc>
        <w:tc>
          <w:p>
            <w:pPr>
              <w:pStyle w:val="Compact"/>
              <w:jc w:val="left"/>
            </w:pPr>
            <w:r>
              <w:t xml:space="preserve">42 (71%)</w:t>
            </w:r>
          </w:p>
        </w:tc>
      </w:tr>
    </w:tbl>
    <w:p>
      <w:pPr>
        <w:pStyle w:val="BodyText"/>
      </w:pPr>
      <w:r>
        <w:t xml:space="preserve">Year 1 versus Year 3 pump use: 0.013</w:t>
      </w:r>
    </w:p>
    <w:p>
      <w:pPr>
        <w:pStyle w:val="BodyText"/>
      </w:pPr>
      <w:r>
        <w:rPr>
          <w:b/>
        </w:rPr>
        <w:t xml:space="preserve">Table 7B. Frequency of CGM usage in greater than or equal to 12 years cohort by time period in the Control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CGM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1 (9%)</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10 (100%)</w:t>
            </w:r>
          </w:p>
        </w:tc>
        <w:tc>
          <w:p>
            <w:pPr>
              <w:pStyle w:val="Compact"/>
              <w:jc w:val="left"/>
            </w:pPr>
            <w:r>
              <w:t xml:space="preserve">10 (91%)</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8A. Frequency of CGM usage in the less than 12 years cohort by time period in the Latino Program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CGM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0 (0%)</w:t>
            </w:r>
          </w:p>
        </w:tc>
        <w:tc>
          <w:p>
            <w:pPr>
              <w:pStyle w:val="Compact"/>
              <w:jc w:val="left"/>
            </w:pPr>
            <w:r>
              <w:t xml:space="preserve">3 (9%)</w:t>
            </w:r>
          </w:p>
        </w:tc>
        <w:tc>
          <w:p>
            <w:pPr>
              <w:pStyle w:val="Compact"/>
              <w:jc w:val="left"/>
            </w:pPr>
            <w:r>
              <w:t xml:space="preserve">4 (18%)</w:t>
            </w:r>
          </w:p>
        </w:tc>
        <w:tc>
          <w:p>
            <w:pPr>
              <w:pStyle w:val="Compact"/>
              <w:jc w:val="left"/>
            </w:pPr>
            <w:r>
              <w:t xml:space="preserve">10 (62%)</w:t>
            </w:r>
          </w:p>
        </w:tc>
      </w:tr>
      <w:tr>
        <w:tc>
          <w:p>
            <w:pPr>
              <w:pStyle w:val="Compact"/>
              <w:jc w:val="left"/>
            </w:pPr>
            <w:r>
              <w:t xml:space="preserve">No</w:t>
            </w:r>
          </w:p>
        </w:tc>
        <w:tc>
          <w:p>
            <w:pPr>
              <w:pStyle w:val="Compact"/>
              <w:jc w:val="left"/>
            </w:pPr>
            <w:r>
              <w:t xml:space="preserve">33 (100%)</w:t>
            </w:r>
          </w:p>
        </w:tc>
        <w:tc>
          <w:p>
            <w:pPr>
              <w:pStyle w:val="Compact"/>
              <w:jc w:val="left"/>
            </w:pPr>
            <w:r>
              <w:t xml:space="preserve">30 (91%)</w:t>
            </w:r>
          </w:p>
        </w:tc>
        <w:tc>
          <w:p>
            <w:pPr>
              <w:pStyle w:val="Compact"/>
              <w:jc w:val="left"/>
            </w:pPr>
            <w:r>
              <w:t xml:space="preserve">18 (82%)</w:t>
            </w:r>
          </w:p>
        </w:tc>
        <w:tc>
          <w:p>
            <w:pPr>
              <w:pStyle w:val="Compact"/>
              <w:jc w:val="left"/>
            </w:pPr>
            <w:r>
              <w:t xml:space="preserve">6 (38%)</w:t>
            </w:r>
          </w:p>
        </w:tc>
      </w:tr>
    </w:tbl>
    <w:p>
      <w:pPr>
        <w:pStyle w:val="BodyText"/>
      </w:pPr>
      <w:r>
        <w:t xml:space="preserve">Year 1 versus Year 3 pump use: 0.004</w:t>
      </w:r>
    </w:p>
    <w:p>
      <w:pPr>
        <w:pStyle w:val="BodyText"/>
      </w:pPr>
      <w:r>
        <w:rPr>
          <w:b/>
        </w:rPr>
        <w:t xml:space="preserve">Table 8B. Frequency of CGM usage in the less than 12 years cohort by time period in the Control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CGM Use in Given Year</w:t>
            </w: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left"/>
            </w:pPr>
            <w:r>
              <w:t xml:space="preserve">2 (40%)</w:t>
            </w:r>
          </w:p>
        </w:tc>
      </w:tr>
      <w:tr>
        <w:tc>
          <w:p>
            <w:pPr>
              <w:pStyle w:val="Compact"/>
              <w:jc w:val="left"/>
            </w:pPr>
            <w:r>
              <w:t xml:space="preserve">No</w:t>
            </w:r>
          </w:p>
        </w:tc>
        <w:tc>
          <w:p>
            <w:pPr>
              <w:pStyle w:val="Compact"/>
              <w:jc w:val="left"/>
            </w:pPr>
            <w:r>
              <w:t xml:space="preserve">5 (100%)</w:t>
            </w:r>
          </w:p>
        </w:tc>
        <w:tc>
          <w:p>
            <w:pPr>
              <w:pStyle w:val="Compact"/>
              <w:jc w:val="left"/>
            </w:pPr>
            <w:r>
              <w:t xml:space="preserve">5 (100%)</w:t>
            </w:r>
          </w:p>
        </w:tc>
        <w:tc>
          <w:p>
            <w:pPr>
              <w:pStyle w:val="Compact"/>
              <w:jc w:val="left"/>
            </w:pPr>
            <w:r>
              <w:t xml:space="preserve">5 (100%)</w:t>
            </w:r>
          </w:p>
        </w:tc>
        <w:tc>
          <w:p>
            <w:pPr>
              <w:pStyle w:val="Compact"/>
              <w:jc w:val="left"/>
            </w:pPr>
            <w:r>
              <w:t xml:space="preserve">3 (60%)</w:t>
            </w:r>
          </w:p>
        </w:tc>
      </w:tr>
    </w:tbl>
    <w:p>
      <w:pPr>
        <w:pStyle w:val="BodyText"/>
      </w:pPr>
      <w:r>
        <w:t xml:space="preserve">Year 1 versus Year 3 pump use: 0.48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678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 Program - Gerard Gonzalez</dc:title>
  <dc:creator>Kristen Campbell</dc:creator>
  <dcterms:created xsi:type="dcterms:W3CDTF">2019-06-03T21:32:00Z</dcterms:created>
  <dcterms:modified xsi:type="dcterms:W3CDTF">2019-06-03T21:32:00Z</dcterms:modified>
</cp:coreProperties>
</file>