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CAID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##CAID Summary Statistics</w:t>
      </w:r>
    </w:p>
    <w:p>
      <w:pPr>
        <w:pStyle w:val="BodyText"/>
      </w:pPr>
      <w:r>
        <w:rPr>
          <w:b/>
        </w:rPr>
        <w:t xml:space="preserve">Table 1: Demographics by ANY CAID (thyroid, celiac or addison’s)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(n=2215)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(n=1909)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(n=306)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9.84Â±4.24</w:t>
            </w:r>
          </w:p>
        </w:tc>
        <w:tc>
          <w:p>
            <w:pPr>
              <w:pStyle w:val="Compact"/>
              <w:jc w:val="left"/>
            </w:pPr>
            <w:r>
              <w:t xml:space="preserve">9.49Â±4.07</w:t>
            </w:r>
          </w:p>
        </w:tc>
        <w:tc>
          <w:p>
            <w:pPr>
              <w:pStyle w:val="Compact"/>
              <w:jc w:val="left"/>
            </w:pPr>
            <w:r>
              <w:t xml:space="preserve">0.1698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821 (43%)</w:t>
            </w:r>
          </w:p>
        </w:tc>
        <w:tc>
          <w:p>
            <w:pPr>
              <w:pStyle w:val="Compact"/>
              <w:jc w:val="left"/>
            </w:pPr>
            <w:r>
              <w:t xml:space="preserve">161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1088 (57%)</w:t>
            </w:r>
          </w:p>
        </w:tc>
        <w:tc>
          <w:p>
            <w:pPr>
              <w:pStyle w:val="Compact"/>
              <w:jc w:val="left"/>
            </w:pPr>
            <w:r>
              <w:t xml:space="preserve">145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288 (15%)</w:t>
            </w:r>
          </w:p>
        </w:tc>
        <w:tc>
          <w:p>
            <w:pPr>
              <w:pStyle w:val="Compact"/>
              <w:jc w:val="left"/>
            </w:pPr>
            <w:r>
              <w:t xml:space="preserve">54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85 (4%)</w:t>
            </w:r>
          </w:p>
        </w:tc>
        <w:tc>
          <w:p>
            <w:pPr>
              <w:pStyle w:val="Compact"/>
              <w:jc w:val="left"/>
            </w:pPr>
            <w:r>
              <w:t xml:space="preserve">6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1316 (69%)</w:t>
            </w:r>
          </w:p>
        </w:tc>
        <w:tc>
          <w:p>
            <w:pPr>
              <w:pStyle w:val="Compact"/>
              <w:jc w:val="left"/>
            </w:pPr>
            <w:r>
              <w:t xml:space="preserve">216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112 (6%)</w:t>
            </w:r>
          </w:p>
        </w:tc>
        <w:tc>
          <w:p>
            <w:pPr>
              <w:pStyle w:val="Compact"/>
              <w:jc w:val="left"/>
            </w:pPr>
            <w:r>
              <w:t xml:space="preserve">12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108 (6%)</w:t>
            </w:r>
          </w:p>
        </w:tc>
        <w:tc>
          <w:p>
            <w:pPr>
              <w:pStyle w:val="Compact"/>
              <w:jc w:val="left"/>
            </w:pPr>
            <w:r>
              <w:t xml:space="preserve">18 (6%)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17.48Â±4.2</w:t>
            </w:r>
          </w:p>
        </w:tc>
        <w:tc>
          <w:p>
            <w:pPr>
              <w:pStyle w:val="Compact"/>
              <w:jc w:val="left"/>
            </w:pPr>
            <w:r>
              <w:t xml:space="preserve">16.93Â±3.69</w:t>
            </w:r>
          </w:p>
        </w:tc>
        <w:tc>
          <w:p>
            <w:pPr>
              <w:pStyle w:val="Compact"/>
              <w:jc w:val="left"/>
            </w:pPr>
            <w:r>
              <w:t xml:space="preserve">0.0204</w:t>
            </w:r>
          </w:p>
        </w:tc>
      </w:tr>
    </w:tbl>
    <w:p>
      <w:pPr>
        <w:pStyle w:val="BodyText"/>
      </w:pPr>
      <w:r>
        <w:rPr>
          <w:b/>
        </w:rPr>
        <w:t xml:space="preserve">Table 1a: Demographics by Thyroid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(n=2227)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(n=2105)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9.73Â±4.23</w:t>
            </w:r>
          </w:p>
        </w:tc>
        <w:tc>
          <w:p>
            <w:pPr>
              <w:pStyle w:val="Compact"/>
              <w:jc w:val="left"/>
            </w:pPr>
            <w:r>
              <w:t xml:space="preserve">10.7Â±3.95</w:t>
            </w:r>
          </w:p>
        </w:tc>
        <w:tc>
          <w:p>
            <w:pPr>
              <w:pStyle w:val="Compact"/>
              <w:jc w:val="left"/>
            </w:pPr>
            <w:r>
              <w:t xml:space="preserve">0.0097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916 (44%)</w:t>
            </w:r>
          </w:p>
        </w:tc>
        <w:tc>
          <w:p>
            <w:pPr>
              <w:pStyle w:val="Compact"/>
              <w:jc w:val="left"/>
            </w:pPr>
            <w:r>
              <w:t xml:space="preserve">74 (61%)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1189 (56%)</w:t>
            </w:r>
          </w:p>
        </w:tc>
        <w:tc>
          <w:p>
            <w:pPr>
              <w:pStyle w:val="Compact"/>
              <w:jc w:val="left"/>
            </w:pPr>
            <w:r>
              <w:t xml:space="preserve">48 (39%)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308 (15%)</w:t>
            </w:r>
          </w:p>
        </w:tc>
        <w:tc>
          <w:p>
            <w:pPr>
              <w:pStyle w:val="Compact"/>
              <w:jc w:val="left"/>
            </w:pPr>
            <w:r>
              <w:t xml:space="preserve">33 (27%)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88 (4%)</w:t>
            </w:r>
          </w:p>
        </w:tc>
        <w:tc>
          <w:p>
            <w:pPr>
              <w:pStyle w:val="Compact"/>
              <w:jc w:val="left"/>
            </w:pPr>
            <w:r>
              <w:t xml:space="preserve">4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1470 (70%)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17.38Â±4.13</w:t>
            </w:r>
          </w:p>
        </w:tc>
        <w:tc>
          <w:p>
            <w:pPr>
              <w:pStyle w:val="Compact"/>
              <w:jc w:val="left"/>
            </w:pPr>
            <w:r>
              <w:t xml:space="preserve">17.63Â±4.18</w:t>
            </w:r>
          </w:p>
        </w:tc>
        <w:tc>
          <w:p>
            <w:pPr>
              <w:pStyle w:val="Compact"/>
              <w:jc w:val="left"/>
            </w:pPr>
            <w:r>
              <w:t xml:space="preserve">0.529</w:t>
            </w:r>
          </w:p>
        </w:tc>
      </w:tr>
    </w:tbl>
    <w:p>
      <w:pPr>
        <w:pStyle w:val="BodyText"/>
      </w:pPr>
      <w:r>
        <w:rPr>
          <w:b/>
        </w:rPr>
        <w:t xml:space="preserve">Table 1b: Demographics by Celiac’s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(n=2234)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(n=2041)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(n=193)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9.93Â±4.23</w:t>
            </w:r>
          </w:p>
        </w:tc>
        <w:tc>
          <w:p>
            <w:pPr>
              <w:pStyle w:val="Compact"/>
              <w:jc w:val="left"/>
            </w:pPr>
            <w:r>
              <w:t xml:space="preserve">8.59Â±3.98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900 (44%)</w:t>
            </w:r>
          </w:p>
        </w:tc>
        <w:tc>
          <w:p>
            <w:pPr>
              <w:pStyle w:val="Compact"/>
              <w:jc w:val="left"/>
            </w:pPr>
            <w:r>
              <w:t xml:space="preserve">96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1141 (56%)</w:t>
            </w:r>
          </w:p>
        </w:tc>
        <w:tc>
          <w:p>
            <w:pPr>
              <w:pStyle w:val="Compact"/>
              <w:jc w:val="left"/>
            </w:pPr>
            <w:r>
              <w:t xml:space="preserve">97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329 (16%)</w:t>
            </w:r>
          </w:p>
        </w:tc>
        <w:tc>
          <w:p>
            <w:pPr>
              <w:pStyle w:val="Compact"/>
              <w:jc w:val="left"/>
            </w:pPr>
            <w:r>
              <w:t xml:space="preserve">20 (10%)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88 (4%)</w:t>
            </w:r>
          </w:p>
        </w:tc>
        <w:tc>
          <w:p>
            <w:pPr>
              <w:pStyle w:val="Compact"/>
              <w:jc w:val="left"/>
            </w:pPr>
            <w:r>
              <w:t xml:space="preserve">3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1394 (68%)</w:t>
            </w:r>
          </w:p>
        </w:tc>
        <w:tc>
          <w:p>
            <w:pPr>
              <w:pStyle w:val="Compact"/>
              <w:jc w:val="left"/>
            </w:pPr>
            <w:r>
              <w:t xml:space="preserve">150 (78%)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117 (6%)</w:t>
            </w:r>
          </w:p>
        </w:tc>
        <w:tc>
          <w:p>
            <w:pPr>
              <w:pStyle w:val="Compact"/>
              <w:jc w:val="left"/>
            </w:pPr>
            <w:r>
              <w:t xml:space="preserve">7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113 (6%)</w:t>
            </w:r>
          </w:p>
        </w:tc>
        <w:tc>
          <w:p>
            <w:pPr>
              <w:pStyle w:val="Compact"/>
              <w:jc w:val="left"/>
            </w:pPr>
            <w:r>
              <w:t xml:space="preserve">13 (7%)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17.52Â±4.22</w:t>
            </w:r>
          </w:p>
        </w:tc>
        <w:tc>
          <w:p>
            <w:pPr>
              <w:pStyle w:val="Compact"/>
              <w:jc w:val="left"/>
            </w:pPr>
            <w:r>
              <w:t xml:space="preserve">16.39Â±3.23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</w:tbl>
    <w:p>
      <w:pPr>
        <w:pStyle w:val="BodyText"/>
      </w:pPr>
      <w:r>
        <w:rPr>
          <w:b/>
        </w:rPr>
        <w:t xml:space="preserve">Table 1c: Demographics by Addison’s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(n=2244)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9.07Â±4.43</w:t>
            </w:r>
          </w:p>
        </w:tc>
        <w:tc>
          <w:p>
            <w:pPr>
              <w:pStyle w:val="Compact"/>
              <w:jc w:val="left"/>
            </w:pPr>
            <w:r>
              <w:t xml:space="preserve">0.6946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1005 (45%)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1239 (55%)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348 (16%)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1554 (69%)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123 (5%)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17.1Â±3.51</w:t>
            </w:r>
          </w:p>
        </w:tc>
        <w:tc>
          <w:p>
            <w:pPr>
              <w:pStyle w:val="Compact"/>
              <w:jc w:val="left"/>
            </w:pPr>
            <w:r>
              <w:t xml:space="preserve">0.8368</w:t>
            </w:r>
          </w:p>
        </w:tc>
      </w:tr>
    </w:tbl>
    <w:p>
      <w:pPr>
        <w:pStyle w:val="BodyText"/>
      </w:pPr>
      <w:r>
        <w:rPr>
          <w:b/>
        </w:rPr>
        <w:t xml:space="preserve">Table 2: Family History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Diagnosis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Any Family 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1st Degree Family 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Non-1st Degree Family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Thyroid.Disease</w:t>
            </w:r>
          </w:p>
        </w:tc>
        <w:tc>
          <w:p>
            <w:pPr>
              <w:pStyle w:val="Compact"/>
              <w:jc w:val="left"/>
            </w:pPr>
            <w:r>
              <w:t xml:space="preserve">886 (57%)</w:t>
            </w:r>
          </w:p>
        </w:tc>
        <w:tc>
          <w:p>
            <w:pPr>
              <w:pStyle w:val="Compact"/>
              <w:jc w:val="left"/>
            </w:pPr>
            <w:r>
              <w:t xml:space="preserve">311 (20%)</w:t>
            </w:r>
          </w:p>
        </w:tc>
        <w:tc>
          <w:p>
            <w:pPr>
              <w:pStyle w:val="Compact"/>
              <w:jc w:val="left"/>
            </w:pPr>
            <w:r>
              <w:t xml:space="preserve">716 (46%)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Diabetes.type.1</w:t>
            </w:r>
          </w:p>
        </w:tc>
        <w:tc>
          <w:p>
            <w:pPr>
              <w:pStyle w:val="Compact"/>
              <w:jc w:val="left"/>
            </w:pPr>
            <w:r>
              <w:t xml:space="preserve">777 (50%)</w:t>
            </w:r>
          </w:p>
        </w:tc>
        <w:tc>
          <w:p>
            <w:pPr>
              <w:pStyle w:val="Compact"/>
              <w:jc w:val="left"/>
            </w:pPr>
            <w:r>
              <w:t xml:space="preserve">169 (11%)</w:t>
            </w:r>
          </w:p>
        </w:tc>
        <w:tc>
          <w:p>
            <w:pPr>
              <w:pStyle w:val="Compact"/>
              <w:jc w:val="left"/>
            </w:pPr>
            <w:r>
              <w:t xml:space="preserve">667 (43%)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Celiac</w:t>
            </w:r>
          </w:p>
        </w:tc>
        <w:tc>
          <w:p>
            <w:pPr>
              <w:pStyle w:val="Compact"/>
              <w:jc w:val="left"/>
            </w:pPr>
            <w:r>
              <w:t xml:space="preserve">376 (24%)</w:t>
            </w:r>
          </w:p>
        </w:tc>
        <w:tc>
          <w:p>
            <w:pPr>
              <w:pStyle w:val="Compact"/>
              <w:jc w:val="left"/>
            </w:pPr>
            <w:r>
              <w:t xml:space="preserve">50 (3%)</w:t>
            </w:r>
          </w:p>
        </w:tc>
        <w:tc>
          <w:p>
            <w:pPr>
              <w:pStyle w:val="Compact"/>
              <w:jc w:val="left"/>
            </w:pPr>
            <w:r>
              <w:t xml:space="preserve">339 (22%)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283 (18%)</w:t>
            </w:r>
          </w:p>
        </w:tc>
        <w:tc>
          <w:p>
            <w:pPr>
              <w:pStyle w:val="Compact"/>
              <w:jc w:val="left"/>
            </w:pPr>
            <w:r>
              <w:t xml:space="preserve">98 (6%)</w:t>
            </w:r>
          </w:p>
        </w:tc>
        <w:tc>
          <w:p>
            <w:pPr>
              <w:pStyle w:val="Compact"/>
              <w:jc w:val="left"/>
            </w:pPr>
            <w:r>
              <w:t xml:space="preserve">212 (14%)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Rheumatoid.Arthritis</w:t>
            </w:r>
          </w:p>
        </w:tc>
        <w:tc>
          <w:p>
            <w:pPr>
              <w:pStyle w:val="Compact"/>
              <w:jc w:val="left"/>
            </w:pPr>
            <w:r>
              <w:t xml:space="preserve">174 (11%)</w:t>
            </w:r>
          </w:p>
        </w:tc>
        <w:tc>
          <w:p>
            <w:pPr>
              <w:pStyle w:val="Compact"/>
              <w:jc w:val="left"/>
            </w:pPr>
            <w:r>
              <w:t xml:space="preserve">21 (1%)</w:t>
            </w:r>
          </w:p>
        </w:tc>
        <w:tc>
          <w:p>
            <w:pPr>
              <w:pStyle w:val="Compact"/>
              <w:jc w:val="left"/>
            </w:pPr>
            <w:r>
              <w:t xml:space="preserve">159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Hypothyroidism</w:t>
            </w:r>
          </w:p>
        </w:tc>
        <w:tc>
          <w:p>
            <w:pPr>
              <w:pStyle w:val="Compact"/>
              <w:jc w:val="left"/>
            </w:pPr>
            <w:r>
              <w:t xml:space="preserve">169 (11%)</w:t>
            </w:r>
          </w:p>
        </w:tc>
        <w:tc>
          <w:p>
            <w:pPr>
              <w:pStyle w:val="Compact"/>
              <w:jc w:val="left"/>
            </w:pPr>
            <w:r>
              <w:t xml:space="preserve">87 (6%)</w:t>
            </w:r>
          </w:p>
        </w:tc>
        <w:tc>
          <w:p>
            <w:pPr>
              <w:pStyle w:val="Compact"/>
              <w:jc w:val="left"/>
            </w:pPr>
            <w:r>
              <w:t xml:space="preserve">117 (8%)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Addison.s.disease</w:t>
            </w:r>
          </w:p>
        </w:tc>
        <w:tc>
          <w:p>
            <w:pPr>
              <w:pStyle w:val="Compact"/>
              <w:jc w:val="left"/>
            </w:pPr>
            <w:r>
              <w:t xml:space="preserve">99 (6%)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96 (6%)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Vitiligo</w:t>
            </w:r>
          </w:p>
        </w:tc>
        <w:tc>
          <w:p>
            <w:pPr>
              <w:pStyle w:val="Compact"/>
              <w:jc w:val="left"/>
            </w:pPr>
            <w:r>
              <w:t xml:space="preserve">77 (5%)</w:t>
            </w:r>
          </w:p>
        </w:tc>
        <w:tc>
          <w:p>
            <w:pPr>
              <w:pStyle w:val="Compact"/>
              <w:jc w:val="left"/>
            </w:pPr>
            <w:r>
              <w:t xml:space="preserve">10 (1%)</w:t>
            </w:r>
          </w:p>
        </w:tc>
        <w:tc>
          <w:p>
            <w:pPr>
              <w:pStyle w:val="Compact"/>
              <w:jc w:val="left"/>
            </w:pPr>
            <w:r>
              <w:t xml:space="preserve">68 (4%)</w:t>
            </w:r>
          </w:p>
        </w:tc>
      </w:tr>
    </w:tbl>
    <w:p>
      <w:pPr>
        <w:pStyle w:val="BodyText"/>
      </w:pPr>
      <w:r>
        <w:rPr>
          <w:b/>
        </w:rPr>
        <w:t xml:space="preserve">Table 3: Timing of Events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 CAID was first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Addison’s</w:t>
            </w:r>
          </w:p>
        </w:tc>
        <w:tc>
          <w:p>
            <w:pPr>
              <w:pStyle w:val="Compact"/>
              <w:jc w:val="left"/>
            </w:pPr>
            <w:r>
              <w:t xml:space="preserve">6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Celiac</w:t>
            </w:r>
          </w:p>
        </w:tc>
        <w:tc>
          <w:p>
            <w:pPr>
              <w:pStyle w:val="Compact"/>
              <w:jc w:val="left"/>
            </w:pPr>
            <w:r>
              <w:t xml:space="preserve">185 (60%)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Thyroid</w:t>
            </w:r>
          </w:p>
        </w:tc>
        <w:tc>
          <w:p>
            <w:pPr>
              <w:pStyle w:val="Compact"/>
              <w:jc w:val="left"/>
            </w:pPr>
            <w:r>
              <w:t xml:space="preserve">115 (38%)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first CAID</w:t>
            </w:r>
          </w:p>
        </w:tc>
        <w:tc>
          <w:p>
            <w:pPr>
              <w:pStyle w:val="Compact"/>
              <w:jc w:val="left"/>
            </w:pPr>
            <w:r>
              <w:t xml:space="preserve">13.12Â±17.38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Thyroid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122 (84%)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22 (15%)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Thryoid Disease</w:t>
            </w:r>
          </w:p>
        </w:tc>
        <w:tc>
          <w:p>
            <w:pPr>
              <w:pStyle w:val="Compact"/>
              <w:jc w:val="left"/>
            </w:pPr>
            <w:r>
              <w:t xml:space="preserve">12.75Â±20.5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celiac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193 (92%)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5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11 (5%)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Thryoid Disease</w:t>
            </w:r>
          </w:p>
        </w:tc>
        <w:tc>
          <w:p>
            <w:pPr>
              <w:pStyle w:val="Compact"/>
              <w:jc w:val="left"/>
            </w:pPr>
            <w:r>
              <w:t xml:space="preserve">14.14Â±15.49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Addison’s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6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Addison Disease</w:t>
            </w:r>
          </w:p>
        </w:tc>
        <w:tc>
          <w:p>
            <w:pPr>
              <w:pStyle w:val="Compact"/>
              <w:jc w:val="left"/>
            </w:pPr>
            <w:r>
              <w:t xml:space="preserve">10.79Â±19.64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Years of Follow-up for no CAIDs</w:t>
            </w:r>
          </w:p>
        </w:tc>
        <w:tc>
          <w:p>
            <w:pPr>
              <w:pStyle w:val="Compact"/>
              <w:jc w:val="left"/>
            </w:pPr>
            <w:r>
              <w:t xml:space="preserve">36.12Â±25.42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CAID</dc:title>
  <dc:creator>Kristen Campbell</dc:creator>
  <cp:keywords/>
  <dcterms:created xsi:type="dcterms:W3CDTF">2019-07-16T22:01:52Z</dcterms:created>
  <dcterms:modified xsi:type="dcterms:W3CDTF">2019-07-16T22:01:52Z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8,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