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(Adj CI: 1.8,2.84)</w:t>
            </w:r>
          </w:p>
        </w:tc>
        <w:tc>
          <w:p>
            <w:pPr>
              <w:pStyle w:val="Compact"/>
              <w:jc w:val="left"/>
            </w:pPr>
            <w:r>
              <w:t xml:space="preserve">0.31 (Adj CI: -0.01,0.63)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(Adj CI: 0.64,1.62)</w:t>
            </w:r>
          </w:p>
        </w:tc>
        <w:tc>
          <w:p>
            <w:pPr>
              <w:pStyle w:val="Compact"/>
              <w:jc w:val="left"/>
            </w:pPr>
            <w:r>
              <w:t xml:space="preserve">0.02 (Adj CI: -0.28,0.33)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-0.28,0.64)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-0.25,0.31)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 (Adj CI: -2.18,-1.02)</w:t>
            </w:r>
          </w:p>
        </w:tc>
        <w:tc>
          <w:p>
            <w:pPr>
              <w:pStyle w:val="Compact"/>
              <w:jc w:val="left"/>
            </w:pPr>
            <w:r>
              <w:t xml:space="preserve">-0.12 (Adj CI: -0.56,0.33)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-0.91 (Adj CI: -1.46,-0.36)</w:t>
            </w:r>
          </w:p>
        </w:tc>
        <w:tc>
          <w:p>
            <w:pPr>
              <w:pStyle w:val="Compact"/>
              <w:jc w:val="left"/>
            </w:pPr>
            <w:r>
              <w:t xml:space="preserve">-0.23 (Adj CI: -0.64,0.19)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-0.89 (Adj CI: -1.4,-0.37)</w:t>
            </w:r>
          </w:p>
        </w:tc>
        <w:tc>
          <w:p>
            <w:pPr>
              <w:pStyle w:val="Compact"/>
              <w:jc w:val="left"/>
            </w:pPr>
            <w:r>
              <w:t xml:space="preserve">-0.09 (Adj CI: -0.48,0.3)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(Adj CI: 1.71,2.84)</w:t>
            </w:r>
          </w:p>
        </w:tc>
        <w:tc>
          <w:p>
            <w:pPr>
              <w:pStyle w:val="Compact"/>
              <w:jc w:val="left"/>
            </w:pPr>
            <w:r>
              <w:t xml:space="preserve">0.4 (Adj CI: 0.04,0.76)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(Adj CI: 0.51,1.45)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-0.2,0.4)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-0.31,0.57)</w:t>
            </w:r>
          </w:p>
        </w:tc>
        <w:tc>
          <w:p>
            <w:pPr>
              <w:pStyle w:val="Compact"/>
              <w:jc w:val="left"/>
            </w:pPr>
            <w:r>
              <w:t xml:space="preserve">0.16 (Adj CI: -0.12,0.44)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-1.98 (Adj CI: -2.63,-1.33)</w:t>
            </w:r>
          </w:p>
        </w:tc>
        <w:tc>
          <w:p>
            <w:pPr>
              <w:pStyle w:val="Compact"/>
              <w:jc w:val="left"/>
            </w:pPr>
            <w:r>
              <w:t xml:space="preserve">0.14 (Adj CI: -0.37,0.66)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-1.19 (Adj CI: -1.73,-0.65)</w:t>
            </w:r>
          </w:p>
        </w:tc>
        <w:tc>
          <w:p>
            <w:pPr>
              <w:pStyle w:val="Compact"/>
              <w:jc w:val="left"/>
            </w:pPr>
            <w:r>
              <w:t xml:space="preserve">-0.08 (Adj CI: -0.5,0.35)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-1.16 (Adj CI: -1.68,-0.65)</w:t>
            </w:r>
          </w:p>
        </w:tc>
        <w:tc>
          <w:p>
            <w:pPr>
              <w:pStyle w:val="Compact"/>
              <w:jc w:val="left"/>
            </w:pPr>
            <w:r>
              <w:t xml:space="preserve">0.04 (Adj CI: -0.37,0.44)</w:t>
            </w:r>
          </w:p>
        </w:tc>
      </w:tr>
    </w:tbl>
    <w:p>
      <w:pPr>
        <w:pStyle w:val="BodyText"/>
      </w:pP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274 (26%)</w:t>
            </w:r>
          </w:p>
        </w:tc>
        <w:tc>
          <w:p>
            <w:pPr>
              <w:pStyle w:val="Compact"/>
              <w:jc w:val="left"/>
            </w:pPr>
            <w:r>
              <w:t xml:space="preserve">115 (23%)</w:t>
            </w:r>
          </w:p>
        </w:tc>
        <w:tc>
          <w:p>
            <w:pPr>
              <w:pStyle w:val="Compact"/>
              <w:jc w:val="left"/>
            </w:pPr>
            <w:r>
              <w:t xml:space="preserve">159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579 (56%)</w:t>
            </w:r>
          </w:p>
        </w:tc>
        <w:tc>
          <w:p>
            <w:pPr>
              <w:pStyle w:val="Compact"/>
              <w:jc w:val="left"/>
            </w:pPr>
            <w:r>
              <w:t xml:space="preserve">279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2019-09-03T20:17:27Z</dcterms:created>
  <dcterms:modified xsi:type="dcterms:W3CDTF">2019-09-03T20:17:27Z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