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6 mo Survey, years</w:t>
            </w:r>
          </w:p>
        </w:tc>
        <w:tc>
          <w:p>
            <w:pPr>
              <w:pStyle w:val="Compact"/>
              <w:jc w:val="left"/>
            </w:pPr>
            <w:r>
              <w:t xml:space="preserve">31.83Â±18.86</w:t>
            </w:r>
          </w:p>
        </w:tc>
        <w:tc>
          <w:p>
            <w:pPr>
              <w:pStyle w:val="Compact"/>
              <w:jc w:val="left"/>
            </w:pPr>
            <w:r>
              <w:t xml:space="preserve">38.79Â±15.13</w:t>
            </w:r>
          </w:p>
        </w:tc>
        <w:tc>
          <w:p>
            <w:pPr>
              <w:pStyle w:val="Compact"/>
              <w:jc w:val="left"/>
            </w:pPr>
            <w:r>
              <w:t xml:space="preserve">38.3Â±16.99</w:t>
            </w:r>
          </w:p>
        </w:tc>
        <w:tc>
          <w:p>
            <w:pPr>
              <w:pStyle w:val="Compact"/>
              <w:jc w:val="lef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21 (13%)</w:t>
            </w:r>
          </w:p>
        </w:tc>
        <w:tc>
          <w:p>
            <w:pPr>
              <w:pStyle w:val="Compact"/>
              <w:jc w:val="left"/>
            </w:pPr>
            <w:r>
              <w:t xml:space="preserve">51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138 (87%)</w:t>
            </w:r>
          </w:p>
        </w:tc>
        <w:tc>
          <w:p>
            <w:pPr>
              <w:pStyle w:val="Compact"/>
              <w:jc w:val="left"/>
            </w:pPr>
            <w:r>
              <w:t xml:space="preserve">249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(70.98 %) finished a 2 month survey, so that time point was used as the mid-point. 157 (29.02 %)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(95% CI: 1.87,2.69)</w:t>
            </w:r>
          </w:p>
        </w:tc>
        <w:tc>
          <w:p>
            <w:pPr>
              <w:pStyle w:val="Compact"/>
              <w:jc w:val="left"/>
            </w:pPr>
            <w:r>
              <w:t xml:space="preserve">0.36 (95% CI: 0.11,0.61)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1.07 (95% CI: 0.69,1.44)</w:t>
            </w:r>
          </w:p>
        </w:tc>
        <w:tc>
          <w:p>
            <w:pPr>
              <w:pStyle w:val="Compact"/>
              <w:jc w:val="left"/>
            </w:pPr>
            <w:r>
              <w:t xml:space="preserve">0.1 (95% CI: -0.13,0.33)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0.12 (95% CI: -0.23,0.48)</w:t>
            </w:r>
          </w:p>
        </w:tc>
        <w:tc>
          <w:p>
            <w:pPr>
              <w:pStyle w:val="Compact"/>
              <w:jc w:val="left"/>
            </w:pPr>
            <w:r>
              <w:t xml:space="preserve">0.1 (95% CI: -0.12,0.31)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-1.76 (95% CI: -2.21,-1.3)</w:t>
            </w:r>
          </w:p>
        </w:tc>
        <w:tc>
          <w:p>
            <w:pPr>
              <w:pStyle w:val="Compact"/>
              <w:jc w:val="left"/>
            </w:pPr>
            <w:r>
              <w:t xml:space="preserve">-0.07 (95% CI: -0.43,0.28)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-1.16 (95% CI: -1.57,-0.74)</w:t>
            </w:r>
          </w:p>
        </w:tc>
        <w:tc>
          <w:p>
            <w:pPr>
              <w:pStyle w:val="Compact"/>
              <w:jc w:val="left"/>
            </w:pPr>
            <w:r>
              <w:t xml:space="preserve">-0.14 (95% CI: -0.46,0.17)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-1.18 (95% CI: -1.57,-0.79)</w:t>
            </w:r>
          </w:p>
        </w:tc>
        <w:tc>
          <w:p>
            <w:pPr>
              <w:pStyle w:val="Compact"/>
              <w:jc w:val="left"/>
            </w:pPr>
            <w:r>
              <w:t xml:space="preserve">-0.01 (95% CI: -0.31,0.29)</w:t>
            </w:r>
          </w:p>
        </w:tc>
      </w:tr>
    </w:tbl>
    <w:p>
      <w:pPr>
        <w:pStyle w:val="BodyText"/>
      </w:pPr>
      <w:r>
        <w:t xml:space="preserve">##Supplemental Table:</w:t>
      </w:r>
      <w:r>
        <w:t xml:space="preserve"> </w:t>
      </w:r>
      <w:r>
        <w:rPr>
          <w:b/>
        </w:rPr>
        <w:t xml:space="preserve">Table S1: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7e-04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233 (22%)</w:t>
            </w:r>
          </w:p>
        </w:tc>
        <w:tc>
          <w:p>
            <w:pPr>
              <w:pStyle w:val="Compact"/>
              <w:jc w:val="left"/>
            </w:pPr>
            <w:r>
              <w:t xml:space="preserve">138 (27%)</w:t>
            </w:r>
          </w:p>
        </w:tc>
        <w:tc>
          <w:p>
            <w:pPr>
              <w:pStyle w:val="Compact"/>
              <w:jc w:val="left"/>
            </w:pPr>
            <w:r>
              <w:t xml:space="preserve">95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  <w:tc>
          <w:p>
            <w:pPr>
              <w:pStyle w:val="Compact"/>
              <w:jc w:val="left"/>
            </w:pPr>
            <w:r>
              <w:t xml:space="preserve">8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799 (76%)</w:t>
            </w:r>
          </w:p>
        </w:tc>
        <w:tc>
          <w:p>
            <w:pPr>
              <w:pStyle w:val="Compact"/>
              <w:jc w:val="left"/>
            </w:pPr>
            <w:r>
              <w:t xml:space="preserve">361 (71%)</w:t>
            </w:r>
          </w:p>
        </w:tc>
        <w:tc>
          <w:p>
            <w:pPr>
              <w:pStyle w:val="Compact"/>
              <w:jc w:val="left"/>
            </w:pPr>
            <w:r>
              <w:t xml:space="preserve">438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36.22Â±17.43</w:t>
            </w:r>
          </w:p>
        </w:tc>
        <w:tc>
          <w:p>
            <w:pPr>
              <w:pStyle w:val="Compact"/>
              <w:jc w:val="left"/>
            </w:pPr>
            <w:r>
              <w:t xml:space="preserve">34.92Â±17.89</w:t>
            </w:r>
          </w:p>
        </w:tc>
        <w:tc>
          <w:p>
            <w:pPr>
              <w:pStyle w:val="Compact"/>
              <w:jc w:val="left"/>
            </w:pPr>
            <w:r>
              <w:t xml:space="preserve">37.46Â±16.91</w:t>
            </w:r>
          </w:p>
        </w:tc>
        <w:tc>
          <w:p>
            <w:pPr>
              <w:pStyle w:val="Compact"/>
              <w:jc w:val="left"/>
            </w:pPr>
            <w:r>
              <w:t xml:space="preserve">0.0178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218 (21%)</w:t>
            </w:r>
          </w:p>
        </w:tc>
        <w:tc>
          <w:p>
            <w:pPr>
              <w:pStyle w:val="Compact"/>
              <w:jc w:val="left"/>
            </w:pPr>
            <w:r>
              <w:t xml:space="preserve">118 (23%)</w:t>
            </w:r>
          </w:p>
        </w:tc>
        <w:tc>
          <w:p>
            <w:pPr>
              <w:pStyle w:val="Compact"/>
              <w:jc w:val="left"/>
            </w:pPr>
            <w:r>
              <w:t xml:space="preserve">100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843 (79%)</w:t>
            </w:r>
          </w:p>
        </w:tc>
        <w:tc>
          <w:p>
            <w:pPr>
              <w:pStyle w:val="Compact"/>
              <w:jc w:val="left"/>
            </w:pPr>
            <w:r>
              <w:t xml:space="preserve">402 (77%)</w:t>
            </w:r>
          </w:p>
        </w:tc>
        <w:tc>
          <w:p>
            <w:pPr>
              <w:pStyle w:val="Compact"/>
              <w:jc w:val="left"/>
            </w:pPr>
            <w:r>
              <w:t xml:space="preserve">441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276 (56%)</w:t>
            </w:r>
          </w:p>
        </w:tc>
        <w:tc>
          <w:p>
            <w:pPr>
              <w:pStyle w:val="Compact"/>
              <w:jc w:val="left"/>
            </w:pPr>
            <w:r>
              <w:t xml:space="preserve">298 (55%)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2019-08-26T16:44:21Z</dcterms:created>
  <dcterms:modified xsi:type="dcterms:W3CDTF">2019-08-26T16:44:21Z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