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35FD1C" w14:textId="77777777" w:rsidR="00B762A8" w:rsidRDefault="00000000">
      <w:pPr>
        <w:spacing w:after="40"/>
      </w:pPr>
      <w:r>
        <w:rPr>
          <w:b/>
          <w:color w:val="2E74B5"/>
          <w:sz w:val="19"/>
        </w:rPr>
        <w:t>WEEK 8  |  EVALUATION EXPANSION</w:t>
      </w:r>
    </w:p>
    <w:p w14:paraId="393BEB59" w14:textId="77777777" w:rsidR="00B762A8" w:rsidRDefault="00000000">
      <w:pPr>
        <w:keepNext/>
        <w:spacing w:after="60"/>
      </w:pPr>
      <w:r>
        <w:rPr>
          <w:b/>
          <w:sz w:val="46"/>
        </w:rPr>
        <w:t>Five-Model Performance Brief</w:t>
      </w:r>
    </w:p>
    <w:p w14:paraId="4AC07672" w14:textId="77777777" w:rsidR="00B762A8" w:rsidRDefault="00000000">
      <w:pPr>
        <w:spacing w:after="180"/>
      </w:pPr>
      <w:r>
        <w:rPr>
          <w:color w:val="595959"/>
          <w:sz w:val="24"/>
        </w:rPr>
        <w:t>Out-of-time evaluation on the latest 12-month training window</w:t>
      </w:r>
    </w:p>
    <w:p w14:paraId="548CC755" w14:textId="77777777" w:rsidR="00B762A8" w:rsidRDefault="00000000">
      <w:pPr>
        <w:spacing w:after="30" w:line="240" w:lineRule="auto"/>
      </w:pPr>
      <w:r>
        <w:rPr>
          <w:b/>
          <w:sz w:val="19"/>
        </w:rPr>
        <w:t xml:space="preserve">Training window: </w:t>
      </w:r>
      <w:r>
        <w:rPr>
          <w:sz w:val="19"/>
        </w:rPr>
        <w:t>June 2025-May 2026 | 130,060 sales</w:t>
      </w:r>
    </w:p>
    <w:p w14:paraId="37C7F281" w14:textId="77777777" w:rsidR="00B762A8" w:rsidRDefault="00000000">
      <w:pPr>
        <w:spacing w:after="30" w:line="240" w:lineRule="auto"/>
      </w:pPr>
      <w:r>
        <w:rPr>
          <w:b/>
          <w:sz w:val="19"/>
        </w:rPr>
        <w:t xml:space="preserve">Held-out test: </w:t>
      </w:r>
      <w:r>
        <w:rPr>
          <w:sz w:val="19"/>
        </w:rPr>
        <w:t>June 2026 | 12,857 sales</w:t>
      </w:r>
    </w:p>
    <w:p w14:paraId="0CAF048D" w14:textId="77777777" w:rsidR="00B762A8" w:rsidRPr="00A21FBD" w:rsidRDefault="00000000">
      <w:pPr>
        <w:spacing w:after="30" w:line="240" w:lineRule="auto"/>
        <w:rPr>
          <w:bCs/>
          <w:u w:val="single"/>
        </w:rPr>
      </w:pPr>
      <w:r w:rsidRPr="00A21FBD">
        <w:rPr>
          <w:b/>
          <w:sz w:val="19"/>
          <w:u w:val="single"/>
        </w:rPr>
        <w:t>Common inputs</w:t>
      </w:r>
      <w:r w:rsidRPr="00A21FBD">
        <w:rPr>
          <w:bCs/>
          <w:sz w:val="19"/>
          <w:u w:val="single"/>
        </w:rPr>
        <w:t>: 1,193 encoded Week 6 engineered features; no June rows removed</w:t>
      </w:r>
    </w:p>
    <w:p w14:paraId="314E45DA" w14:textId="35977187" w:rsidR="00B762A8" w:rsidRDefault="00000000">
      <w:pPr>
        <w:spacing w:before="180" w:after="140"/>
      </w:pPr>
      <w:proofErr w:type="spellStart"/>
      <w:r>
        <w:rPr>
          <w:b/>
        </w:rPr>
        <w:t>XGBoost</w:t>
      </w:r>
      <w:proofErr w:type="spellEnd"/>
      <w:r>
        <w:rPr>
          <w:b/>
        </w:rPr>
        <w:t xml:space="preserve"> best controls statewide variance and large dollar misses, while Random Forest gives the lowest percentage error for the typical sale. No single model leads every metric.</w:t>
      </w:r>
    </w:p>
    <w:p w14:paraId="22DA919E" w14:textId="77777777" w:rsidR="00B762A8" w:rsidRDefault="00000000">
      <w:pPr>
        <w:pStyle w:val="Heading1"/>
      </w:pPr>
      <w:r>
        <w:t>Held-out results</w:t>
      </w:r>
    </w:p>
    <w:p w14:paraId="36111093" w14:textId="77777777" w:rsidR="00B762A8" w:rsidRDefault="00000000">
      <w:pPr>
        <w:keepNext/>
        <w:spacing w:before="80" w:after="80"/>
      </w:pPr>
      <w:r>
        <w:rPr>
          <w:i/>
          <w:color w:val="595959"/>
          <w:sz w:val="18"/>
        </w:rPr>
        <w:t>Table 1. June 2026 test metrics; shaded cells mark the best value in each metric.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50"/>
        <w:gridCol w:w="900"/>
        <w:gridCol w:w="1050"/>
        <w:gridCol w:w="1050"/>
        <w:gridCol w:w="2000"/>
        <w:gridCol w:w="1910"/>
      </w:tblGrid>
      <w:tr w:rsidR="00B762A8" w14:paraId="6AD2C216" w14:textId="77777777">
        <w:trPr>
          <w:tblHeader/>
        </w:trPr>
        <w:tc>
          <w:tcPr>
            <w:tcW w:w="24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59764" w14:textId="77777777" w:rsidR="00B762A8" w:rsidRDefault="00000000">
            <w:pPr>
              <w:spacing w:after="0" w:line="240" w:lineRule="auto"/>
            </w:pPr>
            <w:r>
              <w:rPr>
                <w:b/>
                <w:color w:val="1F4D78"/>
                <w:sz w:val="18"/>
              </w:rPr>
              <w:t>Model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B5D1" w14:textId="77777777" w:rsidR="00B762A8" w:rsidRDefault="00000000">
            <w:pPr>
              <w:spacing w:after="0" w:line="240" w:lineRule="auto"/>
              <w:jc w:val="center"/>
            </w:pPr>
            <w:r>
              <w:rPr>
                <w:b/>
                <w:color w:val="1F4D78"/>
                <w:sz w:val="18"/>
              </w:rPr>
              <w:t>R²</w:t>
            </w:r>
          </w:p>
        </w:tc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C847" w14:textId="77777777" w:rsidR="00B762A8" w:rsidRDefault="00000000">
            <w:pPr>
              <w:spacing w:after="0" w:line="240" w:lineRule="auto"/>
              <w:jc w:val="center"/>
            </w:pPr>
            <w:r>
              <w:rPr>
                <w:b/>
                <w:color w:val="1F4D78"/>
                <w:sz w:val="18"/>
              </w:rPr>
              <w:t>MAPE</w:t>
            </w:r>
          </w:p>
        </w:tc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40BDB" w14:textId="77777777" w:rsidR="00B762A8" w:rsidRDefault="00000000">
            <w:pPr>
              <w:spacing w:after="0" w:line="240" w:lineRule="auto"/>
              <w:jc w:val="center"/>
            </w:pPr>
            <w:r>
              <w:rPr>
                <w:b/>
                <w:color w:val="1F4D78"/>
                <w:sz w:val="18"/>
              </w:rPr>
              <w:t>MdAPE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7B602" w14:textId="77777777" w:rsidR="00B762A8" w:rsidRDefault="00000000">
            <w:pPr>
              <w:spacing w:after="0" w:line="240" w:lineRule="auto"/>
              <w:jc w:val="center"/>
            </w:pPr>
            <w:r>
              <w:rPr>
                <w:b/>
                <w:color w:val="1F4D78"/>
                <w:sz w:val="18"/>
              </w:rPr>
              <w:t>MSE ($², bn)</w:t>
            </w:r>
          </w:p>
        </w:tc>
        <w:tc>
          <w:tcPr>
            <w:tcW w:w="191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E68AE" w14:textId="77777777" w:rsidR="00B762A8" w:rsidRDefault="00000000">
            <w:pPr>
              <w:spacing w:after="0" w:line="240" w:lineRule="auto"/>
              <w:jc w:val="center"/>
            </w:pPr>
            <w:r>
              <w:rPr>
                <w:b/>
                <w:color w:val="1F4D78"/>
                <w:sz w:val="18"/>
              </w:rPr>
              <w:t>RMSE</w:t>
            </w:r>
          </w:p>
        </w:tc>
      </w:tr>
      <w:tr w:rsidR="00B762A8" w14:paraId="433F9318" w14:textId="77777777">
        <w:tc>
          <w:tcPr>
            <w:tcW w:w="24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AEE5" w14:textId="77777777" w:rsidR="00B762A8" w:rsidRDefault="00000000">
            <w:pPr>
              <w:spacing w:after="0" w:line="240" w:lineRule="auto"/>
            </w:pPr>
            <w:r>
              <w:rPr>
                <w:sz w:val="18"/>
              </w:rPr>
              <w:t>XGBoost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E460F" w14:textId="77777777" w:rsidR="00B762A8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0.812</w:t>
            </w:r>
          </w:p>
        </w:tc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7023" w14:textId="77777777" w:rsidR="00B762A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25.20%</w:t>
            </w:r>
          </w:p>
        </w:tc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BB83" w14:textId="77777777" w:rsidR="00B762A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11.77%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97C4" w14:textId="77777777" w:rsidR="00B762A8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444.8</w:t>
            </w:r>
          </w:p>
        </w:tc>
        <w:tc>
          <w:tcPr>
            <w:tcW w:w="191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CE164" w14:textId="77777777" w:rsidR="00B762A8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$666.9k</w:t>
            </w:r>
          </w:p>
        </w:tc>
      </w:tr>
      <w:tr w:rsidR="00B762A8" w14:paraId="2A01D803" w14:textId="77777777">
        <w:tc>
          <w:tcPr>
            <w:tcW w:w="24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CA6B" w14:textId="77777777" w:rsidR="00B762A8" w:rsidRDefault="00000000">
            <w:pPr>
              <w:spacing w:after="0" w:line="240" w:lineRule="auto"/>
            </w:pPr>
            <w:r>
              <w:rPr>
                <w:sz w:val="18"/>
              </w:rPr>
              <w:t>LightGBM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46EBF" w14:textId="77777777" w:rsidR="00B762A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0.798</w:t>
            </w:r>
          </w:p>
        </w:tc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633D" w14:textId="77777777" w:rsidR="00B762A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26.56%</w:t>
            </w:r>
          </w:p>
        </w:tc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EA70" w14:textId="77777777" w:rsidR="00B762A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12.23%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84E7" w14:textId="77777777" w:rsidR="00B762A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478.0</w:t>
            </w:r>
          </w:p>
        </w:tc>
        <w:tc>
          <w:tcPr>
            <w:tcW w:w="191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D974B" w14:textId="77777777" w:rsidR="00B762A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$691.4k</w:t>
            </w:r>
          </w:p>
        </w:tc>
      </w:tr>
      <w:tr w:rsidR="00B762A8" w14:paraId="6D7EC1F8" w14:textId="77777777">
        <w:tc>
          <w:tcPr>
            <w:tcW w:w="24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8B4AC" w14:textId="77777777" w:rsidR="00B762A8" w:rsidRDefault="00000000">
            <w:pPr>
              <w:spacing w:after="0" w:line="240" w:lineRule="auto"/>
            </w:pPr>
            <w:r>
              <w:rPr>
                <w:sz w:val="18"/>
              </w:rPr>
              <w:t>Random Forest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7EC32" w14:textId="77777777" w:rsidR="00B762A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0.749</w:t>
            </w:r>
          </w:p>
        </w:tc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D1F78" w14:textId="77777777" w:rsidR="00B762A8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23.69%</w:t>
            </w:r>
          </w:p>
        </w:tc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D0840" w14:textId="77777777" w:rsidR="00B762A8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9.14%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47EE" w14:textId="77777777" w:rsidR="00B762A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593.5</w:t>
            </w:r>
          </w:p>
        </w:tc>
        <w:tc>
          <w:tcPr>
            <w:tcW w:w="191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E56A4" w14:textId="77777777" w:rsidR="00B762A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$770.4k</w:t>
            </w:r>
          </w:p>
        </w:tc>
      </w:tr>
      <w:tr w:rsidR="00B762A8" w14:paraId="4E8ED6F1" w14:textId="77777777">
        <w:tc>
          <w:tcPr>
            <w:tcW w:w="24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4329E" w14:textId="77777777" w:rsidR="00B762A8" w:rsidRDefault="00000000">
            <w:pPr>
              <w:spacing w:after="0" w:line="240" w:lineRule="auto"/>
            </w:pPr>
            <w:r>
              <w:rPr>
                <w:sz w:val="18"/>
              </w:rPr>
              <w:t>Decision Tree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6A40C" w14:textId="77777777" w:rsidR="00B762A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0.722</w:t>
            </w:r>
          </w:p>
        </w:tc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05999" w14:textId="77777777" w:rsidR="00B762A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26.30%</w:t>
            </w:r>
          </w:p>
        </w:tc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9F203" w14:textId="77777777" w:rsidR="00B762A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10.61%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6361C" w14:textId="77777777" w:rsidR="00B762A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657.2</w:t>
            </w:r>
          </w:p>
        </w:tc>
        <w:tc>
          <w:tcPr>
            <w:tcW w:w="191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67B8E" w14:textId="77777777" w:rsidR="00B762A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$810.7k</w:t>
            </w:r>
          </w:p>
        </w:tc>
      </w:tr>
      <w:tr w:rsidR="00B762A8" w14:paraId="0BCF8D88" w14:textId="77777777">
        <w:tc>
          <w:tcPr>
            <w:tcW w:w="24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CC04" w14:textId="77777777" w:rsidR="00B762A8" w:rsidRDefault="00000000">
            <w:pPr>
              <w:spacing w:after="0" w:line="240" w:lineRule="auto"/>
            </w:pPr>
            <w:r>
              <w:rPr>
                <w:sz w:val="18"/>
              </w:rPr>
              <w:t>Linear Regression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7A7F2" w14:textId="77777777" w:rsidR="00B762A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0.699</w:t>
            </w:r>
          </w:p>
        </w:tc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2B75E" w14:textId="77777777" w:rsidR="00B762A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33.82%</w:t>
            </w:r>
          </w:p>
        </w:tc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183C9" w14:textId="77777777" w:rsidR="00B762A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17.98%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9B2C6" w14:textId="77777777" w:rsidR="00B762A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711.5</w:t>
            </w:r>
          </w:p>
        </w:tc>
        <w:tc>
          <w:tcPr>
            <w:tcW w:w="191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C4067" w14:textId="77777777" w:rsidR="00B762A8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$843.5k</w:t>
            </w:r>
          </w:p>
        </w:tc>
      </w:tr>
    </w:tbl>
    <w:p w14:paraId="34755347" w14:textId="77777777" w:rsidR="00B762A8" w:rsidRDefault="00000000">
      <w:pPr>
        <w:spacing w:before="80" w:after="100"/>
      </w:pPr>
      <w:r>
        <w:rPr>
          <w:i/>
          <w:color w:val="595959"/>
          <w:sz w:val="17"/>
        </w:rPr>
        <w:t>MSE is shown in billions of squared dollars; RMSE is shown in dollars. Lower error metrics are better.</w:t>
      </w:r>
    </w:p>
    <w:p w14:paraId="14089F77" w14:textId="4DE8563E" w:rsidR="00B762A8" w:rsidRDefault="00000000">
      <w:pPr>
        <w:pStyle w:val="Heading1"/>
      </w:pPr>
      <w:r>
        <w:t>Interpretation</w:t>
      </w:r>
      <w:r w:rsidR="00A21FBD">
        <w:t>s</w:t>
      </w:r>
    </w:p>
    <w:p w14:paraId="29DA5573" w14:textId="77777777" w:rsidR="00B762A8" w:rsidRDefault="00000000">
      <w:r>
        <w:rPr>
          <w:b/>
          <w:color w:val="1F4D78"/>
        </w:rPr>
        <w:t xml:space="preserve">Best overall variance and tail-error control. </w:t>
      </w:r>
      <w:r>
        <w:t>XGBoost explains 81.2% of June price variance (R² 0.812) and posts the lowest RMSE ($666,903) and MSE (444.8 billion squared dollars). LightGBM is close at R² 0.798 and $691,360 RMSE.</w:t>
      </w:r>
    </w:p>
    <w:p w14:paraId="380CDF9D" w14:textId="77777777" w:rsidR="00B762A8" w:rsidRDefault="00000000">
      <w:r>
        <w:rPr>
          <w:b/>
          <w:color w:val="1F4D78"/>
        </w:rPr>
        <w:t xml:space="preserve">Best typical relative accuracy. </w:t>
      </w:r>
      <w:r>
        <w:t>Random Forest has the lowest MAPE (23.69%) and MdAPE (9.14%). Its lower R² (0.749) and higher RMSE ($770,385) show that it handles the typical sale well but is less effective on the large dollar misses that drive statewide variance.</w:t>
      </w:r>
    </w:p>
    <w:p w14:paraId="60EB64C6" w14:textId="77777777" w:rsidR="00B762A8" w:rsidRDefault="00000000">
      <w:r>
        <w:rPr>
          <w:b/>
          <w:color w:val="1F4D78"/>
        </w:rPr>
        <w:t xml:space="preserve">Prior-week models on the new month. </w:t>
      </w:r>
      <w:r>
        <w:t xml:space="preserve">The single Decision Tree reaches 10.61% MdAPE but only R² 0.722; averaging trees improves stability. Linear Regression ranks last on every headline error measure (R² 0.699; MdAPE 17.98%; RMSE $843,525), confirming that </w:t>
      </w:r>
      <w:r w:rsidRPr="00A21FBD">
        <w:rPr>
          <w:b/>
          <w:bCs/>
        </w:rPr>
        <w:t>important price relationships remain nonlinear</w:t>
      </w:r>
      <w:r>
        <w:t>.</w:t>
      </w:r>
    </w:p>
    <w:p w14:paraId="4185D87F" w14:textId="77777777" w:rsidR="00B762A8" w:rsidRDefault="00000000">
      <w:r>
        <w:rPr>
          <w:b/>
          <w:color w:val="1F4D78"/>
        </w:rPr>
        <w:t xml:space="preserve">Recommendation. </w:t>
      </w:r>
      <w:r>
        <w:t xml:space="preserve">Carry </w:t>
      </w:r>
      <w:r w:rsidRPr="00A21FBD">
        <w:rPr>
          <w:b/>
          <w:bCs/>
        </w:rPr>
        <w:t>XGBoost</w:t>
      </w:r>
      <w:r>
        <w:t xml:space="preserve"> forward as the primary statewide candidate when explaining </w:t>
      </w:r>
      <w:r w:rsidRPr="00A21FBD">
        <w:rPr>
          <w:u w:val="single"/>
        </w:rPr>
        <w:t>overall price variation and limiting high-dollar misses are the priority</w:t>
      </w:r>
      <w:r>
        <w:t xml:space="preserve">. Keep </w:t>
      </w:r>
      <w:r w:rsidRPr="00A21FBD">
        <w:rPr>
          <w:b/>
          <w:bCs/>
        </w:rPr>
        <w:t>Random Forest</w:t>
      </w:r>
      <w:r>
        <w:t xml:space="preserve"> as </w:t>
      </w:r>
      <w:r w:rsidRPr="00A21FBD">
        <w:rPr>
          <w:u w:val="single"/>
        </w:rPr>
        <w:t>the percentage-error benchmark and a possible ensemble partner</w:t>
      </w:r>
      <w:r>
        <w:t>. Recheck both on future rolling monthly holdouts and by price band before a production choice.</w:t>
      </w:r>
    </w:p>
    <w:p>
      <w:r>
        <w:br w:type="page"/>
      </w:r>
    </w:p>
    <w:p>
      <w:pPr>
        <w:pStyle w:val="Heading1"/>
        <w:keepNext/>
      </w:pPr>
      <w:r>
        <w:t>Price-band performance</w:t>
      </w:r>
    </w:p>
    <w:p>
      <w:pPr>
        <w:spacing w:before="0" w:after="120" w:line="259" w:lineRule="auto"/>
      </w:pPr>
      <w:r>
        <w:rPr>
          <w:rFonts w:ascii="Calibri" w:hAnsi="Calibri"/>
          <w:b w:val="0"/>
          <w:i w:val="0"/>
          <w:color w:val="000000"/>
          <w:sz w:val="21"/>
        </w:rPr>
        <w:t>June 2026 sales were split into five equal-frequency price bands (about 2,550-2,620 sales each). Better and weaker bands below are ranked by MdAPE, so the comparison focuses on typical relative error.</w:t>
      </w:r>
    </w:p>
    <w:p>
      <w:pPr>
        <w:keepNext/>
        <w:spacing w:before="80" w:after="80"/>
      </w:pPr>
      <w:r>
        <w:rPr>
          <w:rFonts w:ascii="Calibri" w:hAnsi="Calibri"/>
          <w:b w:val="0"/>
          <w:i/>
          <w:color w:val="595959"/>
          <w:sz w:val="18"/>
        </w:rPr>
        <w:t>Table 2. Best and weakest June 2026 price bands within each model.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000"/>
        <w:gridCol w:w="1100"/>
        <w:gridCol w:w="2200"/>
        <w:gridCol w:w="1260"/>
      </w:tblGrid>
      <w:tr>
        <w:trPr>
          <w:tblHeader w:val="true"/>
        </w:trPr>
        <w:tc>
          <w:tcPr>
            <w:tcW w:type="dxa" w:w="1800"/>
            <w:shd w:fill="F2F4F7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Model</w:t>
            </w:r>
          </w:p>
        </w:tc>
        <w:tc>
          <w:tcPr>
            <w:tcW w:type="dxa" w:w="3000"/>
            <w:shd w:fill="F2F4F7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Better bands</w:t>
            </w:r>
          </w:p>
        </w:tc>
        <w:tc>
          <w:tcPr>
            <w:tcW w:type="dxa" w:w="1100"/>
            <w:shd w:fill="F2F4F7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Best MdAPE</w:t>
            </w:r>
          </w:p>
        </w:tc>
        <w:tc>
          <w:tcPr>
            <w:tcW w:type="dxa" w:w="2200"/>
            <w:shd w:fill="F2F4F7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Weakest band</w:t>
            </w:r>
          </w:p>
        </w:tc>
        <w:tc>
          <w:tcPr>
            <w:tcW w:type="dxa" w:w="1260"/>
            <w:shd w:fill="F2F4F7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Weak MdAPE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XGBoost</w:t>
            </w:r>
          </w:p>
        </w:tc>
        <w:tc>
          <w:tcPr>
            <w:tcW w:type="dxa" w:w="30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DEB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$800k-$1.1M; $575k-$800k</w:t>
            </w:r>
          </w:p>
        </w:tc>
        <w:tc>
          <w:tcPr>
            <w:tcW w:type="dxa" w:w="11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DEB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9.88%</w:t>
            </w:r>
          </w:p>
        </w:tc>
        <w:tc>
          <w:tcPr>
            <w:tcW w:type="dxa" w:w="22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Up to $575k</w:t>
            </w:r>
          </w:p>
        </w:tc>
        <w:tc>
          <w:tcPr>
            <w:tcW w:type="dxa" w:w="126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15.06%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LightGBM</w:t>
            </w:r>
          </w:p>
        </w:tc>
        <w:tc>
          <w:tcPr>
            <w:tcW w:type="dxa" w:w="30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DEB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$800k-$1.1M; $575k-$800k</w:t>
            </w:r>
          </w:p>
        </w:tc>
        <w:tc>
          <w:tcPr>
            <w:tcW w:type="dxa" w:w="11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DEB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10.34%</w:t>
            </w:r>
          </w:p>
        </w:tc>
        <w:tc>
          <w:tcPr>
            <w:tcW w:type="dxa" w:w="22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Up to $575k</w:t>
            </w:r>
          </w:p>
        </w:tc>
        <w:tc>
          <w:tcPr>
            <w:tcW w:type="dxa" w:w="126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14.98%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Random Forest</w:t>
            </w:r>
          </w:p>
        </w:tc>
        <w:tc>
          <w:tcPr>
            <w:tcW w:type="dxa" w:w="30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DEB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$575k-$800k; $800k-$1.1M</w:t>
            </w:r>
          </w:p>
        </w:tc>
        <w:tc>
          <w:tcPr>
            <w:tcW w:type="dxa" w:w="11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DEB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6.24%</w:t>
            </w:r>
          </w:p>
        </w:tc>
        <w:tc>
          <w:tcPr>
            <w:tcW w:type="dxa" w:w="22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$1.67M+</w:t>
            </w:r>
          </w:p>
        </w:tc>
        <w:tc>
          <w:tcPr>
            <w:tcW w:type="dxa" w:w="126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14.10%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Decision Tree</w:t>
            </w:r>
          </w:p>
        </w:tc>
        <w:tc>
          <w:tcPr>
            <w:tcW w:type="dxa" w:w="30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DEB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$575k-$800k; $800k-$1.1M</w:t>
            </w:r>
          </w:p>
        </w:tc>
        <w:tc>
          <w:tcPr>
            <w:tcW w:type="dxa" w:w="11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DEB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7.90%</w:t>
            </w:r>
          </w:p>
        </w:tc>
        <w:tc>
          <w:tcPr>
            <w:tcW w:type="dxa" w:w="22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$1.67M+</w:t>
            </w:r>
          </w:p>
        </w:tc>
        <w:tc>
          <w:tcPr>
            <w:tcW w:type="dxa" w:w="126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16.64%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Linear Regression</w:t>
            </w:r>
          </w:p>
        </w:tc>
        <w:tc>
          <w:tcPr>
            <w:tcW w:type="dxa" w:w="30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DEB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$1.1M-$1.67M; $800k-$1.1M</w:t>
            </w:r>
          </w:p>
        </w:tc>
        <w:tc>
          <w:tcPr>
            <w:tcW w:type="dxa" w:w="11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shd w:fill="DDEB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13.78%</w:t>
            </w:r>
          </w:p>
        </w:tc>
        <w:tc>
          <w:tcPr>
            <w:tcW w:type="dxa" w:w="220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Up to $575k</w:t>
            </w:r>
          </w:p>
        </w:tc>
        <w:tc>
          <w:tcPr>
            <w:tcW w:type="dxa" w:w="1260"/>
            <w:vAlign w:val="center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  <w:insideH w:val="single" w:sz="4" w:space="0" w:color="B7C3D0"/>
              <w:insideV w:val="single" w:sz="4" w:space="0" w:color="B7C3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27.65%</w:t>
            </w:r>
          </w:p>
        </w:tc>
      </w:tr>
    </w:tbl>
    <w:p>
      <w:pPr>
        <w:spacing w:before="80" w:after="140"/>
      </w:pPr>
      <w:r>
        <w:rPr>
          <w:rFonts w:ascii="Calibri" w:hAnsi="Calibri"/>
          <w:b w:val="0"/>
          <w:i/>
          <w:color w:val="595959"/>
          <w:sz w:val="17"/>
        </w:rPr>
        <w:t>The highest band is open-ended ($1.67M+) and includes luxury outliers. Within-band R² can be negative because each band narrows the range of actual prices; MdAPE is therefore the primary band-ranking measure.</w:t>
      </w:r>
    </w:p>
    <w:p>
      <w:pPr>
        <w:pStyle w:val="Heading1"/>
        <w:keepNext/>
      </w:pPr>
      <w:r>
        <w:t>What performs better by model</w:t>
      </w:r>
    </w:p>
    <w:p>
      <w:pPr>
        <w:spacing w:before="0" w:after="100" w:line="259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XGBoost. </w:t>
      </w:r>
      <w:r>
        <w:rPr>
          <w:rFonts w:ascii="Calibri" w:hAnsi="Calibri"/>
          <w:b w:val="0"/>
          <w:i w:val="0"/>
          <w:color w:val="000000"/>
          <w:sz w:val="21"/>
        </w:rPr>
        <w:t>Best in $800k-$1.1M (9.88% MdAPE), with $575k-$800k close behind (10.10%). Its weakest band is Up to $575k (15.06%).</w:t>
      </w:r>
    </w:p>
    <w:p>
      <w:pPr>
        <w:spacing w:before="0" w:after="100" w:line="259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LightGBM. </w:t>
      </w:r>
      <w:r>
        <w:rPr>
          <w:rFonts w:ascii="Calibri" w:hAnsi="Calibri"/>
          <w:b w:val="0"/>
          <w:i w:val="0"/>
          <w:color w:val="000000"/>
          <w:sz w:val="21"/>
        </w:rPr>
        <w:t>Also strongest in $800k-$1.1M (10.34% MdAPE), followed by $575k-$800k (10.48%). The weakest band is Up to $575k (14.98%).</w:t>
      </w:r>
    </w:p>
    <w:p>
      <w:pPr>
        <w:spacing w:before="0" w:after="100" w:line="259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Random Forest. </w:t>
      </w:r>
      <w:r>
        <w:rPr>
          <w:rFonts w:ascii="Calibri" w:hAnsi="Calibri"/>
          <w:b w:val="0"/>
          <w:i w:val="0"/>
          <w:color w:val="000000"/>
          <w:sz w:val="21"/>
        </w:rPr>
        <w:t>Best in $575k-$800k (6.24% MdAPE) and next-best in $800k-$1.1M (8.20%). It weakens most in $1.67M+ (14.10%).</w:t>
      </w:r>
    </w:p>
    <w:p>
      <w:pPr>
        <w:spacing w:before="0" w:after="100" w:line="259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Decision Tree. </w:t>
      </w:r>
      <w:r>
        <w:rPr>
          <w:rFonts w:ascii="Calibri" w:hAnsi="Calibri"/>
          <w:b w:val="0"/>
          <w:i w:val="0"/>
          <w:color w:val="000000"/>
          <w:sz w:val="21"/>
        </w:rPr>
        <w:t>Best in $575k-$800k (7.90% MdAPE), then $800k-$1.1M (9.50%). The open-ended $1.67M+ band is weakest (16.64%), consistent with single-tree variance.</w:t>
      </w:r>
    </w:p>
    <w:p>
      <w:pPr>
        <w:spacing w:before="0" w:after="100" w:line="259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Linear Regression. </w:t>
      </w:r>
      <w:r>
        <w:rPr>
          <w:rFonts w:ascii="Calibri" w:hAnsi="Calibri"/>
          <w:b w:val="0"/>
          <w:i w:val="0"/>
          <w:color w:val="000000"/>
          <w:sz w:val="21"/>
        </w:rPr>
        <w:t>Unlike the tree models, its best band shifts upward to $1.1M-$1.67M (13.78% MdAPE), followed by $800k-$1.1M (15.47%). It is weakest in Up to $575k (27.65%).</w:t>
      </w:r>
    </w:p>
    <w:p>
      <w:pPr>
        <w:spacing w:before="0" w:after="100" w:line="259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Team takeaway. </w:t>
      </w:r>
      <w:r>
        <w:rPr>
          <w:rFonts w:ascii="Calibri" w:hAnsi="Calibri"/>
          <w:b w:val="0"/>
          <w:i w:val="0"/>
          <w:color w:val="000000"/>
          <w:sz w:val="21"/>
        </w:rPr>
        <w:t>The four tree-based models share a clear middle-market strength from $575k to $1.1M. Lower-priced sales show a long tail of relative misses, while $1.67M+ sales drive much larger dollar errors. Future model selection should keep statewide and band-level metrics together rather than choosing one model from the aggregate score alone.</w:t>
      </w:r>
    </w:p>
    <w:sectPr w:rsidR="00B762A8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66B756" w14:textId="77777777" w:rsidR="00E36BB7" w:rsidRDefault="00E36BB7">
      <w:pPr>
        <w:spacing w:after="0" w:line="240" w:lineRule="auto"/>
      </w:pPr>
      <w:r>
        <w:separator/>
      </w:r>
    </w:p>
  </w:endnote>
  <w:endnote w:type="continuationSeparator" w:id="0">
    <w:p w14:paraId="55496304" w14:textId="77777777" w:rsidR="00E36BB7" w:rsidRDefault="00E36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0B579F" w14:textId="77777777" w:rsidR="00B762A8" w:rsidRDefault="00000000">
    <w:pPr>
      <w:pStyle w:val="Footer"/>
      <w:jc w:val="right"/>
    </w:pPr>
    <w:r>
      <w:rPr>
        <w:color w:val="595959"/>
        <w:sz w:val="18"/>
      </w:rPr>
      <w:t xml:space="preserve">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 w:rsidR="006B3F6B">
      <w:rPr>
        <w:color w:val="595959"/>
        <w:sz w:val="18"/>
      </w:rPr>
      <w:fldChar w:fldCharType="separate"/>
    </w:r>
    <w:r w:rsidR="006B3F6B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2A49B8" w14:textId="77777777" w:rsidR="00E36BB7" w:rsidRDefault="00E36BB7">
      <w:pPr>
        <w:spacing w:after="0" w:line="240" w:lineRule="auto"/>
      </w:pPr>
      <w:r>
        <w:separator/>
      </w:r>
    </w:p>
  </w:footnote>
  <w:footnote w:type="continuationSeparator" w:id="0">
    <w:p w14:paraId="76450E4D" w14:textId="77777777" w:rsidR="00E36BB7" w:rsidRDefault="00E36B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CEB288" w14:textId="38EFCB54" w:rsidR="00B762A8" w:rsidRDefault="00000000">
    <w:pPr>
      <w:pStyle w:val="Header"/>
    </w:pPr>
    <w:r>
      <w:rPr>
        <w:b/>
        <w:color w:val="595959"/>
        <w:sz w:val="18"/>
      </w:rPr>
      <w:t>IDX Exchange | Week 8 Evaluation</w:t>
    </w:r>
    <w:r>
      <w:rPr>
        <w:color w:val="595959"/>
        <w:sz w:val="18"/>
      </w:rPr>
      <w:tab/>
      <w:t>Team ds55</w:t>
    </w:r>
    <w:r w:rsidR="006B3F6B">
      <w:rPr>
        <w:color w:val="595959"/>
        <w:sz w:val="18"/>
      </w:rPr>
      <w:tab/>
      <w:t>Beini 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975362">
    <w:abstractNumId w:val="8"/>
  </w:num>
  <w:num w:numId="2" w16cid:durableId="2099326236">
    <w:abstractNumId w:val="6"/>
  </w:num>
  <w:num w:numId="3" w16cid:durableId="869029759">
    <w:abstractNumId w:val="5"/>
  </w:num>
  <w:num w:numId="4" w16cid:durableId="1472403047">
    <w:abstractNumId w:val="4"/>
  </w:num>
  <w:num w:numId="5" w16cid:durableId="1951820017">
    <w:abstractNumId w:val="7"/>
  </w:num>
  <w:num w:numId="6" w16cid:durableId="1547640809">
    <w:abstractNumId w:val="3"/>
  </w:num>
  <w:num w:numId="7" w16cid:durableId="2044397104">
    <w:abstractNumId w:val="2"/>
  </w:num>
  <w:num w:numId="8" w16cid:durableId="289943404">
    <w:abstractNumId w:val="1"/>
  </w:num>
  <w:num w:numId="9" w16cid:durableId="11520609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184"/>
    <w:rsid w:val="0029639D"/>
    <w:rsid w:val="00326F90"/>
    <w:rsid w:val="006B3F6B"/>
    <w:rsid w:val="00A21FBD"/>
    <w:rsid w:val="00AA1D8D"/>
    <w:rsid w:val="00B47730"/>
    <w:rsid w:val="00B762A8"/>
    <w:rsid w:val="00CB0664"/>
    <w:rsid w:val="00E36B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25202"/>
  <w14:defaultImageDpi w14:val="300"/>
  <w15:docId w15:val="{FF7B9346-08AD-AE4F-ABC1-518C4ADED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8 Five-Model Performance Brief</vt:lpstr>
    </vt:vector>
  </TitlesOfParts>
  <Manager/>
  <Company/>
  <LinksUpToDate>false</LinksUpToDate>
  <CharactersWithSpaces>2102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 Five-Model Performance Brief</dc:title>
  <dc:subject>June 2026 held-out model evaluation</dc:subject>
  <dc:creator>IDX Exchange Team ds55</dc:creator>
  <cp:keywords>evaluation, regression, real estate, Week 8</cp:keywords>
  <dc:description>generated by python-docx</dc:description>
  <cp:lastModifiedBy>Lan Riva</cp:lastModifiedBy>
  <cp:revision>2</cp:revision>
  <dcterms:created xsi:type="dcterms:W3CDTF">2013-12-23T23:15:00Z</dcterms:created>
  <dcterms:modified xsi:type="dcterms:W3CDTF">2026-07-29T23:25:00Z</dcterms:modified>
  <cp:category/>
</cp:coreProperties>
</file>