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3841C" w14:textId="77777777" w:rsidR="00BF1996" w:rsidRPr="0039163F" w:rsidRDefault="00BF1996" w:rsidP="00BF1996">
      <w:pPr>
        <w:spacing w:after="200" w:line="276" w:lineRule="auto"/>
        <w:rPr>
          <w:rFonts w:ascii="Calibri" w:eastAsia="Calibri" w:hAnsi="Calibri" w:cs="Calibri"/>
          <w:b/>
          <w:bCs/>
          <w:color w:val="000000" w:themeColor="text1"/>
          <w:lang w:val="en-GB"/>
        </w:rPr>
      </w:pPr>
      <w:r w:rsidRPr="0039163F">
        <w:rPr>
          <w:rFonts w:ascii="Calibri" w:eastAsia="Calibri" w:hAnsi="Calibri" w:cs="Calibri"/>
          <w:b/>
          <w:bCs/>
          <w:color w:val="000000" w:themeColor="text1"/>
          <w:u w:val="single"/>
          <w:lang w:val="en-GB"/>
        </w:rPr>
        <w:t>Introduction and changes since last request</w:t>
      </w:r>
    </w:p>
    <w:p w14:paraId="02601239" w14:textId="071A2C40" w:rsidR="00BF1996" w:rsidRDefault="00BF1996" w:rsidP="00BF1996">
      <w:pPr>
        <w:spacing w:after="200" w:line="276" w:lineRule="auto"/>
        <w:rPr>
          <w:rFonts w:ascii="Calibri" w:eastAsia="Calibri" w:hAnsi="Calibri" w:cs="Calibri"/>
          <w:color w:val="000000" w:themeColor="text1"/>
          <w:lang w:val="en-GB"/>
        </w:rPr>
      </w:pPr>
      <w:r>
        <w:rPr>
          <w:rFonts w:ascii="Calibri" w:eastAsia="Calibri" w:hAnsi="Calibri" w:cs="Calibri"/>
          <w:color w:val="000000" w:themeColor="text1"/>
          <w:lang w:val="en-GB"/>
        </w:rPr>
        <w:t xml:space="preserve">Since the last set of data submitted to the Office of the Children’s Commissioner, there have been </w:t>
      </w:r>
      <w:r w:rsidR="003D02C2">
        <w:rPr>
          <w:rFonts w:ascii="Calibri" w:eastAsia="Calibri" w:hAnsi="Calibri" w:cs="Calibri"/>
          <w:color w:val="000000" w:themeColor="text1"/>
          <w:lang w:val="en-GB"/>
        </w:rPr>
        <w:t>t</w:t>
      </w:r>
      <w:r w:rsidR="00CE3D95">
        <w:rPr>
          <w:rFonts w:ascii="Calibri" w:eastAsia="Calibri" w:hAnsi="Calibri" w:cs="Calibri"/>
          <w:color w:val="000000" w:themeColor="text1"/>
          <w:lang w:val="en-GB"/>
        </w:rPr>
        <w:t>wo</w:t>
      </w:r>
      <w:r>
        <w:rPr>
          <w:rFonts w:ascii="Calibri" w:eastAsia="Calibri" w:hAnsi="Calibri" w:cs="Calibri"/>
          <w:color w:val="000000" w:themeColor="text1"/>
          <w:lang w:val="en-GB"/>
        </w:rPr>
        <w:t xml:space="preserve"> major changes which affect the data we report. These are</w:t>
      </w:r>
      <w:r w:rsidR="00F74149">
        <w:rPr>
          <w:rFonts w:ascii="Calibri" w:eastAsia="Calibri" w:hAnsi="Calibri" w:cs="Calibri"/>
          <w:color w:val="000000" w:themeColor="text1"/>
          <w:lang w:val="en-GB"/>
        </w:rPr>
        <w:t xml:space="preserve"> summarised below and the discussed in more detail</w:t>
      </w:r>
      <w:r w:rsidR="00604AF1">
        <w:rPr>
          <w:rFonts w:ascii="Calibri" w:eastAsia="Calibri" w:hAnsi="Calibri" w:cs="Calibri"/>
          <w:color w:val="000000" w:themeColor="text1"/>
          <w:lang w:val="en-GB"/>
        </w:rPr>
        <w:t>.</w:t>
      </w:r>
      <w:r w:rsidR="0081262C">
        <w:rPr>
          <w:rFonts w:ascii="Calibri" w:eastAsia="Calibri" w:hAnsi="Calibri" w:cs="Calibri"/>
          <w:color w:val="000000" w:themeColor="text1"/>
          <w:lang w:val="en-GB"/>
        </w:rPr>
        <w:t xml:space="preserve"> </w:t>
      </w:r>
      <w:r w:rsidR="001C4934">
        <w:rPr>
          <w:rFonts w:ascii="Calibri" w:eastAsia="Calibri" w:hAnsi="Calibri" w:cs="Calibri"/>
          <w:color w:val="000000" w:themeColor="text1"/>
          <w:lang w:val="en-GB"/>
        </w:rPr>
        <w:t xml:space="preserve">We </w:t>
      </w:r>
      <w:r w:rsidR="00604AF1">
        <w:rPr>
          <w:rFonts w:ascii="Calibri" w:eastAsia="Calibri" w:hAnsi="Calibri" w:cs="Calibri"/>
          <w:color w:val="000000" w:themeColor="text1"/>
          <w:lang w:val="en-GB"/>
        </w:rPr>
        <w:t>would be happy to meet with you to discuss this in more detail.</w:t>
      </w:r>
    </w:p>
    <w:p w14:paraId="1F8463DB" w14:textId="044D1494" w:rsidR="004F5E4F" w:rsidRDefault="004F5E4F" w:rsidP="00BF1996">
      <w:pPr>
        <w:pStyle w:val="ListParagraph"/>
        <w:numPr>
          <w:ilvl w:val="0"/>
          <w:numId w:val="3"/>
        </w:numPr>
        <w:spacing w:after="200" w:line="276" w:lineRule="auto"/>
        <w:rPr>
          <w:rFonts w:ascii="Calibri" w:eastAsia="Calibri" w:hAnsi="Calibri" w:cs="Calibri"/>
          <w:color w:val="000000" w:themeColor="text1"/>
          <w:lang w:val="en-GB"/>
        </w:rPr>
      </w:pPr>
      <w:r>
        <w:rPr>
          <w:rFonts w:ascii="Calibri" w:eastAsia="Calibri" w:hAnsi="Calibri" w:cs="Calibri"/>
          <w:color w:val="000000" w:themeColor="text1"/>
          <w:lang w:val="en-GB"/>
        </w:rPr>
        <w:t>Changing from Clinical Commissioning Groups</w:t>
      </w:r>
      <w:r w:rsidR="00E8482B">
        <w:rPr>
          <w:rFonts w:ascii="Calibri" w:eastAsia="Calibri" w:hAnsi="Calibri" w:cs="Calibri"/>
          <w:color w:val="000000" w:themeColor="text1"/>
          <w:lang w:val="en-GB"/>
        </w:rPr>
        <w:t xml:space="preserve"> (CCGs)</w:t>
      </w:r>
      <w:r>
        <w:rPr>
          <w:rFonts w:ascii="Calibri" w:eastAsia="Calibri" w:hAnsi="Calibri" w:cs="Calibri"/>
          <w:color w:val="000000" w:themeColor="text1"/>
          <w:lang w:val="en-GB"/>
        </w:rPr>
        <w:t xml:space="preserve"> to Integrated Care Boards</w:t>
      </w:r>
      <w:r w:rsidR="00E8482B">
        <w:rPr>
          <w:rFonts w:ascii="Calibri" w:eastAsia="Calibri" w:hAnsi="Calibri" w:cs="Calibri"/>
          <w:color w:val="000000" w:themeColor="text1"/>
          <w:lang w:val="en-GB"/>
        </w:rPr>
        <w:t xml:space="preserve"> (ICBs)</w:t>
      </w:r>
      <w:r>
        <w:rPr>
          <w:rFonts w:ascii="Calibri" w:eastAsia="Calibri" w:hAnsi="Calibri" w:cs="Calibri"/>
          <w:color w:val="000000" w:themeColor="text1"/>
          <w:lang w:val="en-GB"/>
        </w:rPr>
        <w:t>; and</w:t>
      </w:r>
    </w:p>
    <w:p w14:paraId="30BEE2EB" w14:textId="6580C893" w:rsidR="003D02C2" w:rsidRPr="003D02C2" w:rsidRDefault="00F74149" w:rsidP="003D02C2">
      <w:pPr>
        <w:pStyle w:val="ListParagraph"/>
        <w:numPr>
          <w:ilvl w:val="0"/>
          <w:numId w:val="3"/>
        </w:numPr>
        <w:spacing w:after="200" w:line="276" w:lineRule="auto"/>
        <w:rPr>
          <w:rFonts w:ascii="Calibri" w:eastAsia="Calibri" w:hAnsi="Calibri" w:cs="Calibri"/>
          <w:color w:val="000000" w:themeColor="text1"/>
          <w:lang w:val="en-GB"/>
        </w:rPr>
      </w:pPr>
      <w:r>
        <w:rPr>
          <w:rFonts w:ascii="Calibri" w:eastAsia="Calibri" w:hAnsi="Calibri" w:cs="Calibri"/>
          <w:color w:val="000000" w:themeColor="text1"/>
          <w:lang w:val="en-GB"/>
        </w:rPr>
        <w:t>Improving understanding of mental health spend</w:t>
      </w:r>
    </w:p>
    <w:p w14:paraId="21856F7B" w14:textId="254B9176" w:rsidR="00BF1996" w:rsidRDefault="00BF1996" w:rsidP="00F74149">
      <w:pPr>
        <w:spacing w:after="200" w:line="276" w:lineRule="auto"/>
        <w:rPr>
          <w:rFonts w:ascii="Calibri" w:eastAsia="Calibri" w:hAnsi="Calibri" w:cs="Calibri"/>
          <w:color w:val="000000" w:themeColor="text1"/>
          <w:lang w:val="en-GB"/>
        </w:rPr>
      </w:pPr>
      <w:r w:rsidRPr="0081262C">
        <w:rPr>
          <w:rFonts w:ascii="Calibri" w:eastAsia="Calibri" w:hAnsi="Calibri" w:cs="Calibri"/>
          <w:color w:val="000000" w:themeColor="text1"/>
          <w:lang w:val="en-GB"/>
        </w:rPr>
        <w:t>As a result of the Health and Care Act 202</w:t>
      </w:r>
      <w:r w:rsidR="000E6F65" w:rsidRPr="0081262C">
        <w:rPr>
          <w:rFonts w:ascii="Calibri" w:eastAsia="Calibri" w:hAnsi="Calibri" w:cs="Calibri"/>
          <w:color w:val="000000" w:themeColor="text1"/>
          <w:lang w:val="en-GB"/>
        </w:rPr>
        <w:t>2</w:t>
      </w:r>
      <w:r w:rsidR="005F669D" w:rsidRPr="0081262C">
        <w:rPr>
          <w:rFonts w:ascii="Calibri" w:eastAsia="Calibri" w:hAnsi="Calibri" w:cs="Calibri"/>
          <w:color w:val="000000" w:themeColor="text1"/>
          <w:lang w:val="en-GB"/>
        </w:rPr>
        <w:t xml:space="preserve">, </w:t>
      </w:r>
      <w:r w:rsidR="005F669D" w:rsidRPr="0081262C">
        <w:rPr>
          <w:rFonts w:ascii="Calibri" w:eastAsia="Calibri" w:hAnsi="Calibri" w:cs="Calibri"/>
          <w:b/>
          <w:bCs/>
          <w:color w:val="000000" w:themeColor="text1"/>
          <w:lang w:val="en-GB"/>
        </w:rPr>
        <w:t>from 1 July 2022 Integrated Care Boards</w:t>
      </w:r>
      <w:r w:rsidR="00CF559B">
        <w:rPr>
          <w:rFonts w:ascii="Calibri" w:eastAsia="Calibri" w:hAnsi="Calibri" w:cs="Calibri"/>
          <w:b/>
          <w:bCs/>
          <w:color w:val="000000" w:themeColor="text1"/>
          <w:lang w:val="en-GB"/>
        </w:rPr>
        <w:t xml:space="preserve"> (ICBs)</w:t>
      </w:r>
      <w:r w:rsidR="005F669D" w:rsidRPr="0081262C">
        <w:rPr>
          <w:rFonts w:ascii="Calibri" w:eastAsia="Calibri" w:hAnsi="Calibri" w:cs="Calibri"/>
          <w:b/>
          <w:bCs/>
          <w:color w:val="000000" w:themeColor="text1"/>
          <w:lang w:val="en-GB"/>
        </w:rPr>
        <w:t xml:space="preserve"> took over responsibility for commissioning health services locally from Clinical Commissioning Groups</w:t>
      </w:r>
      <w:r w:rsidR="00CF559B">
        <w:rPr>
          <w:rFonts w:ascii="Calibri" w:eastAsia="Calibri" w:hAnsi="Calibri" w:cs="Calibri"/>
          <w:b/>
          <w:bCs/>
          <w:color w:val="000000" w:themeColor="text1"/>
          <w:lang w:val="en-GB"/>
        </w:rPr>
        <w:t xml:space="preserve"> (CCGs)</w:t>
      </w:r>
      <w:r w:rsidR="005F669D" w:rsidRPr="0081262C">
        <w:rPr>
          <w:rFonts w:ascii="Calibri" w:eastAsia="Calibri" w:hAnsi="Calibri" w:cs="Calibri"/>
          <w:b/>
          <w:bCs/>
          <w:color w:val="000000" w:themeColor="text1"/>
          <w:lang w:val="en-GB"/>
        </w:rPr>
        <w:t>.</w:t>
      </w:r>
      <w:r w:rsidR="005F669D" w:rsidRPr="0081262C">
        <w:rPr>
          <w:rFonts w:ascii="Calibri" w:eastAsia="Calibri" w:hAnsi="Calibri" w:cs="Calibri"/>
          <w:color w:val="000000" w:themeColor="text1"/>
          <w:lang w:val="en-GB"/>
        </w:rPr>
        <w:t xml:space="preserve"> </w:t>
      </w:r>
      <w:r w:rsidR="00CF559B">
        <w:rPr>
          <w:rFonts w:ascii="Calibri" w:eastAsia="Calibri" w:hAnsi="Calibri" w:cs="Calibri"/>
          <w:color w:val="000000" w:themeColor="text1"/>
          <w:lang w:val="en-GB"/>
        </w:rPr>
        <w:t>ICBs</w:t>
      </w:r>
      <w:r w:rsidR="00914155" w:rsidRPr="0081262C">
        <w:rPr>
          <w:rFonts w:ascii="Calibri" w:eastAsia="Calibri" w:hAnsi="Calibri" w:cs="Calibri"/>
          <w:color w:val="000000" w:themeColor="text1"/>
          <w:lang w:val="en-GB"/>
        </w:rPr>
        <w:t xml:space="preserve"> are often made up of several former CCGs and sometimes include only part of a CCG in addition to others. </w:t>
      </w:r>
      <w:r w:rsidR="005F669D" w:rsidRPr="0081262C">
        <w:rPr>
          <w:rFonts w:ascii="Calibri" w:eastAsia="Calibri" w:hAnsi="Calibri" w:cs="Calibri"/>
          <w:color w:val="000000" w:themeColor="text1"/>
          <w:lang w:val="en-GB"/>
        </w:rPr>
        <w:t xml:space="preserve">As part of the preparation for this change, many </w:t>
      </w:r>
      <w:r w:rsidR="004F5E4F" w:rsidRPr="0081262C">
        <w:rPr>
          <w:rFonts w:ascii="Calibri" w:eastAsia="Calibri" w:hAnsi="Calibri" w:cs="Calibri"/>
          <w:color w:val="000000" w:themeColor="text1"/>
          <w:lang w:val="en-GB"/>
        </w:rPr>
        <w:t xml:space="preserve">local areas started to work more flexibly across CCG boundaries to deliver a plan for the whole ICB footprint. </w:t>
      </w:r>
      <w:r w:rsidR="00C326F4">
        <w:rPr>
          <w:rFonts w:ascii="Calibri" w:eastAsia="Calibri" w:hAnsi="Calibri" w:cs="Calibri"/>
          <w:color w:val="000000" w:themeColor="text1"/>
          <w:lang w:val="en-GB"/>
        </w:rPr>
        <w:t xml:space="preserve">This sometimes means that one CCG reports a large fall in </w:t>
      </w:r>
      <w:r w:rsidR="00CF559B">
        <w:rPr>
          <w:rFonts w:ascii="Calibri" w:eastAsia="Calibri" w:hAnsi="Calibri" w:cs="Calibri"/>
          <w:color w:val="000000" w:themeColor="text1"/>
          <w:lang w:val="en-GB"/>
        </w:rPr>
        <w:t>Children and Young Peoples Mental Health (</w:t>
      </w:r>
      <w:r w:rsidR="00C326F4">
        <w:rPr>
          <w:rFonts w:ascii="Calibri" w:eastAsia="Calibri" w:hAnsi="Calibri" w:cs="Calibri"/>
          <w:color w:val="000000" w:themeColor="text1"/>
          <w:lang w:val="en-GB"/>
        </w:rPr>
        <w:t>CYPMH</w:t>
      </w:r>
      <w:r w:rsidR="00CF559B">
        <w:rPr>
          <w:rFonts w:ascii="Calibri" w:eastAsia="Calibri" w:hAnsi="Calibri" w:cs="Calibri"/>
          <w:color w:val="000000" w:themeColor="text1"/>
          <w:lang w:val="en-GB"/>
        </w:rPr>
        <w:t>)</w:t>
      </w:r>
      <w:r w:rsidR="00C326F4">
        <w:rPr>
          <w:rFonts w:ascii="Calibri" w:eastAsia="Calibri" w:hAnsi="Calibri" w:cs="Calibri"/>
          <w:color w:val="000000" w:themeColor="text1"/>
          <w:lang w:val="en-GB"/>
        </w:rPr>
        <w:t xml:space="preserve"> spending, while another CCG in the same local area reports a much higher spend.</w:t>
      </w:r>
      <w:r w:rsidR="00592E2D">
        <w:rPr>
          <w:rFonts w:ascii="Calibri" w:eastAsia="Calibri" w:hAnsi="Calibri" w:cs="Calibri"/>
          <w:color w:val="000000" w:themeColor="text1"/>
          <w:lang w:val="en-GB"/>
        </w:rPr>
        <w:t xml:space="preserve"> In our return, we have supplied the data both at CCG level for comparison to previous years and at ICB level so you can see that </w:t>
      </w:r>
      <w:r w:rsidR="00604AF1">
        <w:rPr>
          <w:rFonts w:ascii="Calibri" w:eastAsia="Calibri" w:hAnsi="Calibri" w:cs="Calibri"/>
          <w:color w:val="000000" w:themeColor="text1"/>
          <w:lang w:val="en-GB"/>
        </w:rPr>
        <w:t xml:space="preserve">almost </w:t>
      </w:r>
      <w:proofErr w:type="gramStart"/>
      <w:r w:rsidR="00604AF1">
        <w:rPr>
          <w:rFonts w:ascii="Calibri" w:eastAsia="Calibri" w:hAnsi="Calibri" w:cs="Calibri"/>
          <w:color w:val="000000" w:themeColor="text1"/>
          <w:lang w:val="en-GB"/>
        </w:rPr>
        <w:t>all of</w:t>
      </w:r>
      <w:proofErr w:type="gramEnd"/>
      <w:r w:rsidR="00604AF1">
        <w:rPr>
          <w:rFonts w:ascii="Calibri" w:eastAsia="Calibri" w:hAnsi="Calibri" w:cs="Calibri"/>
          <w:color w:val="000000" w:themeColor="text1"/>
          <w:lang w:val="en-GB"/>
        </w:rPr>
        <w:t xml:space="preserve"> these changes net to give growth at ICB level. </w:t>
      </w:r>
      <w:r w:rsidR="00323D8E">
        <w:rPr>
          <w:rFonts w:ascii="Calibri" w:eastAsia="Calibri" w:hAnsi="Calibri" w:cs="Calibri"/>
          <w:color w:val="000000" w:themeColor="text1"/>
          <w:lang w:val="en-GB"/>
        </w:rPr>
        <w:t>Future years</w:t>
      </w:r>
      <w:r w:rsidR="00770A2F">
        <w:rPr>
          <w:rFonts w:ascii="Calibri" w:eastAsia="Calibri" w:hAnsi="Calibri" w:cs="Calibri"/>
          <w:color w:val="000000" w:themeColor="text1"/>
          <w:lang w:val="en-GB"/>
        </w:rPr>
        <w:t>’</w:t>
      </w:r>
      <w:r w:rsidR="00323D8E">
        <w:rPr>
          <w:rFonts w:ascii="Calibri" w:eastAsia="Calibri" w:hAnsi="Calibri" w:cs="Calibri"/>
          <w:color w:val="000000" w:themeColor="text1"/>
          <w:lang w:val="en-GB"/>
        </w:rPr>
        <w:t xml:space="preserve"> reporting will be solely at ICB level.</w:t>
      </w:r>
    </w:p>
    <w:p w14:paraId="214FAEAF" w14:textId="0C0DA935" w:rsidR="00323D8E" w:rsidRDefault="00623E92" w:rsidP="00F74149">
      <w:pPr>
        <w:spacing w:after="200" w:line="276" w:lineRule="auto"/>
        <w:rPr>
          <w:rFonts w:ascii="Calibri" w:eastAsia="Calibri" w:hAnsi="Calibri" w:cs="Calibri"/>
          <w:color w:val="000000" w:themeColor="text1"/>
          <w:lang w:val="en-GB"/>
        </w:rPr>
      </w:pPr>
      <w:r>
        <w:rPr>
          <w:rFonts w:ascii="Calibri" w:eastAsia="Calibri" w:hAnsi="Calibri" w:cs="Calibri"/>
          <w:color w:val="000000" w:themeColor="text1"/>
          <w:lang w:val="en-GB"/>
        </w:rPr>
        <w:t xml:space="preserve">Since introducing the Mental Health Investment Standard </w:t>
      </w:r>
      <w:r w:rsidR="00CF559B">
        <w:rPr>
          <w:rFonts w:ascii="Calibri" w:eastAsia="Calibri" w:hAnsi="Calibri" w:cs="Calibri"/>
          <w:color w:val="000000" w:themeColor="text1"/>
          <w:lang w:val="en-GB"/>
        </w:rPr>
        <w:t xml:space="preserve">(MHIS) </w:t>
      </w:r>
      <w:r>
        <w:rPr>
          <w:rFonts w:ascii="Calibri" w:eastAsia="Calibri" w:hAnsi="Calibri" w:cs="Calibri"/>
          <w:color w:val="000000" w:themeColor="text1"/>
          <w:lang w:val="en-GB"/>
        </w:rPr>
        <w:t>in 2015/16, NHS England has worked with CCGs to improve our collective understanding of what is spent on mental health</w:t>
      </w:r>
      <w:r w:rsidR="0073773F">
        <w:rPr>
          <w:rFonts w:ascii="Calibri" w:eastAsia="Calibri" w:hAnsi="Calibri" w:cs="Calibri"/>
          <w:color w:val="000000" w:themeColor="text1"/>
          <w:lang w:val="en-GB"/>
        </w:rPr>
        <w:t xml:space="preserve">, in particular by introducing an independent review by reporting accountants to confirm that CCG reporting against the </w:t>
      </w:r>
      <w:r w:rsidR="00AE0EA8">
        <w:rPr>
          <w:rFonts w:ascii="Calibri" w:eastAsia="Calibri" w:hAnsi="Calibri" w:cs="Calibri"/>
          <w:color w:val="000000" w:themeColor="text1"/>
          <w:lang w:val="en-GB"/>
        </w:rPr>
        <w:t>Investment Standard</w:t>
      </w:r>
      <w:r w:rsidR="0073773F">
        <w:rPr>
          <w:rFonts w:ascii="Calibri" w:eastAsia="Calibri" w:hAnsi="Calibri" w:cs="Calibri"/>
          <w:color w:val="000000" w:themeColor="text1"/>
          <w:lang w:val="en-GB"/>
        </w:rPr>
        <w:t xml:space="preserve"> is accurate and consistent. </w:t>
      </w:r>
      <w:r w:rsidR="00AE0EA8">
        <w:rPr>
          <w:rFonts w:ascii="Calibri" w:eastAsia="Calibri" w:hAnsi="Calibri" w:cs="Calibri"/>
          <w:color w:val="000000" w:themeColor="text1"/>
          <w:lang w:val="en-GB"/>
        </w:rPr>
        <w:t>Independent reviews were conducted on CCG reporting for 2018/19 and 2019/20, suspended for 2020/21 because of COVID and is now in progress on 2021/22 reporting.</w:t>
      </w:r>
    </w:p>
    <w:p w14:paraId="5A2676E9" w14:textId="5D8FD3A2" w:rsidR="00AE0EA8" w:rsidRDefault="00AE0EA8" w:rsidP="00F74149">
      <w:pPr>
        <w:spacing w:after="200" w:line="276" w:lineRule="auto"/>
        <w:rPr>
          <w:rFonts w:ascii="Calibri" w:eastAsia="Calibri" w:hAnsi="Calibri" w:cs="Calibri"/>
          <w:color w:val="000000" w:themeColor="text1"/>
          <w:lang w:val="en-GB"/>
        </w:rPr>
      </w:pPr>
      <w:r>
        <w:rPr>
          <w:rFonts w:ascii="Calibri" w:eastAsia="Calibri" w:hAnsi="Calibri" w:cs="Calibri"/>
          <w:color w:val="000000" w:themeColor="text1"/>
          <w:lang w:val="en-GB"/>
        </w:rPr>
        <w:t xml:space="preserve">The </w:t>
      </w:r>
      <w:r w:rsidR="0076299C">
        <w:rPr>
          <w:rFonts w:ascii="Calibri" w:eastAsia="Calibri" w:hAnsi="Calibri" w:cs="Calibri"/>
          <w:color w:val="000000" w:themeColor="text1"/>
          <w:lang w:val="en-GB"/>
        </w:rPr>
        <w:t xml:space="preserve">independent reviewers’ reports highlighted </w:t>
      </w:r>
      <w:proofErr w:type="gramStart"/>
      <w:r w:rsidR="0076299C">
        <w:rPr>
          <w:rFonts w:ascii="Calibri" w:eastAsia="Calibri" w:hAnsi="Calibri" w:cs="Calibri"/>
          <w:color w:val="000000" w:themeColor="text1"/>
          <w:lang w:val="en-GB"/>
        </w:rPr>
        <w:t>a number of</w:t>
      </w:r>
      <w:proofErr w:type="gramEnd"/>
      <w:r w:rsidR="0076299C">
        <w:rPr>
          <w:rFonts w:ascii="Calibri" w:eastAsia="Calibri" w:hAnsi="Calibri" w:cs="Calibri"/>
          <w:color w:val="000000" w:themeColor="text1"/>
          <w:lang w:val="en-GB"/>
        </w:rPr>
        <w:t xml:space="preserve"> issues which were not treated consistently around the country, and NHS England engaged with mental health and finance colleagues to understand </w:t>
      </w:r>
      <w:r w:rsidR="00105162">
        <w:rPr>
          <w:rFonts w:ascii="Calibri" w:eastAsia="Calibri" w:hAnsi="Calibri" w:cs="Calibri"/>
          <w:color w:val="000000" w:themeColor="text1"/>
          <w:lang w:val="en-GB"/>
        </w:rPr>
        <w:t xml:space="preserve">why this was and what other areas might need clarification. This led to a </w:t>
      </w:r>
      <w:hyperlink r:id="rId11" w:history="1">
        <w:r w:rsidR="00105162" w:rsidRPr="00E806F6">
          <w:rPr>
            <w:rStyle w:val="Hyperlink"/>
            <w:rFonts w:ascii="Calibri" w:eastAsia="Calibri" w:hAnsi="Calibri" w:cs="Calibri"/>
            <w:lang w:val="en-GB"/>
          </w:rPr>
          <w:t>new set of categories</w:t>
        </w:r>
      </w:hyperlink>
      <w:r w:rsidR="00105162">
        <w:rPr>
          <w:rFonts w:ascii="Calibri" w:eastAsia="Calibri" w:hAnsi="Calibri" w:cs="Calibri"/>
          <w:color w:val="000000" w:themeColor="text1"/>
          <w:lang w:val="en-GB"/>
        </w:rPr>
        <w:t xml:space="preserve"> </w:t>
      </w:r>
      <w:r w:rsidR="00E806F6">
        <w:rPr>
          <w:rFonts w:ascii="Calibri" w:eastAsia="Calibri" w:hAnsi="Calibri" w:cs="Calibri"/>
          <w:color w:val="000000" w:themeColor="text1"/>
          <w:lang w:val="en-GB"/>
        </w:rPr>
        <w:t>and guidance for CCGs</w:t>
      </w:r>
      <w:r w:rsidR="00AB70CA">
        <w:rPr>
          <w:rFonts w:ascii="Calibri" w:eastAsia="Calibri" w:hAnsi="Calibri" w:cs="Calibri"/>
          <w:color w:val="000000" w:themeColor="text1"/>
          <w:lang w:val="en-GB"/>
        </w:rPr>
        <w:t xml:space="preserve">, and </w:t>
      </w:r>
      <w:r w:rsidR="00AB70CA" w:rsidRPr="0081262C">
        <w:rPr>
          <w:rFonts w:ascii="Calibri" w:eastAsia="Calibri" w:hAnsi="Calibri" w:cs="Calibri"/>
          <w:b/>
          <w:bCs/>
          <w:color w:val="000000" w:themeColor="text1"/>
          <w:lang w:val="en-GB"/>
        </w:rPr>
        <w:t>NHS England commissioned all CCGs to review their historical spending (to 20</w:t>
      </w:r>
      <w:r w:rsidR="00195361" w:rsidRPr="0081262C">
        <w:rPr>
          <w:rFonts w:ascii="Calibri" w:eastAsia="Calibri" w:hAnsi="Calibri" w:cs="Calibri"/>
          <w:b/>
          <w:bCs/>
          <w:color w:val="000000" w:themeColor="text1"/>
          <w:lang w:val="en-GB"/>
        </w:rPr>
        <w:t xml:space="preserve">18/19) </w:t>
      </w:r>
      <w:r w:rsidR="00AB70CA" w:rsidRPr="0081262C">
        <w:rPr>
          <w:rFonts w:ascii="Calibri" w:eastAsia="Calibri" w:hAnsi="Calibri" w:cs="Calibri"/>
          <w:b/>
          <w:bCs/>
          <w:color w:val="000000" w:themeColor="text1"/>
          <w:lang w:val="en-GB"/>
        </w:rPr>
        <w:t>and report on it using the new guidance and categories</w:t>
      </w:r>
      <w:r w:rsidR="00AB70CA">
        <w:rPr>
          <w:rFonts w:ascii="Calibri" w:eastAsia="Calibri" w:hAnsi="Calibri" w:cs="Calibri"/>
          <w:color w:val="000000" w:themeColor="text1"/>
          <w:lang w:val="en-GB"/>
        </w:rPr>
        <w:t>.</w:t>
      </w:r>
      <w:r w:rsidR="00195361">
        <w:rPr>
          <w:rFonts w:ascii="Calibri" w:eastAsia="Calibri" w:hAnsi="Calibri" w:cs="Calibri"/>
          <w:color w:val="000000" w:themeColor="text1"/>
          <w:lang w:val="en-GB"/>
        </w:rPr>
        <w:t xml:space="preserve"> This was completed in 2021</w:t>
      </w:r>
      <w:r w:rsidR="00917D85">
        <w:rPr>
          <w:rFonts w:ascii="Calibri" w:eastAsia="Calibri" w:hAnsi="Calibri" w:cs="Calibri"/>
          <w:color w:val="000000" w:themeColor="text1"/>
          <w:lang w:val="en-GB"/>
        </w:rPr>
        <w:t xml:space="preserve">, and the data reported here is based on those updated reports. </w:t>
      </w:r>
    </w:p>
    <w:p w14:paraId="71B6CE22" w14:textId="2AF13BDE" w:rsidR="00917D85" w:rsidRDefault="00917D85" w:rsidP="00F74149">
      <w:pPr>
        <w:spacing w:after="200" w:line="276" w:lineRule="auto"/>
        <w:rPr>
          <w:rFonts w:ascii="Calibri" w:eastAsia="Calibri" w:hAnsi="Calibri" w:cs="Calibri"/>
          <w:color w:val="000000" w:themeColor="text1"/>
          <w:lang w:val="en-GB"/>
        </w:rPr>
      </w:pPr>
      <w:r>
        <w:rPr>
          <w:rFonts w:ascii="Calibri" w:eastAsia="Calibri" w:hAnsi="Calibri" w:cs="Calibri"/>
          <w:color w:val="000000" w:themeColor="text1"/>
          <w:lang w:val="en-GB"/>
        </w:rPr>
        <w:t xml:space="preserve">As a result of this review, CCGs overall are reporting lower mental health spend than previously </w:t>
      </w:r>
      <w:r w:rsidR="00881E2E">
        <w:rPr>
          <w:rFonts w:ascii="Calibri" w:eastAsia="Calibri" w:hAnsi="Calibri" w:cs="Calibri"/>
          <w:color w:val="000000" w:themeColor="text1"/>
          <w:lang w:val="en-GB"/>
        </w:rPr>
        <w:t xml:space="preserve">– note that this does not reflect an actual reduction </w:t>
      </w:r>
      <w:r w:rsidR="00E65C5D">
        <w:rPr>
          <w:rFonts w:ascii="Calibri" w:eastAsia="Calibri" w:hAnsi="Calibri" w:cs="Calibri"/>
          <w:color w:val="000000" w:themeColor="text1"/>
          <w:lang w:val="en-GB"/>
        </w:rPr>
        <w:t>in spend, just a better understanding of what was really spent. The main areas which led to the reductions were:</w:t>
      </w:r>
    </w:p>
    <w:p w14:paraId="03927FB4" w14:textId="43BBFB68" w:rsidR="00E65C5D" w:rsidRDefault="00AB54AF" w:rsidP="00E65C5D">
      <w:pPr>
        <w:pStyle w:val="ListParagraph"/>
        <w:numPr>
          <w:ilvl w:val="0"/>
          <w:numId w:val="3"/>
        </w:numPr>
        <w:spacing w:after="200" w:line="276" w:lineRule="auto"/>
        <w:rPr>
          <w:rFonts w:ascii="Calibri" w:eastAsia="Calibri" w:hAnsi="Calibri" w:cs="Calibri"/>
          <w:color w:val="000000" w:themeColor="text1"/>
          <w:lang w:val="en-GB"/>
        </w:rPr>
      </w:pPr>
      <w:r>
        <w:rPr>
          <w:rFonts w:ascii="Calibri" w:eastAsia="Calibri" w:hAnsi="Calibri" w:cs="Calibri"/>
          <w:color w:val="000000" w:themeColor="text1"/>
          <w:lang w:val="en-GB"/>
        </w:rPr>
        <w:t xml:space="preserve">Excluding spend on mental health patients in physical health settings (e.g. </w:t>
      </w:r>
      <w:r w:rsidR="00FE7926">
        <w:rPr>
          <w:rFonts w:ascii="Calibri" w:eastAsia="Calibri" w:hAnsi="Calibri" w:cs="Calibri"/>
          <w:color w:val="000000" w:themeColor="text1"/>
          <w:lang w:val="en-GB"/>
        </w:rPr>
        <w:t xml:space="preserve">if a mental health patient is in an acute hospital bed waiting for a mental health placement) and mental health ambulance </w:t>
      </w:r>
      <w:proofErr w:type="gramStart"/>
      <w:r w:rsidR="00FE7926">
        <w:rPr>
          <w:rFonts w:ascii="Calibri" w:eastAsia="Calibri" w:hAnsi="Calibri" w:cs="Calibri"/>
          <w:color w:val="000000" w:themeColor="text1"/>
          <w:lang w:val="en-GB"/>
        </w:rPr>
        <w:t>calls;</w:t>
      </w:r>
      <w:proofErr w:type="gramEnd"/>
    </w:p>
    <w:p w14:paraId="1DA89794" w14:textId="43D43FF9" w:rsidR="00FE7926" w:rsidRDefault="002626D0" w:rsidP="00E65C5D">
      <w:pPr>
        <w:pStyle w:val="ListParagraph"/>
        <w:numPr>
          <w:ilvl w:val="0"/>
          <w:numId w:val="3"/>
        </w:numPr>
        <w:spacing w:after="200" w:line="276" w:lineRule="auto"/>
        <w:rPr>
          <w:rFonts w:ascii="Calibri" w:eastAsia="Calibri" w:hAnsi="Calibri" w:cs="Calibri"/>
          <w:color w:val="000000" w:themeColor="text1"/>
          <w:lang w:val="en-GB"/>
        </w:rPr>
      </w:pPr>
      <w:r>
        <w:rPr>
          <w:rFonts w:ascii="Calibri" w:eastAsia="Calibri" w:hAnsi="Calibri" w:cs="Calibri"/>
          <w:color w:val="000000" w:themeColor="text1"/>
          <w:lang w:val="en-GB"/>
        </w:rPr>
        <w:t xml:space="preserve">Some spend on </w:t>
      </w:r>
      <w:r w:rsidR="00CF559B">
        <w:rPr>
          <w:rFonts w:ascii="Calibri" w:eastAsia="Calibri" w:hAnsi="Calibri" w:cs="Calibri"/>
          <w:color w:val="000000" w:themeColor="text1"/>
          <w:lang w:val="en-GB"/>
        </w:rPr>
        <w:t>Children and Young People (</w:t>
      </w:r>
      <w:r w:rsidR="00C447E8">
        <w:rPr>
          <w:rFonts w:ascii="Calibri" w:eastAsia="Calibri" w:hAnsi="Calibri" w:cs="Calibri"/>
          <w:color w:val="000000" w:themeColor="text1"/>
          <w:lang w:val="en-GB"/>
        </w:rPr>
        <w:t>CYP</w:t>
      </w:r>
      <w:r w:rsidR="00CF559B">
        <w:rPr>
          <w:rFonts w:ascii="Calibri" w:eastAsia="Calibri" w:hAnsi="Calibri" w:cs="Calibri"/>
          <w:color w:val="000000" w:themeColor="text1"/>
          <w:lang w:val="en-GB"/>
        </w:rPr>
        <w:t>)</w:t>
      </w:r>
      <w:r w:rsidR="00C447E8">
        <w:rPr>
          <w:rFonts w:ascii="Calibri" w:eastAsia="Calibri" w:hAnsi="Calibri" w:cs="Calibri"/>
          <w:color w:val="000000" w:themeColor="text1"/>
          <w:lang w:val="en-GB"/>
        </w:rPr>
        <w:t xml:space="preserve">, </w:t>
      </w:r>
      <w:r w:rsidR="00CF559B">
        <w:rPr>
          <w:rFonts w:ascii="Calibri" w:eastAsia="Calibri" w:hAnsi="Calibri" w:cs="Calibri"/>
          <w:color w:val="000000" w:themeColor="text1"/>
          <w:lang w:val="en-GB"/>
        </w:rPr>
        <w:t>Continuing Healthcare (</w:t>
      </w:r>
      <w:r>
        <w:rPr>
          <w:rFonts w:ascii="Calibri" w:eastAsia="Calibri" w:hAnsi="Calibri" w:cs="Calibri"/>
          <w:color w:val="000000" w:themeColor="text1"/>
          <w:lang w:val="en-GB"/>
        </w:rPr>
        <w:t>CHC</w:t>
      </w:r>
      <w:r w:rsidR="00CF559B">
        <w:rPr>
          <w:rFonts w:ascii="Calibri" w:eastAsia="Calibri" w:hAnsi="Calibri" w:cs="Calibri"/>
          <w:color w:val="000000" w:themeColor="text1"/>
          <w:lang w:val="en-GB"/>
        </w:rPr>
        <w:t>)</w:t>
      </w:r>
      <w:r>
        <w:rPr>
          <w:rFonts w:ascii="Calibri" w:eastAsia="Calibri" w:hAnsi="Calibri" w:cs="Calibri"/>
          <w:color w:val="000000" w:themeColor="text1"/>
          <w:lang w:val="en-GB"/>
        </w:rPr>
        <w:t xml:space="preserve"> and placements </w:t>
      </w:r>
      <w:r w:rsidR="00974CFC">
        <w:rPr>
          <w:rFonts w:ascii="Calibri" w:eastAsia="Calibri" w:hAnsi="Calibri" w:cs="Calibri"/>
          <w:color w:val="000000" w:themeColor="text1"/>
          <w:lang w:val="en-GB"/>
        </w:rPr>
        <w:t>moving from mental health to learning disabilities; and</w:t>
      </w:r>
    </w:p>
    <w:p w14:paraId="521C04DC" w14:textId="55D3DB59" w:rsidR="00974CFC" w:rsidRPr="0081262C" w:rsidRDefault="00974CFC" w:rsidP="0081262C">
      <w:pPr>
        <w:pStyle w:val="ListParagraph"/>
        <w:numPr>
          <w:ilvl w:val="0"/>
          <w:numId w:val="3"/>
        </w:numPr>
        <w:spacing w:after="200" w:line="276" w:lineRule="auto"/>
        <w:rPr>
          <w:rFonts w:ascii="Calibri" w:eastAsia="Calibri" w:hAnsi="Calibri" w:cs="Calibri"/>
          <w:color w:val="000000" w:themeColor="text1"/>
          <w:lang w:val="en-GB"/>
        </w:rPr>
      </w:pPr>
      <w:r>
        <w:rPr>
          <w:rFonts w:ascii="Calibri" w:eastAsia="Calibri" w:hAnsi="Calibri" w:cs="Calibri"/>
          <w:color w:val="000000" w:themeColor="text1"/>
          <w:lang w:val="en-GB"/>
        </w:rPr>
        <w:t xml:space="preserve">Excluding spend on </w:t>
      </w:r>
      <w:r w:rsidR="008C3A2A">
        <w:rPr>
          <w:rFonts w:ascii="Calibri" w:eastAsia="Calibri" w:hAnsi="Calibri" w:cs="Calibri"/>
          <w:color w:val="000000" w:themeColor="text1"/>
          <w:lang w:val="en-GB"/>
        </w:rPr>
        <w:t>Attention Deficit Hyperactive Disorder (</w:t>
      </w:r>
      <w:r>
        <w:rPr>
          <w:rFonts w:ascii="Calibri" w:eastAsia="Calibri" w:hAnsi="Calibri" w:cs="Calibri"/>
          <w:color w:val="000000" w:themeColor="text1"/>
          <w:lang w:val="en-GB"/>
        </w:rPr>
        <w:t>ADHD</w:t>
      </w:r>
      <w:r w:rsidR="008C3A2A">
        <w:rPr>
          <w:rFonts w:ascii="Calibri" w:eastAsia="Calibri" w:hAnsi="Calibri" w:cs="Calibri"/>
          <w:color w:val="000000" w:themeColor="text1"/>
          <w:lang w:val="en-GB"/>
        </w:rPr>
        <w:t>)</w:t>
      </w:r>
      <w:r>
        <w:rPr>
          <w:rFonts w:ascii="Calibri" w:eastAsia="Calibri" w:hAnsi="Calibri" w:cs="Calibri"/>
          <w:color w:val="000000" w:themeColor="text1"/>
          <w:lang w:val="en-GB"/>
        </w:rPr>
        <w:t xml:space="preserve"> which is not in scope of the MHIS.</w:t>
      </w:r>
    </w:p>
    <w:p w14:paraId="41566669" w14:textId="44B4B5DE" w:rsidR="00644791" w:rsidRPr="00EF7E3D" w:rsidRDefault="39C5BE99" w:rsidP="33240F55">
      <w:pPr>
        <w:spacing w:after="200" w:line="276" w:lineRule="auto"/>
        <w:rPr>
          <w:rFonts w:ascii="Calibri" w:eastAsia="Calibri" w:hAnsi="Calibri" w:cs="Calibri"/>
          <w:color w:val="000000" w:themeColor="text1"/>
        </w:rPr>
      </w:pPr>
      <w:r w:rsidRPr="00EF7E3D">
        <w:rPr>
          <w:rFonts w:ascii="Calibri" w:eastAsia="Calibri" w:hAnsi="Calibri" w:cs="Calibri"/>
          <w:color w:val="000000" w:themeColor="text1"/>
          <w:u w:val="single"/>
          <w:lang w:val="en-GB"/>
        </w:rPr>
        <w:t>CCG boundaries</w:t>
      </w:r>
    </w:p>
    <w:p w14:paraId="739070DB" w14:textId="4AF98978" w:rsidR="00644791" w:rsidRPr="00EF7E3D" w:rsidRDefault="00F3679A" w:rsidP="33240F55">
      <w:pPr>
        <w:spacing w:after="200" w:line="276" w:lineRule="auto"/>
        <w:rPr>
          <w:rFonts w:ascii="Calibri" w:eastAsia="Calibri" w:hAnsi="Calibri" w:cs="Calibri"/>
          <w:color w:val="000000" w:themeColor="text1"/>
        </w:rPr>
      </w:pPr>
      <w:r w:rsidRPr="00EF7E3D">
        <w:rPr>
          <w:rFonts w:ascii="Calibri" w:eastAsia="Calibri" w:hAnsi="Calibri" w:cs="Calibri"/>
          <w:color w:val="000000" w:themeColor="text1"/>
          <w:lang w:val="en-GB"/>
        </w:rPr>
        <w:t>Data are provided for the boundary configuration as of 2021/</w:t>
      </w:r>
      <w:r w:rsidRPr="0081262C">
        <w:rPr>
          <w:rFonts w:ascii="Calibri" w:eastAsia="Calibri" w:hAnsi="Calibri" w:cs="Calibri"/>
          <w:color w:val="000000" w:themeColor="text1"/>
          <w:lang w:val="en-GB"/>
        </w:rPr>
        <w:t xml:space="preserve">22. </w:t>
      </w:r>
      <w:r w:rsidR="00A54AFE" w:rsidRPr="0081262C">
        <w:rPr>
          <w:rFonts w:ascii="Calibri" w:eastAsia="Calibri" w:hAnsi="Calibri" w:cs="Calibri"/>
          <w:color w:val="000000" w:themeColor="text1"/>
          <w:lang w:val="en-GB"/>
        </w:rPr>
        <w:t xml:space="preserve">In addition, Finance data has been provided both at CCG level and aggregated into ICBs. </w:t>
      </w:r>
      <w:r w:rsidR="00C447E8" w:rsidRPr="0081262C">
        <w:rPr>
          <w:rFonts w:ascii="Calibri" w:eastAsia="Calibri" w:hAnsi="Calibri" w:cs="Calibri"/>
          <w:color w:val="000000" w:themeColor="text1"/>
          <w:lang w:val="en-GB"/>
        </w:rPr>
        <w:t>Additional pages have been added to show the movement in spend for CYP, CYP ED and Total Mental Health following re-categorisation of spend in 2021.</w:t>
      </w:r>
      <w:r w:rsidR="00C447E8">
        <w:rPr>
          <w:rFonts w:ascii="Calibri" w:eastAsia="Calibri" w:hAnsi="Calibri" w:cs="Calibri"/>
          <w:color w:val="000000" w:themeColor="text1"/>
          <w:lang w:val="en-GB"/>
        </w:rPr>
        <w:t xml:space="preserve"> </w:t>
      </w:r>
    </w:p>
    <w:p w14:paraId="461C2769" w14:textId="750FBF66" w:rsidR="00644791" w:rsidRPr="00EF7E3D" w:rsidRDefault="39C5BE99" w:rsidP="00EA2334">
      <w:pPr>
        <w:rPr>
          <w:rFonts w:ascii="Calibri" w:eastAsia="Calibri" w:hAnsi="Calibri" w:cs="Calibri"/>
          <w:color w:val="000000" w:themeColor="text1"/>
        </w:rPr>
      </w:pPr>
      <w:r w:rsidRPr="00EF7E3D">
        <w:rPr>
          <w:rFonts w:ascii="Calibri" w:eastAsia="Calibri" w:hAnsi="Calibri" w:cs="Calibri"/>
          <w:color w:val="000000" w:themeColor="text1"/>
          <w:u w:val="single"/>
          <w:lang w:val="en-GB"/>
        </w:rPr>
        <w:t>Supressed data</w:t>
      </w:r>
    </w:p>
    <w:p w14:paraId="4F29A41E" w14:textId="45204344" w:rsidR="00644791" w:rsidRPr="00EF7E3D" w:rsidRDefault="39C5BE99" w:rsidP="33240F55">
      <w:pPr>
        <w:spacing w:after="200" w:line="276" w:lineRule="auto"/>
        <w:rPr>
          <w:rFonts w:ascii="Calibri" w:eastAsia="Calibri" w:hAnsi="Calibri" w:cs="Calibri"/>
          <w:color w:val="000000" w:themeColor="text1"/>
        </w:rPr>
      </w:pPr>
      <w:r w:rsidRPr="00EF7E3D">
        <w:rPr>
          <w:rFonts w:ascii="Calibri" w:eastAsia="Calibri" w:hAnsi="Calibri" w:cs="Calibri"/>
          <w:color w:val="000000" w:themeColor="text1"/>
          <w:lang w:val="en-GB"/>
        </w:rPr>
        <w:t>Where data are taken from a published source the suppression rules used by the publishing organisation are applied. Where data are not already published outside of the dashboard, basic suppression rules are applied where CCG values are small (for example numbers of admissions) - values less than 5 are supressed to reduce the risk of disclosure and ensure patient confidentiality. Data that has been suppressed is indicated by * in the spreadsheet</w:t>
      </w:r>
      <w:r w:rsidR="007238A4" w:rsidRPr="00EF7E3D">
        <w:rPr>
          <w:rFonts w:ascii="Calibri" w:eastAsia="Calibri" w:hAnsi="Calibri" w:cs="Calibri"/>
          <w:color w:val="000000" w:themeColor="text1"/>
          <w:lang w:val="en-GB"/>
        </w:rPr>
        <w:t>.</w:t>
      </w:r>
    </w:p>
    <w:p w14:paraId="14AF1673" w14:textId="09E9442B" w:rsidR="00644791" w:rsidRPr="00EF7E3D" w:rsidRDefault="39C5BE99" w:rsidP="33240F55">
      <w:pPr>
        <w:spacing w:after="200" w:line="276" w:lineRule="auto"/>
        <w:rPr>
          <w:rFonts w:ascii="Calibri" w:eastAsia="Calibri" w:hAnsi="Calibri" w:cs="Calibri"/>
          <w:color w:val="000000" w:themeColor="text1"/>
        </w:rPr>
      </w:pPr>
      <w:r w:rsidRPr="00EF7E3D">
        <w:rPr>
          <w:rFonts w:ascii="Calibri" w:eastAsia="Calibri" w:hAnsi="Calibri" w:cs="Calibri"/>
          <w:color w:val="000000" w:themeColor="text1"/>
          <w:u w:val="single"/>
          <w:lang w:val="en-GB"/>
        </w:rPr>
        <w:t>Number of bed days and admissions of CYP under 18 in Children and Young people’s Mental Health Inpatient wards </w:t>
      </w:r>
    </w:p>
    <w:p w14:paraId="00E9D8DE" w14:textId="3C3D5503" w:rsidR="00644791" w:rsidRPr="00EF7E3D" w:rsidRDefault="39C5BE99" w:rsidP="33240F55">
      <w:pPr>
        <w:spacing w:after="200" w:line="276" w:lineRule="auto"/>
        <w:rPr>
          <w:rFonts w:ascii="Calibri" w:eastAsia="Calibri" w:hAnsi="Calibri" w:cs="Calibri"/>
          <w:color w:val="1F497D"/>
        </w:rPr>
      </w:pPr>
      <w:r w:rsidRPr="00EF7E3D">
        <w:rPr>
          <w:rFonts w:ascii="Calibri" w:eastAsia="Calibri" w:hAnsi="Calibri" w:cs="Calibri"/>
          <w:color w:val="000000" w:themeColor="text1"/>
          <w:lang w:val="en-GB"/>
        </w:rPr>
        <w:t>This data includes all submissions received for 20</w:t>
      </w:r>
      <w:r w:rsidR="00DD4F2B" w:rsidRPr="00EF7E3D">
        <w:rPr>
          <w:rFonts w:ascii="Calibri" w:eastAsia="Calibri" w:hAnsi="Calibri" w:cs="Calibri"/>
          <w:color w:val="000000" w:themeColor="text1"/>
          <w:lang w:val="en-GB"/>
        </w:rPr>
        <w:t>21/22</w:t>
      </w:r>
      <w:r w:rsidRPr="00EF7E3D">
        <w:rPr>
          <w:rFonts w:ascii="Calibri" w:eastAsia="Calibri" w:hAnsi="Calibri" w:cs="Calibri"/>
          <w:color w:val="000000" w:themeColor="text1"/>
          <w:lang w:val="en-GB"/>
        </w:rPr>
        <w:t xml:space="preserve"> at </w:t>
      </w:r>
      <w:r w:rsidR="007238A4" w:rsidRPr="00EF7E3D">
        <w:rPr>
          <w:rFonts w:ascii="Calibri" w:eastAsia="Calibri" w:hAnsi="Calibri" w:cs="Calibri"/>
          <w:color w:val="000000" w:themeColor="text1"/>
          <w:lang w:val="en-GB"/>
        </w:rPr>
        <w:t>M</w:t>
      </w:r>
      <w:r w:rsidRPr="00EF7E3D">
        <w:rPr>
          <w:rFonts w:ascii="Calibri" w:eastAsia="Calibri" w:hAnsi="Calibri" w:cs="Calibri"/>
          <w:color w:val="000000" w:themeColor="text1"/>
          <w:lang w:val="en-GB"/>
        </w:rPr>
        <w:t>onth</w:t>
      </w:r>
      <w:r w:rsidR="007238A4" w:rsidRPr="00EF7E3D">
        <w:rPr>
          <w:rFonts w:ascii="Calibri" w:eastAsia="Calibri" w:hAnsi="Calibri" w:cs="Calibri"/>
          <w:color w:val="000000" w:themeColor="text1"/>
          <w:lang w:val="en-GB"/>
        </w:rPr>
        <w:t xml:space="preserve"> </w:t>
      </w:r>
      <w:r w:rsidRPr="00EF7E3D">
        <w:rPr>
          <w:rFonts w:ascii="Calibri" w:eastAsia="Calibri" w:hAnsi="Calibri" w:cs="Calibri"/>
          <w:color w:val="000000" w:themeColor="text1"/>
          <w:lang w:val="en-GB"/>
        </w:rPr>
        <w:t>12 (final freeze position) and all four quarters have been refreshed to account for any late entries or corrections. We are not expecting any further re-submissions from our healthcare providers</w:t>
      </w:r>
      <w:r w:rsidRPr="00EF7E3D">
        <w:rPr>
          <w:rFonts w:ascii="Calibri" w:eastAsia="Calibri" w:hAnsi="Calibri" w:cs="Calibri"/>
          <w:color w:val="1F497D"/>
          <w:lang w:val="en-GB"/>
        </w:rPr>
        <w:t>.</w:t>
      </w:r>
      <w:r w:rsidR="002C1ECE" w:rsidRPr="00EF7E3D">
        <w:rPr>
          <w:rFonts w:ascii="Calibri" w:eastAsia="Calibri" w:hAnsi="Calibri" w:cs="Calibri"/>
          <w:color w:val="1F497D"/>
          <w:lang w:val="en-GB"/>
        </w:rPr>
        <w:t xml:space="preserve"> </w:t>
      </w:r>
      <w:r w:rsidR="002C1ECE" w:rsidRPr="00EF7E3D">
        <w:rPr>
          <w:rFonts w:ascii="Calibri" w:eastAsia="Calibri" w:hAnsi="Calibri" w:cs="Calibri"/>
          <w:color w:val="000000" w:themeColor="text1"/>
          <w:lang w:val="en-GB"/>
        </w:rPr>
        <w:t xml:space="preserve">To note, data is not available for one CCG as </w:t>
      </w:r>
      <w:r w:rsidR="002F03E9" w:rsidRPr="00EF7E3D">
        <w:rPr>
          <w:rFonts w:ascii="Calibri" w:eastAsia="Calibri" w:hAnsi="Calibri" w:cs="Calibri"/>
          <w:color w:val="000000" w:themeColor="text1"/>
          <w:lang w:val="en-GB"/>
        </w:rPr>
        <w:t>providers did not adopt the new ODS code in year</w:t>
      </w:r>
      <w:r w:rsidR="00104BBA" w:rsidRPr="00EF7E3D">
        <w:rPr>
          <w:rFonts w:ascii="Calibri" w:eastAsia="Calibri" w:hAnsi="Calibri" w:cs="Calibri"/>
          <w:color w:val="000000" w:themeColor="text1"/>
          <w:lang w:val="en-GB"/>
        </w:rPr>
        <w:t xml:space="preserve"> and were still reporting into the pre-merged CCG. </w:t>
      </w:r>
    </w:p>
    <w:p w14:paraId="3CD7E7DD" w14:textId="79B13F98" w:rsidR="00644791" w:rsidRPr="00EF7E3D" w:rsidRDefault="39C5BE99" w:rsidP="33240F55">
      <w:pPr>
        <w:spacing w:after="200" w:line="276" w:lineRule="auto"/>
        <w:rPr>
          <w:rFonts w:ascii="Calibri" w:eastAsia="Calibri" w:hAnsi="Calibri" w:cs="Calibri"/>
          <w:color w:val="000000" w:themeColor="text1"/>
        </w:rPr>
      </w:pPr>
      <w:r w:rsidRPr="00EF7E3D">
        <w:rPr>
          <w:rFonts w:ascii="Calibri" w:eastAsia="Calibri" w:hAnsi="Calibri" w:cs="Calibri"/>
          <w:color w:val="000000" w:themeColor="text1"/>
          <w:u w:val="single"/>
          <w:lang w:val="en-GB"/>
        </w:rPr>
        <w:t>Number of CYP under 18 in adult inpatient wards</w:t>
      </w:r>
    </w:p>
    <w:p w14:paraId="4B981305" w14:textId="17C2081D" w:rsidR="00644791" w:rsidRPr="00EF7E3D" w:rsidRDefault="39C5BE99" w:rsidP="33240F55">
      <w:pPr>
        <w:spacing w:after="200" w:line="276" w:lineRule="auto"/>
        <w:rPr>
          <w:rFonts w:ascii="Calibri" w:eastAsia="Calibri" w:hAnsi="Calibri" w:cs="Calibri"/>
          <w:color w:val="000000" w:themeColor="text1"/>
        </w:rPr>
      </w:pPr>
      <w:r w:rsidRPr="00EF7E3D">
        <w:rPr>
          <w:rFonts w:ascii="Calibri" w:eastAsia="Calibri" w:hAnsi="Calibri" w:cs="Calibri"/>
          <w:color w:val="000000" w:themeColor="text1"/>
          <w:lang w:val="en-GB"/>
        </w:rPr>
        <w:t xml:space="preserve">MHA 1983 as amended in 2007 permits the admission of CYP under 18 to AMH under two circumstances – where it is a genuine emergency and the CYP needs to be admitted briefly for safety reasons while an appropriate placement is found, or where it is clinically appropriate for an under 18 to be in an adult setting and where even if a CYPMH Inpatient bed was available the AMH ward would be preferable.    </w:t>
      </w:r>
    </w:p>
    <w:p w14:paraId="4E27BA65" w14:textId="360F9954" w:rsidR="00644791" w:rsidRPr="00EF7E3D" w:rsidRDefault="00CE5631" w:rsidP="33240F55">
      <w:pPr>
        <w:spacing w:after="200" w:line="276" w:lineRule="auto"/>
        <w:rPr>
          <w:rFonts w:ascii="Calibri" w:eastAsia="Calibri" w:hAnsi="Calibri" w:cs="Calibri"/>
          <w:color w:val="000000" w:themeColor="text1"/>
          <w:u w:val="single"/>
          <w:lang w:val="en-GB"/>
        </w:rPr>
      </w:pPr>
      <w:r w:rsidRPr="00EF7E3D">
        <w:rPr>
          <w:rFonts w:ascii="Calibri" w:eastAsia="Calibri" w:hAnsi="Calibri" w:cs="Calibri"/>
          <w:color w:val="000000" w:themeColor="text1"/>
          <w:u w:val="single"/>
          <w:lang w:val="en-GB"/>
        </w:rPr>
        <w:t>Number of</w:t>
      </w:r>
      <w:r w:rsidR="39C5BE99" w:rsidRPr="00EF7E3D">
        <w:rPr>
          <w:rFonts w:ascii="Calibri" w:eastAsia="Calibri" w:hAnsi="Calibri" w:cs="Calibri"/>
          <w:color w:val="000000" w:themeColor="text1"/>
          <w:u w:val="single"/>
          <w:lang w:val="en-GB"/>
        </w:rPr>
        <w:t xml:space="preserve"> children and young people (CYP) accessing </w:t>
      </w:r>
      <w:r w:rsidRPr="00EF7E3D">
        <w:rPr>
          <w:rFonts w:ascii="Calibri" w:eastAsia="Calibri" w:hAnsi="Calibri" w:cs="Calibri"/>
          <w:color w:val="000000" w:themeColor="text1"/>
          <w:u w:val="single"/>
          <w:lang w:val="en-GB"/>
        </w:rPr>
        <w:t>support</w:t>
      </w:r>
      <w:r w:rsidR="39C5BE99" w:rsidRPr="00EF7E3D">
        <w:rPr>
          <w:rFonts w:ascii="Calibri" w:eastAsia="Calibri" w:hAnsi="Calibri" w:cs="Calibri"/>
          <w:color w:val="000000" w:themeColor="text1"/>
          <w:u w:val="single"/>
          <w:lang w:val="en-GB"/>
        </w:rPr>
        <w:t xml:space="preserve"> </w:t>
      </w:r>
      <w:r w:rsidRPr="00EF7E3D">
        <w:rPr>
          <w:rFonts w:ascii="Calibri" w:eastAsia="Calibri" w:hAnsi="Calibri" w:cs="Calibri"/>
          <w:color w:val="000000" w:themeColor="text1"/>
          <w:u w:val="single"/>
          <w:lang w:val="en-GB"/>
        </w:rPr>
        <w:t>from</w:t>
      </w:r>
      <w:r w:rsidR="39C5BE99" w:rsidRPr="00EF7E3D">
        <w:rPr>
          <w:rFonts w:ascii="Calibri" w:eastAsia="Calibri" w:hAnsi="Calibri" w:cs="Calibri"/>
          <w:color w:val="000000" w:themeColor="text1"/>
          <w:u w:val="single"/>
          <w:lang w:val="en-GB"/>
        </w:rPr>
        <w:t xml:space="preserve"> NHS funded service</w:t>
      </w:r>
      <w:r w:rsidRPr="00EF7E3D">
        <w:rPr>
          <w:rFonts w:ascii="Calibri" w:eastAsia="Calibri" w:hAnsi="Calibri" w:cs="Calibri"/>
          <w:color w:val="000000" w:themeColor="text1"/>
          <w:u w:val="single"/>
          <w:lang w:val="en-GB"/>
        </w:rPr>
        <w:t>s</w:t>
      </w:r>
    </w:p>
    <w:p w14:paraId="181B1607" w14:textId="2A573943" w:rsidR="004E28CB" w:rsidRDefault="00CE5631" w:rsidP="33240F55">
      <w:pPr>
        <w:spacing w:after="200" w:line="276" w:lineRule="auto"/>
        <w:rPr>
          <w:rFonts w:ascii="Calibri" w:eastAsia="Calibri" w:hAnsi="Calibri" w:cs="Calibri"/>
          <w:color w:val="000000" w:themeColor="text1"/>
          <w:lang w:val="en-GB"/>
        </w:rPr>
      </w:pPr>
      <w:r w:rsidRPr="00EF7E3D">
        <w:rPr>
          <w:rFonts w:ascii="Calibri" w:eastAsia="Calibri" w:hAnsi="Calibri" w:cs="Calibri"/>
          <w:color w:val="000000" w:themeColor="text1"/>
          <w:lang w:val="en-GB"/>
        </w:rPr>
        <w:t xml:space="preserve">Through the NHS </w:t>
      </w:r>
      <w:r w:rsidR="001753F7">
        <w:rPr>
          <w:rFonts w:ascii="Calibri" w:eastAsia="Calibri" w:hAnsi="Calibri" w:cs="Calibri"/>
          <w:color w:val="000000" w:themeColor="text1"/>
          <w:lang w:val="en-GB"/>
        </w:rPr>
        <w:t>LTP</w:t>
      </w:r>
      <w:r w:rsidRPr="00EF7E3D">
        <w:rPr>
          <w:rFonts w:ascii="Calibri" w:eastAsia="Calibri" w:hAnsi="Calibri" w:cs="Calibri"/>
          <w:color w:val="000000" w:themeColor="text1"/>
          <w:lang w:val="en-GB"/>
        </w:rPr>
        <w:t xml:space="preserve"> we continue to build on the progress made in the Five Year Forward View for Mental Health to improve access to NHS</w:t>
      </w:r>
      <w:r w:rsidR="00D528BA" w:rsidRPr="00EF7E3D">
        <w:rPr>
          <w:rFonts w:ascii="Calibri" w:eastAsia="Calibri" w:hAnsi="Calibri" w:cs="Calibri"/>
          <w:color w:val="000000" w:themeColor="text1"/>
          <w:lang w:val="en-GB"/>
        </w:rPr>
        <w:t>-</w:t>
      </w:r>
      <w:r w:rsidRPr="00EF7E3D">
        <w:rPr>
          <w:rFonts w:ascii="Calibri" w:eastAsia="Calibri" w:hAnsi="Calibri" w:cs="Calibri"/>
          <w:color w:val="000000" w:themeColor="text1"/>
          <w:lang w:val="en-GB"/>
        </w:rPr>
        <w:t>funded support for children and young people. Our commitment is that by 2023/24 an additional 345,000 CYP aged 0-25 will access support from NHS</w:t>
      </w:r>
      <w:r w:rsidR="00A76220" w:rsidRPr="00EF7E3D">
        <w:rPr>
          <w:rFonts w:ascii="Calibri" w:eastAsia="Calibri" w:hAnsi="Calibri" w:cs="Calibri"/>
          <w:color w:val="000000" w:themeColor="text1"/>
          <w:lang w:val="en-GB"/>
        </w:rPr>
        <w:t>-</w:t>
      </w:r>
      <w:r w:rsidRPr="00EF7E3D">
        <w:rPr>
          <w:rFonts w:ascii="Calibri" w:eastAsia="Calibri" w:hAnsi="Calibri" w:cs="Calibri"/>
          <w:color w:val="000000" w:themeColor="text1"/>
          <w:lang w:val="en-GB"/>
        </w:rPr>
        <w:t>funded services including the newly established Mental Health Support Teams in schools and colleges.</w:t>
      </w:r>
    </w:p>
    <w:p w14:paraId="28B17DE6" w14:textId="01A8C58B" w:rsidR="00CE5631" w:rsidRPr="00EF7E3D" w:rsidRDefault="008157F4" w:rsidP="33240F55">
      <w:pPr>
        <w:spacing w:after="200" w:line="276" w:lineRule="auto"/>
        <w:rPr>
          <w:rFonts w:ascii="Calibri" w:eastAsia="Calibri" w:hAnsi="Calibri" w:cs="Calibri"/>
          <w:color w:val="FF0000"/>
        </w:rPr>
      </w:pPr>
      <w:r w:rsidRPr="00EF7E3D">
        <w:rPr>
          <w:rFonts w:ascii="Calibri" w:eastAsia="Calibri" w:hAnsi="Calibri" w:cs="Calibri"/>
          <w:color w:val="000000" w:themeColor="text1"/>
          <w:lang w:val="en-GB"/>
        </w:rPr>
        <w:t>As we want to ensure access to early help and advice as well as to treatment</w:t>
      </w:r>
      <w:r w:rsidR="00E411E2" w:rsidRPr="00EF7E3D">
        <w:rPr>
          <w:rFonts w:ascii="Calibri" w:eastAsia="Calibri" w:hAnsi="Calibri" w:cs="Calibri"/>
          <w:color w:val="000000" w:themeColor="text1"/>
          <w:lang w:val="en-GB"/>
        </w:rPr>
        <w:t>,</w:t>
      </w:r>
      <w:r w:rsidRPr="00EF7E3D">
        <w:rPr>
          <w:rFonts w:ascii="Calibri" w:eastAsia="Calibri" w:hAnsi="Calibri" w:cs="Calibri"/>
          <w:color w:val="000000" w:themeColor="text1"/>
          <w:lang w:val="en-GB"/>
        </w:rPr>
        <w:t xml:space="preserve"> we now use </w:t>
      </w:r>
      <w:r w:rsidRPr="00EF7E3D">
        <w:rPr>
          <w:rFonts w:ascii="Calibri" w:eastAsia="Calibri" w:hAnsi="Calibri" w:cs="Calibri"/>
          <w:b/>
          <w:bCs/>
          <w:color w:val="000000" w:themeColor="text1"/>
          <w:lang w:val="en-GB"/>
        </w:rPr>
        <w:t xml:space="preserve">the number of CYP (0-17) receiving at least one contact </w:t>
      </w:r>
      <w:r w:rsidR="001A60C2" w:rsidRPr="00EF7E3D">
        <w:rPr>
          <w:rFonts w:ascii="Calibri" w:eastAsia="Calibri" w:hAnsi="Calibri" w:cs="Calibri"/>
          <w:b/>
          <w:bCs/>
          <w:color w:val="000000" w:themeColor="text1"/>
          <w:lang w:val="en-GB"/>
        </w:rPr>
        <w:t>in a rolling 12</w:t>
      </w:r>
      <w:r w:rsidR="00A03C3D" w:rsidRPr="00EF7E3D">
        <w:rPr>
          <w:rFonts w:ascii="Calibri" w:eastAsia="Calibri" w:hAnsi="Calibri" w:cs="Calibri"/>
          <w:b/>
          <w:bCs/>
          <w:color w:val="000000" w:themeColor="text1"/>
          <w:lang w:val="en-GB"/>
        </w:rPr>
        <w:t>-</w:t>
      </w:r>
      <w:r w:rsidR="001A60C2" w:rsidRPr="00EF7E3D">
        <w:rPr>
          <w:rFonts w:ascii="Calibri" w:eastAsia="Calibri" w:hAnsi="Calibri" w:cs="Calibri"/>
          <w:b/>
          <w:bCs/>
          <w:color w:val="000000" w:themeColor="text1"/>
          <w:lang w:val="en-GB"/>
        </w:rPr>
        <w:t>month period</w:t>
      </w:r>
      <w:r w:rsidR="001A60C2" w:rsidRPr="00EF7E3D">
        <w:rPr>
          <w:rFonts w:ascii="Calibri" w:eastAsia="Calibri" w:hAnsi="Calibri" w:cs="Calibri"/>
          <w:color w:val="000000" w:themeColor="text1"/>
          <w:lang w:val="en-GB"/>
        </w:rPr>
        <w:t xml:space="preserve"> as a headline metric. </w:t>
      </w:r>
      <w:r w:rsidR="004E28CB">
        <w:rPr>
          <w:rFonts w:ascii="Calibri" w:eastAsia="Calibri" w:hAnsi="Calibri" w:cs="Calibri"/>
          <w:color w:val="000000" w:themeColor="text1"/>
          <w:lang w:val="en-GB"/>
        </w:rPr>
        <w:t>We met with colleagues from OCC to brief you on this change in Autumn 2021, and subsequently in preparation for the forthcoming report. T</w:t>
      </w:r>
      <w:r w:rsidR="001A60C2" w:rsidRPr="00EF7E3D">
        <w:rPr>
          <w:rFonts w:ascii="Calibri" w:eastAsia="Calibri" w:hAnsi="Calibri" w:cs="Calibri"/>
          <w:color w:val="000000" w:themeColor="text1"/>
          <w:lang w:val="en-GB"/>
        </w:rPr>
        <w:t>h</w:t>
      </w:r>
      <w:r w:rsidR="004E28CB">
        <w:rPr>
          <w:rFonts w:ascii="Calibri" w:eastAsia="Calibri" w:hAnsi="Calibri" w:cs="Calibri"/>
          <w:color w:val="000000" w:themeColor="text1"/>
          <w:lang w:val="en-GB"/>
        </w:rPr>
        <w:t>e change</w:t>
      </w:r>
      <w:r w:rsidR="001A60C2" w:rsidRPr="00EF7E3D">
        <w:rPr>
          <w:rFonts w:ascii="Calibri" w:eastAsia="Calibri" w:hAnsi="Calibri" w:cs="Calibri"/>
          <w:color w:val="000000" w:themeColor="text1"/>
          <w:lang w:val="en-GB"/>
        </w:rPr>
        <w:t xml:space="preserve"> ensures that the metric better captures signposting, advice, single session interven</w:t>
      </w:r>
      <w:r w:rsidR="008137A1" w:rsidRPr="00EF7E3D">
        <w:rPr>
          <w:rFonts w:ascii="Calibri" w:eastAsia="Calibri" w:hAnsi="Calibri" w:cs="Calibri"/>
          <w:color w:val="000000" w:themeColor="text1"/>
          <w:lang w:val="en-GB"/>
        </w:rPr>
        <w:t>t</w:t>
      </w:r>
      <w:r w:rsidR="001A60C2" w:rsidRPr="00EF7E3D">
        <w:rPr>
          <w:rFonts w:ascii="Calibri" w:eastAsia="Calibri" w:hAnsi="Calibri" w:cs="Calibri"/>
          <w:color w:val="000000" w:themeColor="text1"/>
          <w:lang w:val="en-GB"/>
        </w:rPr>
        <w:t xml:space="preserve">ions, risk </w:t>
      </w:r>
      <w:r w:rsidR="008137A1" w:rsidRPr="00EF7E3D">
        <w:rPr>
          <w:rFonts w:ascii="Calibri" w:eastAsia="Calibri" w:hAnsi="Calibri" w:cs="Calibri"/>
          <w:color w:val="000000" w:themeColor="text1"/>
          <w:lang w:val="en-GB"/>
        </w:rPr>
        <w:t xml:space="preserve">support and consultation. </w:t>
      </w:r>
      <w:r w:rsidR="00206699" w:rsidRPr="00EF7E3D">
        <w:rPr>
          <w:rFonts w:ascii="Calibri" w:eastAsia="Calibri" w:hAnsi="Calibri" w:cs="Calibri"/>
          <w:color w:val="000000" w:themeColor="text1"/>
          <w:lang w:val="en-GB"/>
        </w:rPr>
        <w:t>Whilst we use the same metric methodology to monitor increased access for young adults aged 18-2</w:t>
      </w:r>
      <w:r w:rsidR="00E1086C" w:rsidRPr="00EF7E3D">
        <w:rPr>
          <w:rFonts w:ascii="Calibri" w:eastAsia="Calibri" w:hAnsi="Calibri" w:cs="Calibri"/>
          <w:color w:val="000000" w:themeColor="text1"/>
          <w:lang w:val="en-GB"/>
        </w:rPr>
        <w:t>5</w:t>
      </w:r>
      <w:r w:rsidR="00206699" w:rsidRPr="00EF7E3D">
        <w:rPr>
          <w:rFonts w:ascii="Calibri" w:eastAsia="Calibri" w:hAnsi="Calibri" w:cs="Calibri"/>
          <w:color w:val="000000" w:themeColor="text1"/>
          <w:lang w:val="en-GB"/>
        </w:rPr>
        <w:t>, we monitor the two separately. This is because the 18-24 element of the programme is not seeking to create standalone young adult pathways but is promoting greater alignment and integration across CYP and adult provision. This integration is what service users and families want, but from a data perspective it does mean there can be challenge in attributing relevant activity from the thousands of young adults in MHSDS. Monitoring 0-17 and 18-</w:t>
      </w:r>
      <w:r w:rsidR="00E1086C" w:rsidRPr="00EF7E3D">
        <w:rPr>
          <w:rFonts w:ascii="Calibri" w:eastAsia="Calibri" w:hAnsi="Calibri" w:cs="Calibri"/>
          <w:color w:val="000000" w:themeColor="text1"/>
          <w:lang w:val="en-GB"/>
        </w:rPr>
        <w:t>25</w:t>
      </w:r>
      <w:r w:rsidR="00206699" w:rsidRPr="00EF7E3D">
        <w:rPr>
          <w:rFonts w:ascii="Calibri" w:eastAsia="Calibri" w:hAnsi="Calibri" w:cs="Calibri"/>
          <w:color w:val="000000" w:themeColor="text1"/>
          <w:lang w:val="en-GB"/>
        </w:rPr>
        <w:t xml:space="preserve"> separately removes the risk that reporting is skewed. NHSE will reconcile reporting on the ambition to demonstrate delivery by 2023/24 and has started reporting overall national numbers of </w:t>
      </w:r>
      <w:r w:rsidR="00E411E2" w:rsidRPr="00EF7E3D">
        <w:rPr>
          <w:rFonts w:ascii="Calibri" w:eastAsia="Calibri" w:hAnsi="Calibri" w:cs="Calibri"/>
          <w:color w:val="000000" w:themeColor="text1"/>
          <w:lang w:val="en-GB"/>
        </w:rPr>
        <w:t>18-25-year</w:t>
      </w:r>
      <w:r w:rsidR="00206699" w:rsidRPr="00EF7E3D">
        <w:rPr>
          <w:rFonts w:ascii="Calibri" w:eastAsia="Calibri" w:hAnsi="Calibri" w:cs="Calibri"/>
          <w:color w:val="000000" w:themeColor="text1"/>
          <w:lang w:val="en-GB"/>
        </w:rPr>
        <w:t xml:space="preserve"> olds, but system/CCG/provider level trajectories do not currently exist.</w:t>
      </w:r>
    </w:p>
    <w:p w14:paraId="51FBB059" w14:textId="731ADD9D" w:rsidR="00644791" w:rsidRPr="00EF7E3D" w:rsidRDefault="39C5BE99" w:rsidP="00FA6CA5">
      <w:pPr>
        <w:pStyle w:val="NoSpacing"/>
        <w:rPr>
          <w:u w:val="single"/>
          <w:lang w:val="en-GB"/>
        </w:rPr>
      </w:pPr>
      <w:r w:rsidRPr="00EF7E3D">
        <w:rPr>
          <w:u w:val="single"/>
          <w:lang w:val="en-GB"/>
        </w:rPr>
        <w:t xml:space="preserve">CYP service spend </w:t>
      </w:r>
      <w:r w:rsidR="00FA6CA5" w:rsidRPr="00EF7E3D">
        <w:rPr>
          <w:u w:val="single"/>
          <w:lang w:val="en-GB"/>
        </w:rPr>
        <w:t xml:space="preserve"> </w:t>
      </w:r>
    </w:p>
    <w:p w14:paraId="68B4BCD4" w14:textId="77777777" w:rsidR="00FA6CA5" w:rsidRPr="00EF7E3D" w:rsidRDefault="00FA6CA5" w:rsidP="00A03C3D">
      <w:pPr>
        <w:pStyle w:val="NoSpacing"/>
      </w:pPr>
    </w:p>
    <w:p w14:paraId="10FD3A72" w14:textId="243955FF" w:rsidR="009E18F4" w:rsidRPr="0081262C" w:rsidRDefault="39C5BE99" w:rsidP="33240F55">
      <w:pPr>
        <w:spacing w:after="0" w:line="240" w:lineRule="auto"/>
        <w:rPr>
          <w:rFonts w:ascii="Calibri" w:eastAsia="Calibri" w:hAnsi="Calibri" w:cs="Calibri"/>
          <w:color w:val="000000" w:themeColor="text1"/>
          <w:lang w:val="en-GB"/>
        </w:rPr>
      </w:pPr>
      <w:r w:rsidRPr="00EF7E3D">
        <w:rPr>
          <w:rFonts w:ascii="Calibri" w:eastAsia="Calibri" w:hAnsi="Calibri" w:cs="Calibri"/>
          <w:color w:val="000000" w:themeColor="text1"/>
          <w:lang w:val="en-GB"/>
        </w:rPr>
        <w:t>Funding for children and young people’s mental health services and eating disorder is shown separately on the dashboard</w:t>
      </w:r>
      <w:r w:rsidR="00945C79">
        <w:rPr>
          <w:rFonts w:ascii="Calibri" w:eastAsia="Calibri" w:hAnsi="Calibri" w:cs="Calibri"/>
          <w:color w:val="000000" w:themeColor="text1"/>
          <w:lang w:val="en-GB"/>
        </w:rPr>
        <w:t>.</w:t>
      </w:r>
      <w:r w:rsidRPr="00EF7E3D">
        <w:rPr>
          <w:rFonts w:ascii="Calibri" w:eastAsia="Calibri" w:hAnsi="Calibri" w:cs="Calibri"/>
          <w:color w:val="000000" w:themeColor="text1"/>
          <w:lang w:val="en-GB"/>
        </w:rPr>
        <w:t xml:space="preserve"> This is in line with our commitment to be transparent about the funding allocated following the </w:t>
      </w:r>
      <w:r w:rsidRPr="0081262C">
        <w:rPr>
          <w:rFonts w:ascii="Calibri" w:eastAsia="Calibri" w:hAnsi="Calibri" w:cs="Calibri"/>
          <w:color w:val="000000" w:themeColor="text1"/>
          <w:lang w:val="en-GB"/>
        </w:rPr>
        <w:t>publication of Future in Mind in 2015.</w:t>
      </w:r>
    </w:p>
    <w:p w14:paraId="46A4DFA5" w14:textId="3E2485C6" w:rsidR="00EA0DC6" w:rsidRPr="0081262C" w:rsidRDefault="00EA0DC6" w:rsidP="33240F55">
      <w:pPr>
        <w:spacing w:after="0" w:line="240" w:lineRule="auto"/>
        <w:rPr>
          <w:rFonts w:ascii="Calibri" w:eastAsia="Calibri" w:hAnsi="Calibri" w:cs="Calibri"/>
          <w:color w:val="000000" w:themeColor="text1"/>
          <w:lang w:val="en-GB"/>
        </w:rPr>
      </w:pPr>
    </w:p>
    <w:p w14:paraId="1A2CC5B0" w14:textId="2CA4BCC3" w:rsidR="00EA0DC6" w:rsidRPr="0081262C" w:rsidRDefault="00EA0DC6" w:rsidP="33240F55">
      <w:pPr>
        <w:spacing w:after="0" w:line="240" w:lineRule="auto"/>
        <w:rPr>
          <w:rFonts w:ascii="Calibri" w:eastAsia="Calibri" w:hAnsi="Calibri" w:cs="Calibri"/>
          <w:color w:val="000000" w:themeColor="text1"/>
          <w:lang w:val="en-GB"/>
        </w:rPr>
      </w:pPr>
      <w:r w:rsidRPr="0081262C">
        <w:rPr>
          <w:rFonts w:ascii="Calibri" w:eastAsia="Calibri" w:hAnsi="Calibri" w:cs="Calibri"/>
          <w:color w:val="000000" w:themeColor="text1"/>
          <w:lang w:val="en-GB"/>
        </w:rPr>
        <w:t xml:space="preserve">The 2021/22 outturn reported here is as per published data in the 2021/22 Q4 Dashboard </w:t>
      </w:r>
      <w:proofErr w:type="gramStart"/>
      <w:r w:rsidRPr="0081262C">
        <w:rPr>
          <w:rFonts w:ascii="Calibri" w:eastAsia="Calibri" w:hAnsi="Calibri" w:cs="Calibri"/>
          <w:color w:val="000000" w:themeColor="text1"/>
          <w:lang w:val="en-GB"/>
        </w:rPr>
        <w:t>with the exception of</w:t>
      </w:r>
      <w:proofErr w:type="gramEnd"/>
      <w:r w:rsidRPr="0081262C">
        <w:rPr>
          <w:rFonts w:ascii="Calibri" w:eastAsia="Calibri" w:hAnsi="Calibri" w:cs="Calibri"/>
          <w:color w:val="000000" w:themeColor="text1"/>
          <w:lang w:val="en-GB"/>
        </w:rPr>
        <w:t xml:space="preserve"> </w:t>
      </w:r>
      <w:r w:rsidR="00C447E8" w:rsidRPr="0081262C">
        <w:rPr>
          <w:rFonts w:ascii="Calibri" w:eastAsia="Calibri" w:hAnsi="Calibri" w:cs="Calibri"/>
          <w:color w:val="000000" w:themeColor="text1"/>
          <w:lang w:val="en-GB"/>
        </w:rPr>
        <w:t>four</w:t>
      </w:r>
      <w:r w:rsidRPr="0081262C">
        <w:rPr>
          <w:rFonts w:ascii="Calibri" w:eastAsia="Calibri" w:hAnsi="Calibri" w:cs="Calibri"/>
          <w:color w:val="000000" w:themeColor="text1"/>
          <w:lang w:val="en-GB"/>
        </w:rPr>
        <w:t xml:space="preserve"> CCGs who </w:t>
      </w:r>
      <w:r w:rsidR="00C447E8" w:rsidRPr="0081262C">
        <w:rPr>
          <w:rFonts w:ascii="Calibri" w:eastAsia="Calibri" w:hAnsi="Calibri" w:cs="Calibri"/>
          <w:color w:val="000000" w:themeColor="text1"/>
          <w:lang w:val="en-GB"/>
        </w:rPr>
        <w:t>amended their data after publication</w:t>
      </w:r>
      <w:r w:rsidRPr="0081262C">
        <w:rPr>
          <w:rFonts w:ascii="Calibri" w:eastAsia="Calibri" w:hAnsi="Calibri" w:cs="Calibri"/>
          <w:color w:val="000000" w:themeColor="text1"/>
          <w:lang w:val="en-GB"/>
        </w:rPr>
        <w:t xml:space="preserve"> (South Sefton CCG, Southport and Formby CCG</w:t>
      </w:r>
      <w:r w:rsidR="00C447E8" w:rsidRPr="0081262C">
        <w:rPr>
          <w:rFonts w:ascii="Calibri" w:eastAsia="Calibri" w:hAnsi="Calibri" w:cs="Calibri"/>
          <w:color w:val="000000" w:themeColor="text1"/>
          <w:lang w:val="en-GB"/>
        </w:rPr>
        <w:t xml:space="preserve">, </w:t>
      </w:r>
      <w:r w:rsidRPr="0081262C">
        <w:rPr>
          <w:rFonts w:ascii="Calibri" w:eastAsia="Calibri" w:hAnsi="Calibri" w:cs="Calibri"/>
          <w:color w:val="000000" w:themeColor="text1"/>
          <w:lang w:val="en-GB"/>
        </w:rPr>
        <w:t>South Tyneside CCG</w:t>
      </w:r>
      <w:r w:rsidR="00C447E8" w:rsidRPr="0081262C">
        <w:rPr>
          <w:rFonts w:ascii="Calibri" w:eastAsia="Calibri" w:hAnsi="Calibri" w:cs="Calibri"/>
          <w:color w:val="000000" w:themeColor="text1"/>
          <w:lang w:val="en-GB"/>
        </w:rPr>
        <w:t xml:space="preserve"> and South West London CCG</w:t>
      </w:r>
      <w:r w:rsidRPr="0081262C">
        <w:rPr>
          <w:rFonts w:ascii="Calibri" w:eastAsia="Calibri" w:hAnsi="Calibri" w:cs="Calibri"/>
          <w:color w:val="000000" w:themeColor="text1"/>
          <w:lang w:val="en-GB"/>
        </w:rPr>
        <w:t>).</w:t>
      </w:r>
    </w:p>
    <w:p w14:paraId="72384448" w14:textId="52761BF4" w:rsidR="009E18F4" w:rsidRPr="00EF7E3D" w:rsidRDefault="009E18F4" w:rsidP="33240F55">
      <w:pPr>
        <w:spacing w:after="0" w:line="240" w:lineRule="auto"/>
        <w:rPr>
          <w:rFonts w:ascii="Calibri" w:eastAsia="Calibri" w:hAnsi="Calibri" w:cs="Calibri"/>
          <w:i/>
          <w:iCs/>
          <w:color w:val="000000" w:themeColor="text1"/>
          <w:lang w:val="en-GB"/>
        </w:rPr>
      </w:pPr>
    </w:p>
    <w:p w14:paraId="6A981167" w14:textId="1AE34C8F" w:rsidR="00AD509D" w:rsidRPr="00EF7E3D" w:rsidRDefault="00AD509D" w:rsidP="00AD509D">
      <w:pPr>
        <w:spacing w:after="0" w:line="240" w:lineRule="auto"/>
        <w:rPr>
          <w:rFonts w:ascii="Calibri" w:eastAsia="Calibri" w:hAnsi="Calibri" w:cs="Calibri"/>
          <w:color w:val="000000" w:themeColor="text1"/>
          <w:lang w:val="en-GB"/>
        </w:rPr>
      </w:pPr>
      <w:r w:rsidRPr="00EF7E3D">
        <w:rPr>
          <w:rFonts w:ascii="Calibri" w:eastAsia="Calibri" w:hAnsi="Calibri" w:cs="Calibri"/>
          <w:color w:val="000000" w:themeColor="text1"/>
          <w:lang w:val="en-GB"/>
        </w:rPr>
        <w:t>In 2021</w:t>
      </w:r>
      <w:r w:rsidR="00EC289F" w:rsidRPr="00EF7E3D">
        <w:rPr>
          <w:rFonts w:ascii="Calibri" w:eastAsia="Calibri" w:hAnsi="Calibri" w:cs="Calibri"/>
          <w:color w:val="000000" w:themeColor="text1"/>
          <w:lang w:val="en-GB"/>
        </w:rPr>
        <w:t>/</w:t>
      </w:r>
      <w:r w:rsidRPr="00EF7E3D">
        <w:rPr>
          <w:rFonts w:ascii="Calibri" w:eastAsia="Calibri" w:hAnsi="Calibri" w:cs="Calibri"/>
          <w:color w:val="000000" w:themeColor="text1"/>
          <w:lang w:val="en-GB"/>
        </w:rPr>
        <w:t>22 a re-categorisation exercise was undertaken across Mental Health and Learning Disability and Dementia expenditure to allow local health systems to reflect improvements in understanding of their costs and to improve reporting categories. The figures contained in the attached file reflect these changes, so spend for 2018/19, 2019/20 and 2020/21 may differ from previous reports but is on a consistent basis with 2021/22 outturn.</w:t>
      </w:r>
    </w:p>
    <w:p w14:paraId="66E07B0D" w14:textId="77777777" w:rsidR="00AD509D" w:rsidRPr="00EF7E3D" w:rsidRDefault="00AD509D" w:rsidP="00AD509D">
      <w:pPr>
        <w:spacing w:after="0" w:line="240" w:lineRule="auto"/>
        <w:rPr>
          <w:rFonts w:ascii="Calibri" w:eastAsia="Calibri" w:hAnsi="Calibri" w:cs="Calibri"/>
          <w:color w:val="000000" w:themeColor="text1"/>
          <w:lang w:val="en-GB"/>
        </w:rPr>
      </w:pPr>
    </w:p>
    <w:p w14:paraId="558A677D" w14:textId="39B0FB4E" w:rsidR="00C447E8" w:rsidRPr="00EF7E3D" w:rsidRDefault="00AD509D" w:rsidP="00AD509D">
      <w:pPr>
        <w:spacing w:after="0" w:line="240" w:lineRule="auto"/>
        <w:rPr>
          <w:rFonts w:ascii="Calibri" w:eastAsia="Calibri" w:hAnsi="Calibri" w:cs="Calibri"/>
          <w:color w:val="000000" w:themeColor="text1"/>
          <w:lang w:val="en-GB"/>
        </w:rPr>
      </w:pPr>
      <w:r w:rsidRPr="00EF7E3D">
        <w:rPr>
          <w:rFonts w:ascii="Calibri" w:eastAsia="Calibri" w:hAnsi="Calibri" w:cs="Calibri"/>
          <w:color w:val="000000" w:themeColor="text1"/>
          <w:lang w:val="en-GB"/>
        </w:rPr>
        <w:t>As Mental Health spend had already been audited for 2018/19 and 2019/20 the overall values could not change, but the categorisation could. From 2020/21 some CYP spend has been re-categorised outside the MHIS, with some shift to Learning Disability and Autism. An apparent reduction in 2020/21 may be a function of re-categorisation rather than a change in investment pattern.</w:t>
      </w:r>
    </w:p>
    <w:p w14:paraId="05C379E7" w14:textId="77777777" w:rsidR="00AD509D" w:rsidRPr="00EF7E3D" w:rsidRDefault="00AD509D" w:rsidP="00AD509D">
      <w:pPr>
        <w:spacing w:after="0" w:line="240" w:lineRule="auto"/>
        <w:rPr>
          <w:rFonts w:ascii="Calibri" w:eastAsia="Calibri" w:hAnsi="Calibri" w:cs="Calibri"/>
          <w:i/>
          <w:iCs/>
          <w:color w:val="000000" w:themeColor="text1"/>
          <w:lang w:val="en-GB"/>
        </w:rPr>
      </w:pPr>
    </w:p>
    <w:p w14:paraId="030B98A2" w14:textId="1D05F19B" w:rsidR="00D86115" w:rsidRPr="00EF7E3D" w:rsidRDefault="00D86115" w:rsidP="00D86115">
      <w:pPr>
        <w:spacing w:after="0" w:line="240" w:lineRule="auto"/>
        <w:rPr>
          <w:rFonts w:ascii="Calibri" w:eastAsia="Calibri" w:hAnsi="Calibri" w:cs="Calibri"/>
          <w:color w:val="000000" w:themeColor="text1"/>
          <w:u w:val="single"/>
          <w:lang w:val="en-GB"/>
        </w:rPr>
      </w:pPr>
      <w:r w:rsidRPr="00EF7E3D">
        <w:rPr>
          <w:rFonts w:ascii="Calibri" w:eastAsia="Calibri" w:hAnsi="Calibri" w:cs="Calibri"/>
          <w:color w:val="000000" w:themeColor="text1"/>
          <w:u w:val="single"/>
          <w:lang w:val="en-GB"/>
        </w:rPr>
        <w:t xml:space="preserve">CYPMH spend excluding Learning Disabilities, Autism and Eating Disorders </w:t>
      </w:r>
      <w:r w:rsidR="00E411E2" w:rsidRPr="00EF7E3D">
        <w:rPr>
          <w:rFonts w:ascii="Calibri" w:eastAsia="Calibri" w:hAnsi="Calibri" w:cs="Calibri"/>
          <w:color w:val="000000" w:themeColor="text1"/>
          <w:u w:val="single"/>
          <w:lang w:val="en-GB"/>
        </w:rPr>
        <w:t>s</w:t>
      </w:r>
      <w:r w:rsidRPr="00EF7E3D">
        <w:rPr>
          <w:rFonts w:ascii="Calibri" w:eastAsia="Calibri" w:hAnsi="Calibri" w:cs="Calibri"/>
          <w:color w:val="000000" w:themeColor="text1"/>
          <w:u w:val="single"/>
          <w:lang w:val="en-GB"/>
        </w:rPr>
        <w:t>pend</w:t>
      </w:r>
    </w:p>
    <w:p w14:paraId="6EEB38C5" w14:textId="77777777" w:rsidR="00D86115" w:rsidRPr="00EF7E3D" w:rsidRDefault="00D86115" w:rsidP="00D86115">
      <w:pPr>
        <w:spacing w:after="0" w:line="240" w:lineRule="auto"/>
        <w:rPr>
          <w:rFonts w:ascii="Calibri" w:eastAsia="Calibri" w:hAnsi="Calibri" w:cs="Calibri"/>
          <w:color w:val="000000" w:themeColor="text1"/>
        </w:rPr>
      </w:pPr>
    </w:p>
    <w:p w14:paraId="50EDC711" w14:textId="56201B45" w:rsidR="00D86115" w:rsidRPr="00EF7E3D" w:rsidRDefault="00D86115" w:rsidP="00D86115">
      <w:pPr>
        <w:spacing w:after="0" w:line="240" w:lineRule="auto"/>
        <w:rPr>
          <w:rFonts w:ascii="Calibri" w:eastAsia="Calibri" w:hAnsi="Calibri" w:cs="Calibri"/>
          <w:color w:val="000000" w:themeColor="text1"/>
          <w:lang w:val="en-GB"/>
        </w:rPr>
      </w:pPr>
      <w:r w:rsidRPr="00EF7E3D">
        <w:rPr>
          <w:rFonts w:ascii="Calibri" w:eastAsia="Calibri" w:hAnsi="Calibri" w:cs="Calibri"/>
          <w:color w:val="000000" w:themeColor="text1"/>
          <w:lang w:val="en-GB"/>
        </w:rPr>
        <w:t>CYPMH other spend increased by £5</w:t>
      </w:r>
      <w:r w:rsidR="00C447E8">
        <w:rPr>
          <w:rFonts w:ascii="Calibri" w:eastAsia="Calibri" w:hAnsi="Calibri" w:cs="Calibri"/>
          <w:color w:val="000000" w:themeColor="text1"/>
          <w:lang w:val="en-GB"/>
        </w:rPr>
        <w:t>8.4</w:t>
      </w:r>
      <w:r w:rsidRPr="00EF7E3D">
        <w:rPr>
          <w:rFonts w:ascii="Calibri" w:eastAsia="Calibri" w:hAnsi="Calibri" w:cs="Calibri"/>
          <w:color w:val="000000" w:themeColor="text1"/>
          <w:lang w:val="en-GB"/>
        </w:rPr>
        <w:t>m in 2021</w:t>
      </w:r>
      <w:r w:rsidR="008727FD" w:rsidRPr="00EF7E3D">
        <w:rPr>
          <w:rFonts w:ascii="Calibri" w:eastAsia="Calibri" w:hAnsi="Calibri" w:cs="Calibri"/>
          <w:color w:val="000000" w:themeColor="text1"/>
          <w:lang w:val="en-GB"/>
        </w:rPr>
        <w:t>/</w:t>
      </w:r>
      <w:r w:rsidRPr="00EF7E3D">
        <w:rPr>
          <w:rFonts w:ascii="Calibri" w:eastAsia="Calibri" w:hAnsi="Calibri" w:cs="Calibri"/>
          <w:color w:val="000000" w:themeColor="text1"/>
          <w:lang w:val="en-GB"/>
        </w:rPr>
        <w:t>22 (£9</w:t>
      </w:r>
      <w:r w:rsidR="00A54AFE">
        <w:rPr>
          <w:rFonts w:ascii="Calibri" w:eastAsia="Calibri" w:hAnsi="Calibri" w:cs="Calibri"/>
          <w:color w:val="000000" w:themeColor="text1"/>
          <w:lang w:val="en-GB"/>
        </w:rPr>
        <w:t>2</w:t>
      </w:r>
      <w:r w:rsidR="00C447E8">
        <w:rPr>
          <w:rFonts w:ascii="Calibri" w:eastAsia="Calibri" w:hAnsi="Calibri" w:cs="Calibri"/>
          <w:color w:val="000000" w:themeColor="text1"/>
          <w:lang w:val="en-GB"/>
        </w:rPr>
        <w:t>7.1</w:t>
      </w:r>
      <w:r w:rsidRPr="00EF7E3D">
        <w:rPr>
          <w:rFonts w:ascii="Calibri" w:eastAsia="Calibri" w:hAnsi="Calibri" w:cs="Calibri"/>
          <w:color w:val="000000" w:themeColor="text1"/>
          <w:lang w:val="en-GB"/>
        </w:rPr>
        <w:t>m vs £86</w:t>
      </w:r>
      <w:r w:rsidR="00C447E8">
        <w:rPr>
          <w:rFonts w:ascii="Calibri" w:eastAsia="Calibri" w:hAnsi="Calibri" w:cs="Calibri"/>
          <w:color w:val="000000" w:themeColor="text1"/>
          <w:lang w:val="en-GB"/>
        </w:rPr>
        <w:t>8.7</w:t>
      </w:r>
      <w:r w:rsidRPr="00EF7E3D">
        <w:rPr>
          <w:rFonts w:ascii="Calibri" w:eastAsia="Calibri" w:hAnsi="Calibri" w:cs="Calibri"/>
          <w:color w:val="000000" w:themeColor="text1"/>
          <w:lang w:val="en-GB"/>
        </w:rPr>
        <w:t>m in 2020</w:t>
      </w:r>
      <w:r w:rsidR="00A35FE2" w:rsidRPr="00EF7E3D">
        <w:rPr>
          <w:rFonts w:ascii="Calibri" w:eastAsia="Calibri" w:hAnsi="Calibri" w:cs="Calibri"/>
          <w:color w:val="000000" w:themeColor="text1"/>
          <w:lang w:val="en-GB"/>
        </w:rPr>
        <w:t>/</w:t>
      </w:r>
      <w:r w:rsidRPr="00EF7E3D">
        <w:rPr>
          <w:rFonts w:ascii="Calibri" w:eastAsia="Calibri" w:hAnsi="Calibri" w:cs="Calibri"/>
          <w:color w:val="000000" w:themeColor="text1"/>
          <w:lang w:val="en-GB"/>
        </w:rPr>
        <w:t>21 after re-categorisation)</w:t>
      </w:r>
      <w:r w:rsidR="008727FD" w:rsidRPr="00EF7E3D">
        <w:rPr>
          <w:rFonts w:ascii="Calibri" w:eastAsia="Calibri" w:hAnsi="Calibri" w:cs="Calibri"/>
          <w:color w:val="000000" w:themeColor="text1"/>
          <w:lang w:val="en-GB"/>
        </w:rPr>
        <w:t xml:space="preserve">. </w:t>
      </w:r>
    </w:p>
    <w:p w14:paraId="4CFABE80" w14:textId="77777777" w:rsidR="00D86115" w:rsidRPr="00EF7E3D" w:rsidRDefault="00D86115" w:rsidP="00D86115">
      <w:pPr>
        <w:spacing w:after="0" w:line="240" w:lineRule="auto"/>
        <w:rPr>
          <w:rFonts w:ascii="Calibri" w:eastAsia="Calibri" w:hAnsi="Calibri" w:cs="Calibri"/>
          <w:color w:val="000000" w:themeColor="text1"/>
          <w:lang w:val="en-GB"/>
        </w:rPr>
      </w:pPr>
    </w:p>
    <w:p w14:paraId="0AD7F156" w14:textId="2093944D" w:rsidR="00D86115" w:rsidRPr="00EF7E3D" w:rsidRDefault="001753F7" w:rsidP="00D86115">
      <w:pPr>
        <w:spacing w:after="0" w:line="240" w:lineRule="auto"/>
        <w:rPr>
          <w:rFonts w:ascii="Calibri" w:eastAsia="Calibri" w:hAnsi="Calibri" w:cs="Calibri"/>
          <w:color w:val="000000" w:themeColor="text1"/>
          <w:lang w:val="en-GB"/>
        </w:rPr>
      </w:pPr>
      <w:r>
        <w:rPr>
          <w:rFonts w:ascii="Calibri" w:eastAsia="Calibri" w:hAnsi="Calibri" w:cs="Calibri"/>
          <w:color w:val="000000" w:themeColor="text1"/>
          <w:lang w:val="en-GB"/>
        </w:rPr>
        <w:t>LTP</w:t>
      </w:r>
      <w:r w:rsidR="00D86115" w:rsidRPr="00EF7E3D">
        <w:rPr>
          <w:rFonts w:ascii="Calibri" w:eastAsia="Calibri" w:hAnsi="Calibri" w:cs="Calibri"/>
          <w:color w:val="000000" w:themeColor="text1"/>
          <w:lang w:val="en-GB"/>
        </w:rPr>
        <w:t xml:space="preserve"> funding growth from 2018</w:t>
      </w:r>
      <w:r w:rsidR="008727FD" w:rsidRPr="00EF7E3D">
        <w:rPr>
          <w:rFonts w:ascii="Calibri" w:eastAsia="Calibri" w:hAnsi="Calibri" w:cs="Calibri"/>
          <w:color w:val="000000" w:themeColor="text1"/>
          <w:lang w:val="en-GB"/>
        </w:rPr>
        <w:t>/</w:t>
      </w:r>
      <w:r w:rsidR="00D86115" w:rsidRPr="00EF7E3D">
        <w:rPr>
          <w:rFonts w:ascii="Calibri" w:eastAsia="Calibri" w:hAnsi="Calibri" w:cs="Calibri"/>
          <w:color w:val="000000" w:themeColor="text1"/>
          <w:lang w:val="en-GB"/>
        </w:rPr>
        <w:t>19 was profiled with a cumulative increase of £91.2m by the end of 2021</w:t>
      </w:r>
      <w:r w:rsidR="008727FD" w:rsidRPr="00EF7E3D">
        <w:rPr>
          <w:rFonts w:ascii="Calibri" w:eastAsia="Calibri" w:hAnsi="Calibri" w:cs="Calibri"/>
          <w:color w:val="000000" w:themeColor="text1"/>
          <w:lang w:val="en-GB"/>
        </w:rPr>
        <w:t>/</w:t>
      </w:r>
      <w:r w:rsidR="00D86115" w:rsidRPr="00EF7E3D">
        <w:rPr>
          <w:rFonts w:ascii="Calibri" w:eastAsia="Calibri" w:hAnsi="Calibri" w:cs="Calibri"/>
          <w:color w:val="000000" w:themeColor="text1"/>
          <w:lang w:val="en-GB"/>
        </w:rPr>
        <w:t>22</w:t>
      </w:r>
      <w:r w:rsidR="008727FD" w:rsidRPr="00EF7E3D">
        <w:rPr>
          <w:rFonts w:ascii="Calibri" w:eastAsia="Calibri" w:hAnsi="Calibri" w:cs="Calibri"/>
          <w:color w:val="000000" w:themeColor="text1"/>
          <w:lang w:val="en-GB"/>
        </w:rPr>
        <w:t>,</w:t>
      </w:r>
      <w:r w:rsidR="00D86115" w:rsidRPr="00EF7E3D">
        <w:rPr>
          <w:rFonts w:ascii="Calibri" w:eastAsia="Calibri" w:hAnsi="Calibri" w:cs="Calibri"/>
          <w:color w:val="000000" w:themeColor="text1"/>
          <w:lang w:val="en-GB"/>
        </w:rPr>
        <w:t xml:space="preserve"> with £30.2m of this expected in 2021/22.</w:t>
      </w:r>
      <w:r w:rsidR="008727FD" w:rsidRPr="00EF7E3D">
        <w:rPr>
          <w:rFonts w:ascii="Calibri" w:eastAsia="Calibri" w:hAnsi="Calibri" w:cs="Calibri"/>
          <w:color w:val="000000" w:themeColor="text1"/>
          <w:lang w:val="en-GB"/>
        </w:rPr>
        <w:t xml:space="preserve"> </w:t>
      </w:r>
      <w:r w:rsidR="00D86115" w:rsidRPr="00EF7E3D">
        <w:rPr>
          <w:rFonts w:ascii="Calibri" w:eastAsia="Calibri" w:hAnsi="Calibri" w:cs="Calibri"/>
          <w:color w:val="000000" w:themeColor="text1"/>
          <w:lang w:val="en-GB"/>
        </w:rPr>
        <w:t>CCG expenditure on CYPMH grew by £</w:t>
      </w:r>
      <w:r w:rsidR="00C447E8">
        <w:rPr>
          <w:rFonts w:ascii="Calibri" w:eastAsia="Calibri" w:hAnsi="Calibri" w:cs="Calibri"/>
          <w:color w:val="000000" w:themeColor="text1"/>
          <w:lang w:val="en-GB"/>
        </w:rPr>
        <w:t>201.0</w:t>
      </w:r>
      <w:r w:rsidR="00D86115" w:rsidRPr="00EF7E3D">
        <w:rPr>
          <w:rFonts w:ascii="Calibri" w:eastAsia="Calibri" w:hAnsi="Calibri" w:cs="Calibri"/>
          <w:color w:val="000000" w:themeColor="text1"/>
          <w:lang w:val="en-GB"/>
        </w:rPr>
        <w:t>m between the 2018/19 baseline and the end of 2021</w:t>
      </w:r>
      <w:r w:rsidR="008727FD" w:rsidRPr="00EF7E3D">
        <w:rPr>
          <w:rFonts w:ascii="Calibri" w:eastAsia="Calibri" w:hAnsi="Calibri" w:cs="Calibri"/>
          <w:color w:val="000000" w:themeColor="text1"/>
          <w:lang w:val="en-GB"/>
        </w:rPr>
        <w:t>/</w:t>
      </w:r>
      <w:r w:rsidR="00D86115" w:rsidRPr="00EF7E3D">
        <w:rPr>
          <w:rFonts w:ascii="Calibri" w:eastAsia="Calibri" w:hAnsi="Calibri" w:cs="Calibri"/>
          <w:color w:val="000000" w:themeColor="text1"/>
          <w:lang w:val="en-GB"/>
        </w:rPr>
        <w:t xml:space="preserve">22, including the in-year growth above. </w:t>
      </w:r>
    </w:p>
    <w:p w14:paraId="1952352E" w14:textId="77777777" w:rsidR="00D86115" w:rsidRPr="00EF7E3D" w:rsidRDefault="00D86115" w:rsidP="00D86115">
      <w:pPr>
        <w:spacing w:after="0" w:line="240" w:lineRule="auto"/>
        <w:rPr>
          <w:rFonts w:ascii="Calibri" w:eastAsia="Calibri" w:hAnsi="Calibri" w:cs="Calibri"/>
          <w:color w:val="000000" w:themeColor="text1"/>
          <w:lang w:val="en-GB"/>
        </w:rPr>
      </w:pPr>
    </w:p>
    <w:p w14:paraId="1CE90A3D" w14:textId="08A2B1D4" w:rsidR="00A54AFE" w:rsidRPr="0081262C" w:rsidRDefault="00D86115" w:rsidP="00D86115">
      <w:pPr>
        <w:spacing w:after="0" w:line="240" w:lineRule="auto"/>
        <w:rPr>
          <w:rFonts w:ascii="Calibri" w:eastAsia="Calibri" w:hAnsi="Calibri" w:cs="Calibri"/>
          <w:color w:val="000000" w:themeColor="text1"/>
          <w:lang w:val="en-GB"/>
        </w:rPr>
      </w:pPr>
      <w:r w:rsidRPr="0081262C">
        <w:rPr>
          <w:rFonts w:ascii="Calibri" w:eastAsia="Calibri" w:hAnsi="Calibri" w:cs="Calibri"/>
          <w:color w:val="000000" w:themeColor="text1"/>
          <w:lang w:val="en-GB"/>
        </w:rPr>
        <w:t>1</w:t>
      </w:r>
      <w:r w:rsidR="008B16C1" w:rsidRPr="0081262C">
        <w:rPr>
          <w:rFonts w:ascii="Calibri" w:eastAsia="Calibri" w:hAnsi="Calibri" w:cs="Calibri"/>
          <w:color w:val="000000" w:themeColor="text1"/>
          <w:lang w:val="en-GB"/>
        </w:rPr>
        <w:t>2</w:t>
      </w:r>
      <w:r w:rsidRPr="0081262C">
        <w:rPr>
          <w:rFonts w:ascii="Calibri" w:eastAsia="Calibri" w:hAnsi="Calibri" w:cs="Calibri"/>
          <w:color w:val="000000" w:themeColor="text1"/>
          <w:lang w:val="en-GB"/>
        </w:rPr>
        <w:t xml:space="preserve"> out of 106 CCGs </w:t>
      </w:r>
      <w:r w:rsidR="00631657" w:rsidRPr="0081262C">
        <w:rPr>
          <w:rFonts w:ascii="Calibri" w:eastAsia="Calibri" w:hAnsi="Calibri" w:cs="Calibri"/>
          <w:color w:val="000000" w:themeColor="text1"/>
          <w:lang w:val="en-GB"/>
        </w:rPr>
        <w:t>reported</w:t>
      </w:r>
      <w:r w:rsidRPr="0081262C">
        <w:rPr>
          <w:rFonts w:ascii="Calibri" w:eastAsia="Calibri" w:hAnsi="Calibri" w:cs="Calibri"/>
          <w:color w:val="000000" w:themeColor="text1"/>
          <w:lang w:val="en-GB"/>
        </w:rPr>
        <w:t xml:space="preserve"> material reduction in growth in 2021/22</w:t>
      </w:r>
      <w:r w:rsidR="00631657" w:rsidRPr="0081262C">
        <w:rPr>
          <w:rFonts w:ascii="Calibri" w:eastAsia="Calibri" w:hAnsi="Calibri" w:cs="Calibri"/>
          <w:color w:val="000000" w:themeColor="text1"/>
          <w:lang w:val="en-GB"/>
        </w:rPr>
        <w:t xml:space="preserve">. 11 of these reductions become net growth when aggregated to ICB level. During 2021/22 systems began to </w:t>
      </w:r>
      <w:r w:rsidR="001753F7" w:rsidRPr="0081262C">
        <w:rPr>
          <w:rFonts w:ascii="Calibri" w:eastAsia="Calibri" w:hAnsi="Calibri" w:cs="Calibri"/>
          <w:color w:val="000000" w:themeColor="text1"/>
          <w:lang w:val="en-GB"/>
        </w:rPr>
        <w:t>operate on</w:t>
      </w:r>
      <w:r w:rsidR="00631657" w:rsidRPr="0081262C">
        <w:rPr>
          <w:rFonts w:ascii="Calibri" w:eastAsia="Calibri" w:hAnsi="Calibri" w:cs="Calibri"/>
          <w:color w:val="000000" w:themeColor="text1"/>
          <w:lang w:val="en-GB"/>
        </w:rPr>
        <w:t xml:space="preserve"> ICB footprints, and report a net position to NHS England, so there is less re-balancing of contracts between CCGs within a single ICB</w:t>
      </w:r>
      <w:r w:rsidR="0088529B" w:rsidRPr="0081262C">
        <w:rPr>
          <w:rFonts w:ascii="Calibri" w:eastAsia="Calibri" w:hAnsi="Calibri" w:cs="Calibri"/>
          <w:color w:val="000000" w:themeColor="text1"/>
          <w:lang w:val="en-GB"/>
        </w:rPr>
        <w:t xml:space="preserve"> as described in the introduction above.</w:t>
      </w:r>
    </w:p>
    <w:p w14:paraId="0B9B8933" w14:textId="68EB25B1" w:rsidR="00B7091B" w:rsidRPr="0081262C" w:rsidRDefault="00B7091B" w:rsidP="00D86115">
      <w:pPr>
        <w:spacing w:after="0" w:line="240" w:lineRule="auto"/>
        <w:rPr>
          <w:rFonts w:ascii="Calibri" w:eastAsia="Calibri" w:hAnsi="Calibri" w:cs="Calibri"/>
          <w:color w:val="000000" w:themeColor="text1"/>
          <w:lang w:val="en-GB"/>
        </w:rPr>
      </w:pPr>
    </w:p>
    <w:p w14:paraId="2011F209" w14:textId="78BD9F5A" w:rsidR="00B7091B" w:rsidRDefault="00C447E8" w:rsidP="00D86115">
      <w:pPr>
        <w:spacing w:after="0" w:line="240" w:lineRule="auto"/>
        <w:rPr>
          <w:rFonts w:ascii="Calibri" w:eastAsia="Calibri" w:hAnsi="Calibri" w:cs="Calibri"/>
          <w:color w:val="000000" w:themeColor="text1"/>
          <w:lang w:val="en-GB"/>
        </w:rPr>
      </w:pPr>
      <w:r w:rsidRPr="0081262C">
        <w:rPr>
          <w:rFonts w:ascii="Calibri" w:eastAsia="Calibri" w:hAnsi="Calibri" w:cs="Calibri"/>
          <w:color w:val="000000" w:themeColor="text1"/>
          <w:lang w:val="en-GB"/>
        </w:rPr>
        <w:t xml:space="preserve">At ICB level, </w:t>
      </w:r>
      <w:r w:rsidR="001753F7" w:rsidRPr="0081262C">
        <w:rPr>
          <w:rFonts w:ascii="Calibri" w:eastAsia="Calibri" w:hAnsi="Calibri" w:cs="Calibri"/>
          <w:color w:val="000000" w:themeColor="text1"/>
          <w:lang w:val="en-GB"/>
        </w:rPr>
        <w:t>o</w:t>
      </w:r>
      <w:r w:rsidRPr="0081262C">
        <w:rPr>
          <w:rFonts w:ascii="Calibri" w:eastAsia="Calibri" w:hAnsi="Calibri" w:cs="Calibri"/>
          <w:color w:val="000000" w:themeColor="text1"/>
          <w:lang w:val="en-GB"/>
        </w:rPr>
        <w:t>ne system (</w:t>
      </w:r>
      <w:r w:rsidR="00B7091B" w:rsidRPr="0081262C">
        <w:rPr>
          <w:rFonts w:ascii="Calibri" w:eastAsia="Calibri" w:hAnsi="Calibri" w:cs="Calibri"/>
          <w:color w:val="000000" w:themeColor="text1"/>
          <w:lang w:val="en-GB"/>
        </w:rPr>
        <w:t>Cornwall and Isles of Scilly CCG/ICB</w:t>
      </w:r>
      <w:r w:rsidRPr="0081262C">
        <w:rPr>
          <w:rFonts w:ascii="Calibri" w:eastAsia="Calibri" w:hAnsi="Calibri" w:cs="Calibri"/>
          <w:color w:val="000000" w:themeColor="text1"/>
          <w:lang w:val="en-GB"/>
        </w:rPr>
        <w:t>)</w:t>
      </w:r>
      <w:r w:rsidR="00B7091B" w:rsidRPr="0081262C">
        <w:rPr>
          <w:rFonts w:ascii="Calibri" w:eastAsia="Calibri" w:hAnsi="Calibri" w:cs="Calibri"/>
          <w:color w:val="000000" w:themeColor="text1"/>
          <w:lang w:val="en-GB"/>
        </w:rPr>
        <w:t xml:space="preserve"> reported a reduction of £1.2m (11%) in 2021/22. </w:t>
      </w:r>
      <w:r w:rsidRPr="0081262C">
        <w:rPr>
          <w:rFonts w:ascii="Calibri" w:eastAsia="Calibri" w:hAnsi="Calibri" w:cs="Calibri"/>
          <w:color w:val="000000" w:themeColor="text1"/>
          <w:lang w:val="en-GB"/>
        </w:rPr>
        <w:t>The system reports that this reduction is mainly due to discharges from long-term high-cost placements. The system had invested c. £2.7m above L</w:t>
      </w:r>
      <w:r w:rsidR="00B7091B" w:rsidRPr="0081262C">
        <w:rPr>
          <w:rFonts w:ascii="Calibri" w:eastAsia="Calibri" w:hAnsi="Calibri" w:cs="Calibri"/>
          <w:color w:val="000000" w:themeColor="text1"/>
          <w:lang w:val="en-GB"/>
        </w:rPr>
        <w:t>TP planned growth</w:t>
      </w:r>
      <w:r w:rsidRPr="0081262C">
        <w:rPr>
          <w:rFonts w:ascii="Calibri" w:eastAsia="Calibri" w:hAnsi="Calibri" w:cs="Calibri"/>
          <w:color w:val="000000" w:themeColor="text1"/>
          <w:lang w:val="en-GB"/>
        </w:rPr>
        <w:t xml:space="preserve"> even allowing for this reduction at the end of 2021/22.</w:t>
      </w:r>
      <w:r w:rsidRPr="0081262C" w:rsidDel="00C447E8">
        <w:rPr>
          <w:rFonts w:ascii="Calibri" w:eastAsia="Calibri" w:hAnsi="Calibri" w:cs="Calibri"/>
          <w:color w:val="000000" w:themeColor="text1"/>
          <w:lang w:val="en-GB"/>
        </w:rPr>
        <w:t xml:space="preserve"> </w:t>
      </w:r>
      <w:r w:rsidRPr="0081262C">
        <w:rPr>
          <w:rFonts w:ascii="Calibri" w:eastAsia="Calibri" w:hAnsi="Calibri" w:cs="Calibri"/>
          <w:color w:val="000000" w:themeColor="text1"/>
          <w:lang w:val="en-GB"/>
        </w:rPr>
        <w:t>It is expected that the Independent Review of 2021/22 spend will validate these figures.</w:t>
      </w:r>
    </w:p>
    <w:p w14:paraId="0E14355D" w14:textId="77777777" w:rsidR="00B7091B" w:rsidRDefault="00B7091B" w:rsidP="00D86115">
      <w:pPr>
        <w:spacing w:after="0" w:line="240" w:lineRule="auto"/>
        <w:rPr>
          <w:rFonts w:ascii="Calibri" w:eastAsia="Calibri" w:hAnsi="Calibri" w:cs="Calibri"/>
          <w:color w:val="000000" w:themeColor="text1"/>
          <w:lang w:val="en-GB"/>
        </w:rPr>
      </w:pPr>
    </w:p>
    <w:p w14:paraId="3CEDD111" w14:textId="77777777" w:rsidR="00FA6CA5" w:rsidRPr="00EF7E3D" w:rsidRDefault="00FA6CA5" w:rsidP="00FA6CA5">
      <w:pPr>
        <w:pStyle w:val="NoSpacing"/>
        <w:rPr>
          <w:lang w:val="en-GB"/>
        </w:rPr>
      </w:pPr>
    </w:p>
    <w:p w14:paraId="76CBFD32" w14:textId="71C7650A" w:rsidR="00644791" w:rsidRPr="00EF7E3D" w:rsidRDefault="39C5BE99" w:rsidP="00FA6CA5">
      <w:pPr>
        <w:pStyle w:val="NoSpacing"/>
        <w:rPr>
          <w:u w:val="single"/>
          <w:lang w:val="en-GB"/>
        </w:rPr>
      </w:pPr>
      <w:r w:rsidRPr="00EF7E3D">
        <w:rPr>
          <w:u w:val="single"/>
          <w:lang w:val="en-GB"/>
        </w:rPr>
        <w:t xml:space="preserve">CYP Mental Health CCG spend on Eating Disorders </w:t>
      </w:r>
    </w:p>
    <w:p w14:paraId="0E34DBA4" w14:textId="77777777" w:rsidR="00FA6CA5" w:rsidRPr="00EF7E3D" w:rsidRDefault="00FA6CA5" w:rsidP="006F709A">
      <w:pPr>
        <w:pStyle w:val="NoSpacing"/>
        <w:rPr>
          <w:u w:val="single"/>
        </w:rPr>
      </w:pPr>
    </w:p>
    <w:p w14:paraId="1F4FF383" w14:textId="77777777" w:rsidR="00F03882" w:rsidRDefault="005011C8" w:rsidP="00756653">
      <w:pPr>
        <w:spacing w:after="200" w:line="276" w:lineRule="auto"/>
        <w:rPr>
          <w:rFonts w:eastAsia="Arial" w:cstheme="minorHAnsi"/>
        </w:rPr>
      </w:pPr>
      <w:r w:rsidRPr="00EF7E3D">
        <w:rPr>
          <w:rFonts w:eastAsia="Arial" w:cstheme="minorHAnsi"/>
        </w:rPr>
        <w:t xml:space="preserve">There </w:t>
      </w:r>
      <w:r w:rsidR="009D46FA" w:rsidRPr="00EF7E3D">
        <w:rPr>
          <w:rFonts w:eastAsia="Arial" w:cstheme="minorHAnsi"/>
        </w:rPr>
        <w:t xml:space="preserve">was </w:t>
      </w:r>
      <w:r w:rsidR="0055115D" w:rsidRPr="00EF7E3D">
        <w:rPr>
          <w:rFonts w:eastAsia="Arial" w:cstheme="minorHAnsi"/>
        </w:rPr>
        <w:t xml:space="preserve">£30m </w:t>
      </w:r>
      <w:r w:rsidR="00477C8E" w:rsidRPr="00EF7E3D">
        <w:rPr>
          <w:rFonts w:eastAsia="Arial" w:cstheme="minorHAnsi"/>
        </w:rPr>
        <w:t xml:space="preserve">funding committed </w:t>
      </w:r>
      <w:r w:rsidR="0055115D" w:rsidRPr="00EF7E3D">
        <w:rPr>
          <w:rFonts w:eastAsia="Arial" w:cstheme="minorHAnsi"/>
        </w:rPr>
        <w:t xml:space="preserve">per year </w:t>
      </w:r>
      <w:r w:rsidR="00477C8E" w:rsidRPr="00EF7E3D">
        <w:rPr>
          <w:rFonts w:eastAsia="Arial" w:cstheme="minorHAnsi"/>
        </w:rPr>
        <w:t>from the</w:t>
      </w:r>
      <w:r w:rsidR="0055115D" w:rsidRPr="00EF7E3D">
        <w:rPr>
          <w:rFonts w:eastAsia="Arial" w:cstheme="minorHAnsi"/>
        </w:rPr>
        <w:t xml:space="preserve"> 2014 Autumn Budget Statement to improve access to community eating disorder services for CYP</w:t>
      </w:r>
      <w:r w:rsidRPr="00EF7E3D">
        <w:rPr>
          <w:rFonts w:eastAsia="Arial" w:cstheme="minorHAnsi"/>
        </w:rPr>
        <w:t xml:space="preserve">. </w:t>
      </w:r>
      <w:r w:rsidR="00756653">
        <w:rPr>
          <w:rFonts w:eastAsia="Arial" w:cstheme="minorHAnsi"/>
        </w:rPr>
        <w:t xml:space="preserve">However, </w:t>
      </w:r>
      <w:r w:rsidR="00756653" w:rsidRPr="0081262C">
        <w:rPr>
          <w:rFonts w:eastAsia="Arial" w:cstheme="minorHAnsi"/>
        </w:rPr>
        <w:t xml:space="preserve">from 18/19 actual spend has been much higher than the LTP </w:t>
      </w:r>
      <w:r w:rsidR="00756653">
        <w:rPr>
          <w:rFonts w:eastAsia="Arial" w:cstheme="minorHAnsi"/>
        </w:rPr>
        <w:t>planned growth</w:t>
      </w:r>
      <w:r w:rsidR="00756653" w:rsidRPr="0081262C">
        <w:rPr>
          <w:rFonts w:eastAsia="Arial" w:cstheme="minorHAnsi"/>
        </w:rPr>
        <w:t>, because CCGs had been investing more than the previous F</w:t>
      </w:r>
      <w:r w:rsidR="00756653">
        <w:rPr>
          <w:rFonts w:eastAsia="Arial" w:cstheme="minorHAnsi"/>
        </w:rPr>
        <w:t xml:space="preserve">ive </w:t>
      </w:r>
      <w:r w:rsidR="00756653" w:rsidRPr="0081262C">
        <w:rPr>
          <w:rFonts w:eastAsia="Arial" w:cstheme="minorHAnsi"/>
        </w:rPr>
        <w:t>Y</w:t>
      </w:r>
      <w:r w:rsidR="00756653">
        <w:rPr>
          <w:rFonts w:eastAsia="Arial" w:cstheme="minorHAnsi"/>
        </w:rPr>
        <w:t xml:space="preserve">ear </w:t>
      </w:r>
      <w:r w:rsidR="00756653" w:rsidRPr="0081262C">
        <w:rPr>
          <w:rFonts w:eastAsia="Arial" w:cstheme="minorHAnsi"/>
        </w:rPr>
        <w:t>F</w:t>
      </w:r>
      <w:r w:rsidR="00756653">
        <w:rPr>
          <w:rFonts w:eastAsia="Arial" w:cstheme="minorHAnsi"/>
        </w:rPr>
        <w:t xml:space="preserve">orward </w:t>
      </w:r>
      <w:r w:rsidR="00756653" w:rsidRPr="0081262C">
        <w:rPr>
          <w:rFonts w:eastAsia="Arial" w:cstheme="minorHAnsi"/>
        </w:rPr>
        <w:t>V</w:t>
      </w:r>
      <w:r w:rsidR="00756653">
        <w:rPr>
          <w:rFonts w:eastAsia="Arial" w:cstheme="minorHAnsi"/>
        </w:rPr>
        <w:t>iew</w:t>
      </w:r>
      <w:r w:rsidR="00756653" w:rsidRPr="0081262C">
        <w:rPr>
          <w:rFonts w:eastAsia="Arial" w:cstheme="minorHAnsi"/>
        </w:rPr>
        <w:t xml:space="preserve"> requirement. Furthermore, despite still being above target, CCGs continued investing further in each subsequent year</w:t>
      </w:r>
      <w:r w:rsidR="00756653">
        <w:rPr>
          <w:rFonts w:eastAsia="Arial" w:cstheme="minorHAnsi"/>
        </w:rPr>
        <w:t>.</w:t>
      </w:r>
    </w:p>
    <w:p w14:paraId="2E6D6942" w14:textId="723FC723" w:rsidR="00F03882" w:rsidRPr="0081262C" w:rsidRDefault="00F03882" w:rsidP="00756653">
      <w:pPr>
        <w:spacing w:after="200" w:line="276" w:lineRule="auto"/>
        <w:rPr>
          <w:rFonts w:eastAsia="Arial" w:cstheme="minorHAnsi"/>
        </w:rPr>
      </w:pPr>
      <w:r w:rsidRPr="0081262C">
        <w:rPr>
          <w:rFonts w:eastAsia="Arial" w:cstheme="minorHAnsi"/>
        </w:rPr>
        <w:t>CYPMH ED spend has increased by £10.0m (£71.9m in 2021/22 compared to £61.9m in 2020/21)</w:t>
      </w:r>
    </w:p>
    <w:p w14:paraId="030EA264" w14:textId="0EDEF786" w:rsidR="00680402" w:rsidRPr="0081262C" w:rsidRDefault="0088529B" w:rsidP="00680402">
      <w:pPr>
        <w:spacing w:after="0" w:line="240" w:lineRule="auto"/>
        <w:rPr>
          <w:rFonts w:ascii="Calibri" w:eastAsia="Calibri" w:hAnsi="Calibri" w:cs="Calibri"/>
          <w:color w:val="000000" w:themeColor="text1"/>
          <w:lang w:val="en-GB"/>
        </w:rPr>
      </w:pPr>
      <w:r w:rsidRPr="0081262C">
        <w:rPr>
          <w:rFonts w:ascii="Calibri" w:eastAsia="Calibri" w:hAnsi="Calibri" w:cs="Calibri"/>
          <w:color w:val="000000" w:themeColor="text1"/>
          <w:lang w:val="en-GB"/>
        </w:rPr>
        <w:t xml:space="preserve">Mid Essex </w:t>
      </w:r>
      <w:r w:rsidR="00680402" w:rsidRPr="0081262C">
        <w:rPr>
          <w:rFonts w:ascii="Calibri" w:eastAsia="Calibri" w:hAnsi="Calibri" w:cs="Calibri"/>
          <w:color w:val="000000" w:themeColor="text1"/>
          <w:lang w:val="en-GB"/>
        </w:rPr>
        <w:t>CCG shows a re-categorised CYP</w:t>
      </w:r>
      <w:r w:rsidR="00616E11" w:rsidRPr="0081262C">
        <w:rPr>
          <w:rFonts w:ascii="Calibri" w:eastAsia="Calibri" w:hAnsi="Calibri" w:cs="Calibri"/>
          <w:color w:val="000000" w:themeColor="text1"/>
          <w:lang w:val="en-GB"/>
        </w:rPr>
        <w:t xml:space="preserve">MH </w:t>
      </w:r>
      <w:r w:rsidR="00680402" w:rsidRPr="0081262C">
        <w:rPr>
          <w:rFonts w:ascii="Calibri" w:eastAsia="Calibri" w:hAnsi="Calibri" w:cs="Calibri"/>
          <w:color w:val="000000" w:themeColor="text1"/>
          <w:lang w:val="en-GB"/>
        </w:rPr>
        <w:t>ED value of zero for 2020</w:t>
      </w:r>
      <w:r w:rsidR="00315B26" w:rsidRPr="0081262C">
        <w:rPr>
          <w:rFonts w:ascii="Calibri" w:eastAsia="Calibri" w:hAnsi="Calibri" w:cs="Calibri"/>
          <w:color w:val="000000" w:themeColor="text1"/>
          <w:lang w:val="en-GB"/>
        </w:rPr>
        <w:t>/</w:t>
      </w:r>
      <w:r w:rsidR="00680402" w:rsidRPr="0081262C">
        <w:rPr>
          <w:rFonts w:ascii="Calibri" w:eastAsia="Calibri" w:hAnsi="Calibri" w:cs="Calibri"/>
          <w:color w:val="000000" w:themeColor="text1"/>
          <w:lang w:val="en-GB"/>
        </w:rPr>
        <w:t>21</w:t>
      </w:r>
      <w:r w:rsidRPr="0081262C">
        <w:rPr>
          <w:rFonts w:ascii="Calibri" w:eastAsia="Calibri" w:hAnsi="Calibri" w:cs="Calibri"/>
          <w:color w:val="000000" w:themeColor="text1"/>
          <w:lang w:val="en-GB"/>
        </w:rPr>
        <w:t xml:space="preserve">. </w:t>
      </w:r>
      <w:r w:rsidR="006A4B46" w:rsidRPr="0081262C">
        <w:rPr>
          <w:rFonts w:ascii="Calibri" w:eastAsia="Calibri" w:hAnsi="Calibri" w:cs="Calibri"/>
          <w:color w:val="000000" w:themeColor="text1"/>
          <w:lang w:val="en-GB"/>
        </w:rPr>
        <w:t>The ICB have confirmed that the value is included in the main CYPMH category with no split available for that financial year.</w:t>
      </w:r>
      <w:r w:rsidR="00520051" w:rsidRPr="0081262C">
        <w:rPr>
          <w:rFonts w:ascii="Calibri" w:eastAsia="Calibri" w:hAnsi="Calibri" w:cs="Calibri"/>
          <w:color w:val="000000" w:themeColor="text1"/>
          <w:lang w:val="en-GB"/>
        </w:rPr>
        <w:t xml:space="preserve"> </w:t>
      </w:r>
      <w:r w:rsidR="00680402" w:rsidRPr="0081262C">
        <w:rPr>
          <w:rFonts w:ascii="Calibri" w:eastAsia="Calibri" w:hAnsi="Calibri" w:cs="Calibri"/>
          <w:color w:val="000000" w:themeColor="text1"/>
          <w:lang w:val="en-GB"/>
        </w:rPr>
        <w:t xml:space="preserve">9 CCGs out of 106 </w:t>
      </w:r>
      <w:r w:rsidR="00AD511D" w:rsidRPr="0081262C">
        <w:rPr>
          <w:rFonts w:ascii="Calibri" w:eastAsia="Calibri" w:hAnsi="Calibri" w:cs="Calibri"/>
          <w:color w:val="000000" w:themeColor="text1"/>
          <w:lang w:val="en-GB"/>
        </w:rPr>
        <w:t xml:space="preserve">reported material reduction in investment </w:t>
      </w:r>
      <w:r w:rsidR="00680402" w:rsidRPr="0081262C">
        <w:rPr>
          <w:rFonts w:ascii="Calibri" w:eastAsia="Calibri" w:hAnsi="Calibri" w:cs="Calibri"/>
          <w:color w:val="000000" w:themeColor="text1"/>
          <w:lang w:val="en-GB"/>
        </w:rPr>
        <w:t>between 2020</w:t>
      </w:r>
      <w:r w:rsidR="00315B26" w:rsidRPr="0081262C">
        <w:rPr>
          <w:rFonts w:ascii="Calibri" w:eastAsia="Calibri" w:hAnsi="Calibri" w:cs="Calibri"/>
          <w:color w:val="000000" w:themeColor="text1"/>
          <w:lang w:val="en-GB"/>
        </w:rPr>
        <w:t>/</w:t>
      </w:r>
      <w:r w:rsidR="00680402" w:rsidRPr="0081262C">
        <w:rPr>
          <w:rFonts w:ascii="Calibri" w:eastAsia="Calibri" w:hAnsi="Calibri" w:cs="Calibri"/>
          <w:color w:val="000000" w:themeColor="text1"/>
          <w:lang w:val="en-GB"/>
        </w:rPr>
        <w:t>21 and 2021</w:t>
      </w:r>
      <w:r w:rsidR="00315B26" w:rsidRPr="0081262C">
        <w:rPr>
          <w:rFonts w:ascii="Calibri" w:eastAsia="Calibri" w:hAnsi="Calibri" w:cs="Calibri"/>
          <w:color w:val="000000" w:themeColor="text1"/>
          <w:lang w:val="en-GB"/>
        </w:rPr>
        <w:t>/</w:t>
      </w:r>
      <w:r w:rsidR="00680402" w:rsidRPr="0081262C">
        <w:rPr>
          <w:rFonts w:ascii="Calibri" w:eastAsia="Calibri" w:hAnsi="Calibri" w:cs="Calibri"/>
          <w:color w:val="000000" w:themeColor="text1"/>
          <w:lang w:val="en-GB"/>
        </w:rPr>
        <w:t>22</w:t>
      </w:r>
      <w:r w:rsidR="000273B9" w:rsidRPr="0081262C">
        <w:rPr>
          <w:rFonts w:ascii="Calibri" w:eastAsia="Calibri" w:hAnsi="Calibri" w:cs="Calibri"/>
          <w:color w:val="000000" w:themeColor="text1"/>
          <w:lang w:val="en-GB"/>
        </w:rPr>
        <w:t>,</w:t>
      </w:r>
      <w:r w:rsidR="00680402" w:rsidRPr="0081262C">
        <w:rPr>
          <w:rFonts w:ascii="Calibri" w:eastAsia="Calibri" w:hAnsi="Calibri" w:cs="Calibri"/>
          <w:color w:val="000000" w:themeColor="text1"/>
          <w:lang w:val="en-GB"/>
        </w:rPr>
        <w:t xml:space="preserve"> </w:t>
      </w:r>
      <w:r w:rsidR="00AD511D" w:rsidRPr="0081262C">
        <w:rPr>
          <w:rFonts w:ascii="Calibri" w:eastAsia="Calibri" w:hAnsi="Calibri" w:cs="Calibri"/>
          <w:color w:val="000000" w:themeColor="text1"/>
          <w:lang w:val="en-GB"/>
        </w:rPr>
        <w:t xml:space="preserve">aggregated to ICB level, no systems have a reduction in CYPMH ED investment. </w:t>
      </w:r>
    </w:p>
    <w:p w14:paraId="434AD3C4" w14:textId="77777777" w:rsidR="00AD6A4C" w:rsidRPr="0081262C" w:rsidRDefault="00AD6A4C" w:rsidP="00AD6A4C">
      <w:pPr>
        <w:pStyle w:val="NoSpacing"/>
        <w:rPr>
          <w:lang w:val="en-GB"/>
        </w:rPr>
      </w:pPr>
    </w:p>
    <w:p w14:paraId="00CF253B" w14:textId="1ACA955E" w:rsidR="00644791" w:rsidRPr="00EF7E3D" w:rsidRDefault="39C5BE99" w:rsidP="007213AE">
      <w:pPr>
        <w:rPr>
          <w:lang w:val="en-GB"/>
        </w:rPr>
      </w:pPr>
      <w:r w:rsidRPr="0081262C">
        <w:rPr>
          <w:lang w:val="en-GB"/>
        </w:rPr>
        <w:t>As need continues to rise, the extra investment is to allow us to maintain</w:t>
      </w:r>
      <w:r w:rsidRPr="00EF7E3D">
        <w:rPr>
          <w:lang w:val="en-GB"/>
        </w:rPr>
        <w:t xml:space="preserve"> delivery of the 95% standard beyond 202</w:t>
      </w:r>
      <w:r w:rsidR="00AD6A4C" w:rsidRPr="00EF7E3D">
        <w:rPr>
          <w:lang w:val="en-GB"/>
        </w:rPr>
        <w:t>1</w:t>
      </w:r>
      <w:r w:rsidRPr="00EF7E3D">
        <w:rPr>
          <w:lang w:val="en-GB"/>
        </w:rPr>
        <w:t>/2</w:t>
      </w:r>
      <w:r w:rsidR="00AD6A4C" w:rsidRPr="00EF7E3D">
        <w:rPr>
          <w:lang w:val="en-GB"/>
        </w:rPr>
        <w:t>2</w:t>
      </w:r>
      <w:r w:rsidRPr="00EF7E3D">
        <w:rPr>
          <w:lang w:val="en-GB"/>
        </w:rPr>
        <w:t>. We continue with work with the NHS regions</w:t>
      </w:r>
      <w:r w:rsidR="004841B0">
        <w:rPr>
          <w:lang w:val="en-GB"/>
        </w:rPr>
        <w:t>, ICBs and systems</w:t>
      </w:r>
      <w:r w:rsidRPr="00EF7E3D">
        <w:rPr>
          <w:lang w:val="en-GB"/>
        </w:rPr>
        <w:t xml:space="preserve"> to help track investment and support services that face challenges with delivering the standard and expanding their CYP Eating Disorder team in line with national guidance.  </w:t>
      </w:r>
    </w:p>
    <w:p w14:paraId="638EB020" w14:textId="64D45ED4" w:rsidR="00644791" w:rsidRDefault="00644791" w:rsidP="33240F55">
      <w:pPr>
        <w:spacing w:after="200" w:line="276" w:lineRule="auto"/>
        <w:rPr>
          <w:rFonts w:ascii="Calibri" w:eastAsia="Calibri" w:hAnsi="Calibri" w:cs="Calibri"/>
          <w:color w:val="000000" w:themeColor="text1"/>
        </w:rPr>
      </w:pPr>
    </w:p>
    <w:p w14:paraId="2C078E63" w14:textId="4B8318A8" w:rsidR="00644791" w:rsidRDefault="00644791" w:rsidP="33240F55"/>
    <w:sectPr w:rsidR="006447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6BC69" w14:textId="77777777" w:rsidR="00F400F6" w:rsidRDefault="00F400F6" w:rsidP="005966EC">
      <w:pPr>
        <w:spacing w:after="0" w:line="240" w:lineRule="auto"/>
      </w:pPr>
      <w:r>
        <w:separator/>
      </w:r>
    </w:p>
  </w:endnote>
  <w:endnote w:type="continuationSeparator" w:id="0">
    <w:p w14:paraId="0C6DF0DB" w14:textId="77777777" w:rsidR="00F400F6" w:rsidRDefault="00F400F6" w:rsidP="005966EC">
      <w:pPr>
        <w:spacing w:after="0" w:line="240" w:lineRule="auto"/>
      </w:pPr>
      <w:r>
        <w:continuationSeparator/>
      </w:r>
    </w:p>
  </w:endnote>
  <w:endnote w:type="continuationNotice" w:id="1">
    <w:p w14:paraId="3A6959D6" w14:textId="77777777" w:rsidR="00F400F6" w:rsidRDefault="00F400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E6D57" w14:textId="77777777" w:rsidR="00F400F6" w:rsidRDefault="00F400F6" w:rsidP="005966EC">
      <w:pPr>
        <w:spacing w:after="0" w:line="240" w:lineRule="auto"/>
      </w:pPr>
      <w:r>
        <w:separator/>
      </w:r>
    </w:p>
  </w:footnote>
  <w:footnote w:type="continuationSeparator" w:id="0">
    <w:p w14:paraId="7B688541" w14:textId="77777777" w:rsidR="00F400F6" w:rsidRDefault="00F400F6" w:rsidP="005966EC">
      <w:pPr>
        <w:spacing w:after="0" w:line="240" w:lineRule="auto"/>
      </w:pPr>
      <w:r>
        <w:continuationSeparator/>
      </w:r>
    </w:p>
  </w:footnote>
  <w:footnote w:type="continuationNotice" w:id="1">
    <w:p w14:paraId="19CFFB81" w14:textId="77777777" w:rsidR="00F400F6" w:rsidRDefault="00F400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6BDDDF"/>
    <w:multiLevelType w:val="hybridMultilevel"/>
    <w:tmpl w:val="B1BCE6D4"/>
    <w:lvl w:ilvl="0" w:tplc="D1BCCF50">
      <w:start w:val="1"/>
      <w:numFmt w:val="bullet"/>
      <w:lvlText w:val=""/>
      <w:lvlJc w:val="left"/>
      <w:pPr>
        <w:ind w:left="720" w:hanging="360"/>
      </w:pPr>
      <w:rPr>
        <w:rFonts w:ascii="Symbol" w:hAnsi="Symbol" w:hint="default"/>
      </w:rPr>
    </w:lvl>
    <w:lvl w:ilvl="1" w:tplc="CE6CC520">
      <w:start w:val="1"/>
      <w:numFmt w:val="bullet"/>
      <w:lvlText w:val="o"/>
      <w:lvlJc w:val="left"/>
      <w:pPr>
        <w:ind w:left="1440" w:hanging="360"/>
      </w:pPr>
      <w:rPr>
        <w:rFonts w:ascii="Courier New" w:hAnsi="Courier New" w:hint="default"/>
      </w:rPr>
    </w:lvl>
    <w:lvl w:ilvl="2" w:tplc="DDF485F8">
      <w:start w:val="1"/>
      <w:numFmt w:val="bullet"/>
      <w:lvlText w:val=""/>
      <w:lvlJc w:val="left"/>
      <w:pPr>
        <w:ind w:left="2160" w:hanging="360"/>
      </w:pPr>
      <w:rPr>
        <w:rFonts w:ascii="Wingdings" w:hAnsi="Wingdings" w:hint="default"/>
      </w:rPr>
    </w:lvl>
    <w:lvl w:ilvl="3" w:tplc="FB8E08FE">
      <w:start w:val="1"/>
      <w:numFmt w:val="bullet"/>
      <w:lvlText w:val=""/>
      <w:lvlJc w:val="left"/>
      <w:pPr>
        <w:ind w:left="2880" w:hanging="360"/>
      </w:pPr>
      <w:rPr>
        <w:rFonts w:ascii="Symbol" w:hAnsi="Symbol" w:hint="default"/>
      </w:rPr>
    </w:lvl>
    <w:lvl w:ilvl="4" w:tplc="68E8EB88">
      <w:start w:val="1"/>
      <w:numFmt w:val="bullet"/>
      <w:lvlText w:val="o"/>
      <w:lvlJc w:val="left"/>
      <w:pPr>
        <w:ind w:left="3600" w:hanging="360"/>
      </w:pPr>
      <w:rPr>
        <w:rFonts w:ascii="Courier New" w:hAnsi="Courier New" w:hint="default"/>
      </w:rPr>
    </w:lvl>
    <w:lvl w:ilvl="5" w:tplc="6BE6C878">
      <w:start w:val="1"/>
      <w:numFmt w:val="bullet"/>
      <w:lvlText w:val=""/>
      <w:lvlJc w:val="left"/>
      <w:pPr>
        <w:ind w:left="4320" w:hanging="360"/>
      </w:pPr>
      <w:rPr>
        <w:rFonts w:ascii="Wingdings" w:hAnsi="Wingdings" w:hint="default"/>
      </w:rPr>
    </w:lvl>
    <w:lvl w:ilvl="6" w:tplc="36ACC4DC">
      <w:start w:val="1"/>
      <w:numFmt w:val="bullet"/>
      <w:lvlText w:val=""/>
      <w:lvlJc w:val="left"/>
      <w:pPr>
        <w:ind w:left="5040" w:hanging="360"/>
      </w:pPr>
      <w:rPr>
        <w:rFonts w:ascii="Symbol" w:hAnsi="Symbol" w:hint="default"/>
      </w:rPr>
    </w:lvl>
    <w:lvl w:ilvl="7" w:tplc="D28618D6">
      <w:start w:val="1"/>
      <w:numFmt w:val="bullet"/>
      <w:lvlText w:val="o"/>
      <w:lvlJc w:val="left"/>
      <w:pPr>
        <w:ind w:left="5760" w:hanging="360"/>
      </w:pPr>
      <w:rPr>
        <w:rFonts w:ascii="Courier New" w:hAnsi="Courier New" w:hint="default"/>
      </w:rPr>
    </w:lvl>
    <w:lvl w:ilvl="8" w:tplc="478A0F38">
      <w:start w:val="1"/>
      <w:numFmt w:val="bullet"/>
      <w:lvlText w:val=""/>
      <w:lvlJc w:val="left"/>
      <w:pPr>
        <w:ind w:left="6480" w:hanging="360"/>
      </w:pPr>
      <w:rPr>
        <w:rFonts w:ascii="Wingdings" w:hAnsi="Wingdings" w:hint="default"/>
      </w:rPr>
    </w:lvl>
  </w:abstractNum>
  <w:abstractNum w:abstractNumId="1" w15:restartNumberingAfterBreak="0">
    <w:nsid w:val="6D0E725A"/>
    <w:multiLevelType w:val="hybridMultilevel"/>
    <w:tmpl w:val="584EFA9E"/>
    <w:lvl w:ilvl="0" w:tplc="5ABEA884">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FE90EF"/>
    <w:multiLevelType w:val="hybridMultilevel"/>
    <w:tmpl w:val="29CCF1FC"/>
    <w:lvl w:ilvl="0" w:tplc="FDD69056">
      <w:start w:val="1"/>
      <w:numFmt w:val="decimal"/>
      <w:lvlText w:val="%1."/>
      <w:lvlJc w:val="left"/>
      <w:pPr>
        <w:ind w:left="720" w:hanging="360"/>
      </w:pPr>
    </w:lvl>
    <w:lvl w:ilvl="1" w:tplc="E0A47D32">
      <w:start w:val="1"/>
      <w:numFmt w:val="lowerLetter"/>
      <w:lvlText w:val="%2."/>
      <w:lvlJc w:val="left"/>
      <w:pPr>
        <w:ind w:left="1440" w:hanging="360"/>
      </w:pPr>
    </w:lvl>
    <w:lvl w:ilvl="2" w:tplc="7FE4B43E">
      <w:start w:val="1"/>
      <w:numFmt w:val="lowerRoman"/>
      <w:lvlText w:val="%3."/>
      <w:lvlJc w:val="right"/>
      <w:pPr>
        <w:ind w:left="2160" w:hanging="180"/>
      </w:pPr>
    </w:lvl>
    <w:lvl w:ilvl="3" w:tplc="5C629D8E">
      <w:start w:val="1"/>
      <w:numFmt w:val="decimal"/>
      <w:lvlText w:val="%4."/>
      <w:lvlJc w:val="left"/>
      <w:pPr>
        <w:ind w:left="2880" w:hanging="360"/>
      </w:pPr>
    </w:lvl>
    <w:lvl w:ilvl="4" w:tplc="C9C28A38">
      <w:start w:val="1"/>
      <w:numFmt w:val="lowerLetter"/>
      <w:lvlText w:val="%5."/>
      <w:lvlJc w:val="left"/>
      <w:pPr>
        <w:ind w:left="3600" w:hanging="360"/>
      </w:pPr>
    </w:lvl>
    <w:lvl w:ilvl="5" w:tplc="0F36F670">
      <w:start w:val="1"/>
      <w:numFmt w:val="lowerRoman"/>
      <w:lvlText w:val="%6."/>
      <w:lvlJc w:val="right"/>
      <w:pPr>
        <w:ind w:left="4320" w:hanging="180"/>
      </w:pPr>
    </w:lvl>
    <w:lvl w:ilvl="6" w:tplc="CCCAE614">
      <w:start w:val="1"/>
      <w:numFmt w:val="decimal"/>
      <w:lvlText w:val="%7."/>
      <w:lvlJc w:val="left"/>
      <w:pPr>
        <w:ind w:left="5040" w:hanging="360"/>
      </w:pPr>
    </w:lvl>
    <w:lvl w:ilvl="7" w:tplc="0E42764A">
      <w:start w:val="1"/>
      <w:numFmt w:val="lowerLetter"/>
      <w:lvlText w:val="%8."/>
      <w:lvlJc w:val="left"/>
      <w:pPr>
        <w:ind w:left="5760" w:hanging="360"/>
      </w:pPr>
    </w:lvl>
    <w:lvl w:ilvl="8" w:tplc="65E44CD4">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76205E"/>
    <w:rsid w:val="00021DCC"/>
    <w:rsid w:val="000273B9"/>
    <w:rsid w:val="00036E77"/>
    <w:rsid w:val="0006696E"/>
    <w:rsid w:val="000753E2"/>
    <w:rsid w:val="00082AD3"/>
    <w:rsid w:val="00085A05"/>
    <w:rsid w:val="00097F7E"/>
    <w:rsid w:val="000A2D63"/>
    <w:rsid w:val="000A659F"/>
    <w:rsid w:val="000B04F9"/>
    <w:rsid w:val="000D19FF"/>
    <w:rsid w:val="000D1C06"/>
    <w:rsid w:val="000D2DC2"/>
    <w:rsid w:val="000D49F5"/>
    <w:rsid w:val="000D5A30"/>
    <w:rsid w:val="000E3CD9"/>
    <w:rsid w:val="000E3FAF"/>
    <w:rsid w:val="000E6F65"/>
    <w:rsid w:val="000F0641"/>
    <w:rsid w:val="000F4C09"/>
    <w:rsid w:val="0010455C"/>
    <w:rsid w:val="00104BBA"/>
    <w:rsid w:val="00105162"/>
    <w:rsid w:val="00105F6B"/>
    <w:rsid w:val="001067C4"/>
    <w:rsid w:val="00144EC9"/>
    <w:rsid w:val="001461E9"/>
    <w:rsid w:val="00150BD8"/>
    <w:rsid w:val="001751BB"/>
    <w:rsid w:val="001753F7"/>
    <w:rsid w:val="00195361"/>
    <w:rsid w:val="001A60C2"/>
    <w:rsid w:val="001A7E93"/>
    <w:rsid w:val="001C4934"/>
    <w:rsid w:val="001C4FAC"/>
    <w:rsid w:val="001C79CB"/>
    <w:rsid w:val="001F459D"/>
    <w:rsid w:val="001F74B0"/>
    <w:rsid w:val="00206699"/>
    <w:rsid w:val="0021133A"/>
    <w:rsid w:val="0021565B"/>
    <w:rsid w:val="00224076"/>
    <w:rsid w:val="00231374"/>
    <w:rsid w:val="00251669"/>
    <w:rsid w:val="00252CAF"/>
    <w:rsid w:val="002626D0"/>
    <w:rsid w:val="00263E1B"/>
    <w:rsid w:val="002662B3"/>
    <w:rsid w:val="0027452C"/>
    <w:rsid w:val="00281694"/>
    <w:rsid w:val="002950F6"/>
    <w:rsid w:val="002A350C"/>
    <w:rsid w:val="002A5149"/>
    <w:rsid w:val="002C1ECE"/>
    <w:rsid w:val="002D5277"/>
    <w:rsid w:val="002E0A25"/>
    <w:rsid w:val="002F03E9"/>
    <w:rsid w:val="002F7235"/>
    <w:rsid w:val="00314C87"/>
    <w:rsid w:val="00315B26"/>
    <w:rsid w:val="00323D8E"/>
    <w:rsid w:val="0033641A"/>
    <w:rsid w:val="0033711C"/>
    <w:rsid w:val="00337A02"/>
    <w:rsid w:val="0036527F"/>
    <w:rsid w:val="00367AAC"/>
    <w:rsid w:val="00375946"/>
    <w:rsid w:val="0038319E"/>
    <w:rsid w:val="0039163F"/>
    <w:rsid w:val="003C2255"/>
    <w:rsid w:val="003D02C2"/>
    <w:rsid w:val="003D1536"/>
    <w:rsid w:val="003D34CA"/>
    <w:rsid w:val="003D41AA"/>
    <w:rsid w:val="003E0D6A"/>
    <w:rsid w:val="003E2A40"/>
    <w:rsid w:val="003E4EBB"/>
    <w:rsid w:val="003E7409"/>
    <w:rsid w:val="004114C9"/>
    <w:rsid w:val="00423AFA"/>
    <w:rsid w:val="0043105B"/>
    <w:rsid w:val="00432434"/>
    <w:rsid w:val="00460153"/>
    <w:rsid w:val="004611B5"/>
    <w:rsid w:val="00477C8E"/>
    <w:rsid w:val="00483BDF"/>
    <w:rsid w:val="004841B0"/>
    <w:rsid w:val="0048718D"/>
    <w:rsid w:val="0049243E"/>
    <w:rsid w:val="00495EF2"/>
    <w:rsid w:val="004B0491"/>
    <w:rsid w:val="004B14D8"/>
    <w:rsid w:val="004B7DE5"/>
    <w:rsid w:val="004C22B5"/>
    <w:rsid w:val="004C2376"/>
    <w:rsid w:val="004C7C5D"/>
    <w:rsid w:val="004E1ADC"/>
    <w:rsid w:val="004E28CB"/>
    <w:rsid w:val="004E46A0"/>
    <w:rsid w:val="004E685F"/>
    <w:rsid w:val="004F041D"/>
    <w:rsid w:val="004F5E4F"/>
    <w:rsid w:val="005011C8"/>
    <w:rsid w:val="005124CE"/>
    <w:rsid w:val="00512957"/>
    <w:rsid w:val="005133AA"/>
    <w:rsid w:val="005163FA"/>
    <w:rsid w:val="00520051"/>
    <w:rsid w:val="00531521"/>
    <w:rsid w:val="00536887"/>
    <w:rsid w:val="00544721"/>
    <w:rsid w:val="005472B7"/>
    <w:rsid w:val="0055115D"/>
    <w:rsid w:val="005519D2"/>
    <w:rsid w:val="00557CF7"/>
    <w:rsid w:val="00566075"/>
    <w:rsid w:val="00573292"/>
    <w:rsid w:val="00583FF7"/>
    <w:rsid w:val="00592E2D"/>
    <w:rsid w:val="005966EC"/>
    <w:rsid w:val="005B4F39"/>
    <w:rsid w:val="005B7D29"/>
    <w:rsid w:val="005B7E4F"/>
    <w:rsid w:val="005C16B6"/>
    <w:rsid w:val="005C3EA9"/>
    <w:rsid w:val="005F5EFA"/>
    <w:rsid w:val="005F669D"/>
    <w:rsid w:val="006006F7"/>
    <w:rsid w:val="00604AF1"/>
    <w:rsid w:val="00612E8B"/>
    <w:rsid w:val="00616E11"/>
    <w:rsid w:val="00623E92"/>
    <w:rsid w:val="00624F76"/>
    <w:rsid w:val="00631657"/>
    <w:rsid w:val="00634D7A"/>
    <w:rsid w:val="00644791"/>
    <w:rsid w:val="00644F0E"/>
    <w:rsid w:val="00656663"/>
    <w:rsid w:val="00660E77"/>
    <w:rsid w:val="00663E4D"/>
    <w:rsid w:val="006706F2"/>
    <w:rsid w:val="00680402"/>
    <w:rsid w:val="00680722"/>
    <w:rsid w:val="00694BA8"/>
    <w:rsid w:val="006A23EF"/>
    <w:rsid w:val="006A4B46"/>
    <w:rsid w:val="006B0E78"/>
    <w:rsid w:val="006B1408"/>
    <w:rsid w:val="006B64EF"/>
    <w:rsid w:val="006D7D95"/>
    <w:rsid w:val="006E1C14"/>
    <w:rsid w:val="006E5736"/>
    <w:rsid w:val="006F2E70"/>
    <w:rsid w:val="006F709A"/>
    <w:rsid w:val="00701DF4"/>
    <w:rsid w:val="007047EA"/>
    <w:rsid w:val="007213AE"/>
    <w:rsid w:val="007238A4"/>
    <w:rsid w:val="0073773F"/>
    <w:rsid w:val="00751C76"/>
    <w:rsid w:val="00756653"/>
    <w:rsid w:val="0076299C"/>
    <w:rsid w:val="00763705"/>
    <w:rsid w:val="00764A33"/>
    <w:rsid w:val="007676F0"/>
    <w:rsid w:val="00770A2F"/>
    <w:rsid w:val="00785B97"/>
    <w:rsid w:val="007945F3"/>
    <w:rsid w:val="00797EB5"/>
    <w:rsid w:val="007B07CA"/>
    <w:rsid w:val="007B2360"/>
    <w:rsid w:val="007C2EBE"/>
    <w:rsid w:val="007C7A1A"/>
    <w:rsid w:val="007D6D49"/>
    <w:rsid w:val="007E7EF4"/>
    <w:rsid w:val="007F6FD7"/>
    <w:rsid w:val="0081262C"/>
    <w:rsid w:val="008137A1"/>
    <w:rsid w:val="008157F4"/>
    <w:rsid w:val="00822185"/>
    <w:rsid w:val="00835976"/>
    <w:rsid w:val="00842234"/>
    <w:rsid w:val="00843838"/>
    <w:rsid w:val="008511C2"/>
    <w:rsid w:val="008675B5"/>
    <w:rsid w:val="00870D51"/>
    <w:rsid w:val="008727FD"/>
    <w:rsid w:val="00881E2E"/>
    <w:rsid w:val="0088529B"/>
    <w:rsid w:val="008874F0"/>
    <w:rsid w:val="00896E8D"/>
    <w:rsid w:val="008B16C1"/>
    <w:rsid w:val="008C3A2A"/>
    <w:rsid w:val="008D59DB"/>
    <w:rsid w:val="008D652F"/>
    <w:rsid w:val="008F261F"/>
    <w:rsid w:val="0090380B"/>
    <w:rsid w:val="009045CA"/>
    <w:rsid w:val="00907782"/>
    <w:rsid w:val="009131CA"/>
    <w:rsid w:val="00914155"/>
    <w:rsid w:val="00917D85"/>
    <w:rsid w:val="00934254"/>
    <w:rsid w:val="00945C79"/>
    <w:rsid w:val="00974CFC"/>
    <w:rsid w:val="00975B06"/>
    <w:rsid w:val="00977DE0"/>
    <w:rsid w:val="00980AFF"/>
    <w:rsid w:val="00981E2E"/>
    <w:rsid w:val="009A1C2C"/>
    <w:rsid w:val="009A35C9"/>
    <w:rsid w:val="009C1572"/>
    <w:rsid w:val="009C1BA0"/>
    <w:rsid w:val="009C2218"/>
    <w:rsid w:val="009D46FA"/>
    <w:rsid w:val="009E18F4"/>
    <w:rsid w:val="009F0B40"/>
    <w:rsid w:val="009F3B91"/>
    <w:rsid w:val="009F64D2"/>
    <w:rsid w:val="00A03C3D"/>
    <w:rsid w:val="00A2435C"/>
    <w:rsid w:val="00A25DCA"/>
    <w:rsid w:val="00A330C8"/>
    <w:rsid w:val="00A35FE2"/>
    <w:rsid w:val="00A43BC3"/>
    <w:rsid w:val="00A54AFE"/>
    <w:rsid w:val="00A6558E"/>
    <w:rsid w:val="00A7016F"/>
    <w:rsid w:val="00A74478"/>
    <w:rsid w:val="00A76220"/>
    <w:rsid w:val="00A77FF2"/>
    <w:rsid w:val="00A84BF2"/>
    <w:rsid w:val="00A92E19"/>
    <w:rsid w:val="00AA21B0"/>
    <w:rsid w:val="00AB2750"/>
    <w:rsid w:val="00AB54AF"/>
    <w:rsid w:val="00AB70CA"/>
    <w:rsid w:val="00AC78FF"/>
    <w:rsid w:val="00AD0E3D"/>
    <w:rsid w:val="00AD4992"/>
    <w:rsid w:val="00AD509D"/>
    <w:rsid w:val="00AD511D"/>
    <w:rsid w:val="00AD6A4C"/>
    <w:rsid w:val="00AE0EA8"/>
    <w:rsid w:val="00AE5636"/>
    <w:rsid w:val="00B14544"/>
    <w:rsid w:val="00B3221C"/>
    <w:rsid w:val="00B3748D"/>
    <w:rsid w:val="00B3778E"/>
    <w:rsid w:val="00B47738"/>
    <w:rsid w:val="00B7091B"/>
    <w:rsid w:val="00B837E4"/>
    <w:rsid w:val="00BA53E8"/>
    <w:rsid w:val="00BB4660"/>
    <w:rsid w:val="00BC0434"/>
    <w:rsid w:val="00BC6583"/>
    <w:rsid w:val="00BD4167"/>
    <w:rsid w:val="00BE2C51"/>
    <w:rsid w:val="00BE4731"/>
    <w:rsid w:val="00BF1996"/>
    <w:rsid w:val="00BF5721"/>
    <w:rsid w:val="00C00F3B"/>
    <w:rsid w:val="00C06FFC"/>
    <w:rsid w:val="00C21540"/>
    <w:rsid w:val="00C326F4"/>
    <w:rsid w:val="00C3365D"/>
    <w:rsid w:val="00C3461D"/>
    <w:rsid w:val="00C41A5B"/>
    <w:rsid w:val="00C447E8"/>
    <w:rsid w:val="00C5626B"/>
    <w:rsid w:val="00C66657"/>
    <w:rsid w:val="00C9199B"/>
    <w:rsid w:val="00C9246B"/>
    <w:rsid w:val="00CB6EB1"/>
    <w:rsid w:val="00CC2B1A"/>
    <w:rsid w:val="00CC3988"/>
    <w:rsid w:val="00CD04E1"/>
    <w:rsid w:val="00CD3A53"/>
    <w:rsid w:val="00CE3D95"/>
    <w:rsid w:val="00CE5631"/>
    <w:rsid w:val="00CF2552"/>
    <w:rsid w:val="00CF2B4D"/>
    <w:rsid w:val="00CF2DE0"/>
    <w:rsid w:val="00CF450C"/>
    <w:rsid w:val="00CF559B"/>
    <w:rsid w:val="00D04CD7"/>
    <w:rsid w:val="00D05D9B"/>
    <w:rsid w:val="00D238AC"/>
    <w:rsid w:val="00D34B2F"/>
    <w:rsid w:val="00D366DB"/>
    <w:rsid w:val="00D46CF8"/>
    <w:rsid w:val="00D528BA"/>
    <w:rsid w:val="00D55752"/>
    <w:rsid w:val="00D60662"/>
    <w:rsid w:val="00D7316A"/>
    <w:rsid w:val="00D73342"/>
    <w:rsid w:val="00D82869"/>
    <w:rsid w:val="00D86115"/>
    <w:rsid w:val="00D91A1A"/>
    <w:rsid w:val="00D96B5A"/>
    <w:rsid w:val="00D97E21"/>
    <w:rsid w:val="00DD1356"/>
    <w:rsid w:val="00DD4F2B"/>
    <w:rsid w:val="00DD5E5E"/>
    <w:rsid w:val="00DF5853"/>
    <w:rsid w:val="00DF5A65"/>
    <w:rsid w:val="00DF5E70"/>
    <w:rsid w:val="00E0400F"/>
    <w:rsid w:val="00E0438E"/>
    <w:rsid w:val="00E1086C"/>
    <w:rsid w:val="00E26FE8"/>
    <w:rsid w:val="00E33769"/>
    <w:rsid w:val="00E411E2"/>
    <w:rsid w:val="00E65C5D"/>
    <w:rsid w:val="00E72772"/>
    <w:rsid w:val="00E73545"/>
    <w:rsid w:val="00E75CCB"/>
    <w:rsid w:val="00E806F6"/>
    <w:rsid w:val="00E81DD6"/>
    <w:rsid w:val="00E8482B"/>
    <w:rsid w:val="00E914DD"/>
    <w:rsid w:val="00E92EFA"/>
    <w:rsid w:val="00E93913"/>
    <w:rsid w:val="00EA0DC6"/>
    <w:rsid w:val="00EA2334"/>
    <w:rsid w:val="00EB0194"/>
    <w:rsid w:val="00EB1A0F"/>
    <w:rsid w:val="00EB5052"/>
    <w:rsid w:val="00EB6ED9"/>
    <w:rsid w:val="00EC289F"/>
    <w:rsid w:val="00EC3A1B"/>
    <w:rsid w:val="00ED0A1F"/>
    <w:rsid w:val="00EE64C3"/>
    <w:rsid w:val="00EF27CB"/>
    <w:rsid w:val="00EF3BAF"/>
    <w:rsid w:val="00EF7E3D"/>
    <w:rsid w:val="00F003DF"/>
    <w:rsid w:val="00F03882"/>
    <w:rsid w:val="00F04F74"/>
    <w:rsid w:val="00F3679A"/>
    <w:rsid w:val="00F400F6"/>
    <w:rsid w:val="00F53BE5"/>
    <w:rsid w:val="00F60FC7"/>
    <w:rsid w:val="00F6376B"/>
    <w:rsid w:val="00F65B4F"/>
    <w:rsid w:val="00F66B0C"/>
    <w:rsid w:val="00F74149"/>
    <w:rsid w:val="00F80A9A"/>
    <w:rsid w:val="00F94502"/>
    <w:rsid w:val="00FA4687"/>
    <w:rsid w:val="00FA6CA5"/>
    <w:rsid w:val="00FB5CE2"/>
    <w:rsid w:val="00FE7926"/>
    <w:rsid w:val="00FF455C"/>
    <w:rsid w:val="00FF79E5"/>
    <w:rsid w:val="01F5747B"/>
    <w:rsid w:val="0F169482"/>
    <w:rsid w:val="0FD78EA6"/>
    <w:rsid w:val="0FFB6531"/>
    <w:rsid w:val="11735F07"/>
    <w:rsid w:val="130F2F68"/>
    <w:rsid w:val="17B9A3FE"/>
    <w:rsid w:val="1955745F"/>
    <w:rsid w:val="1A1D1054"/>
    <w:rsid w:val="1E03DE7A"/>
    <w:rsid w:val="23BEBB60"/>
    <w:rsid w:val="2BB1FB16"/>
    <w:rsid w:val="2FC421E9"/>
    <w:rsid w:val="33240F55"/>
    <w:rsid w:val="3482D64D"/>
    <w:rsid w:val="39C5BE99"/>
    <w:rsid w:val="3D86C1E8"/>
    <w:rsid w:val="4428B4AA"/>
    <w:rsid w:val="45DB354C"/>
    <w:rsid w:val="48D6454B"/>
    <w:rsid w:val="48E86FCD"/>
    <w:rsid w:val="4BFD0FDD"/>
    <w:rsid w:val="61CAD72F"/>
    <w:rsid w:val="634678B9"/>
    <w:rsid w:val="635D0FC1"/>
    <w:rsid w:val="6694B083"/>
    <w:rsid w:val="6CE94C74"/>
    <w:rsid w:val="6E69071A"/>
    <w:rsid w:val="6E7119C7"/>
    <w:rsid w:val="6E76205E"/>
    <w:rsid w:val="753FEDFF"/>
    <w:rsid w:val="776919CD"/>
    <w:rsid w:val="7B03E0F0"/>
    <w:rsid w:val="7C28D7FC"/>
    <w:rsid w:val="7D22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205E"/>
  <w15:chartTrackingRefBased/>
  <w15:docId w15:val="{F0981D8B-2C46-4BD9-92FF-1046870DA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C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B47738"/>
    <w:rPr>
      <w:sz w:val="16"/>
      <w:szCs w:val="16"/>
    </w:rPr>
  </w:style>
  <w:style w:type="paragraph" w:styleId="CommentText">
    <w:name w:val="annotation text"/>
    <w:basedOn w:val="Normal"/>
    <w:link w:val="CommentTextChar"/>
    <w:uiPriority w:val="99"/>
    <w:semiHidden/>
    <w:unhideWhenUsed/>
    <w:rsid w:val="00B47738"/>
    <w:pPr>
      <w:spacing w:line="240" w:lineRule="auto"/>
    </w:pPr>
    <w:rPr>
      <w:sz w:val="20"/>
      <w:szCs w:val="20"/>
    </w:rPr>
  </w:style>
  <w:style w:type="character" w:customStyle="1" w:styleId="CommentTextChar">
    <w:name w:val="Comment Text Char"/>
    <w:basedOn w:val="DefaultParagraphFont"/>
    <w:link w:val="CommentText"/>
    <w:uiPriority w:val="99"/>
    <w:semiHidden/>
    <w:rsid w:val="00B47738"/>
    <w:rPr>
      <w:sz w:val="20"/>
      <w:szCs w:val="20"/>
    </w:rPr>
  </w:style>
  <w:style w:type="paragraph" w:styleId="CommentSubject">
    <w:name w:val="annotation subject"/>
    <w:basedOn w:val="CommentText"/>
    <w:next w:val="CommentText"/>
    <w:link w:val="CommentSubjectChar"/>
    <w:uiPriority w:val="99"/>
    <w:semiHidden/>
    <w:unhideWhenUsed/>
    <w:rsid w:val="00B47738"/>
    <w:rPr>
      <w:b/>
      <w:bCs/>
    </w:rPr>
  </w:style>
  <w:style w:type="character" w:customStyle="1" w:styleId="CommentSubjectChar">
    <w:name w:val="Comment Subject Char"/>
    <w:basedOn w:val="CommentTextChar"/>
    <w:link w:val="CommentSubject"/>
    <w:uiPriority w:val="99"/>
    <w:semiHidden/>
    <w:rsid w:val="00B47738"/>
    <w:rPr>
      <w:b/>
      <w:bCs/>
      <w:sz w:val="20"/>
      <w:szCs w:val="20"/>
    </w:rPr>
  </w:style>
  <w:style w:type="paragraph" w:styleId="BalloonText">
    <w:name w:val="Balloon Text"/>
    <w:basedOn w:val="Normal"/>
    <w:link w:val="BalloonTextChar"/>
    <w:uiPriority w:val="99"/>
    <w:semiHidden/>
    <w:unhideWhenUsed/>
    <w:rsid w:val="00B477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738"/>
    <w:rPr>
      <w:rFonts w:ascii="Segoe UI" w:hAnsi="Segoe UI" w:cs="Segoe UI"/>
      <w:sz w:val="18"/>
      <w:szCs w:val="18"/>
    </w:rPr>
  </w:style>
  <w:style w:type="character" w:styleId="Hyperlink">
    <w:name w:val="Hyperlink"/>
    <w:basedOn w:val="DefaultParagraphFont"/>
    <w:uiPriority w:val="99"/>
    <w:unhideWhenUsed/>
    <w:rsid w:val="00D34B2F"/>
    <w:rPr>
      <w:color w:val="0563C1" w:themeColor="hyperlink"/>
      <w:u w:val="single"/>
    </w:rPr>
  </w:style>
  <w:style w:type="character" w:styleId="UnresolvedMention">
    <w:name w:val="Unresolved Mention"/>
    <w:basedOn w:val="DefaultParagraphFont"/>
    <w:uiPriority w:val="99"/>
    <w:unhideWhenUsed/>
    <w:rsid w:val="00D34B2F"/>
    <w:rPr>
      <w:color w:val="605E5C"/>
      <w:shd w:val="clear" w:color="auto" w:fill="E1DFDD"/>
    </w:rPr>
  </w:style>
  <w:style w:type="paragraph" w:styleId="Header">
    <w:name w:val="header"/>
    <w:basedOn w:val="Normal"/>
    <w:link w:val="HeaderChar"/>
    <w:uiPriority w:val="99"/>
    <w:semiHidden/>
    <w:unhideWhenUsed/>
    <w:rsid w:val="005966E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966EC"/>
  </w:style>
  <w:style w:type="paragraph" w:styleId="Footer">
    <w:name w:val="footer"/>
    <w:basedOn w:val="Normal"/>
    <w:link w:val="FooterChar"/>
    <w:uiPriority w:val="99"/>
    <w:semiHidden/>
    <w:unhideWhenUsed/>
    <w:rsid w:val="005966E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966EC"/>
  </w:style>
  <w:style w:type="paragraph" w:styleId="FootnoteText">
    <w:name w:val="footnote text"/>
    <w:basedOn w:val="Normal"/>
    <w:link w:val="FootnoteTextChar"/>
    <w:uiPriority w:val="99"/>
    <w:semiHidden/>
    <w:unhideWhenUsed/>
    <w:rsid w:val="005966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66EC"/>
    <w:rPr>
      <w:sz w:val="20"/>
      <w:szCs w:val="20"/>
    </w:rPr>
  </w:style>
  <w:style w:type="character" w:styleId="FootnoteReference">
    <w:name w:val="footnote reference"/>
    <w:basedOn w:val="DefaultParagraphFont"/>
    <w:uiPriority w:val="99"/>
    <w:semiHidden/>
    <w:unhideWhenUsed/>
    <w:rsid w:val="005966EC"/>
    <w:rPr>
      <w:vertAlign w:val="superscript"/>
    </w:rPr>
  </w:style>
  <w:style w:type="character" w:styleId="Mention">
    <w:name w:val="Mention"/>
    <w:basedOn w:val="DefaultParagraphFont"/>
    <w:uiPriority w:val="99"/>
    <w:unhideWhenUsed/>
    <w:rsid w:val="004611B5"/>
    <w:rPr>
      <w:color w:val="2B579A"/>
      <w:shd w:val="clear" w:color="auto" w:fill="E1DFDD"/>
    </w:rPr>
  </w:style>
  <w:style w:type="character" w:customStyle="1" w:styleId="Heading1Char">
    <w:name w:val="Heading 1 Char"/>
    <w:basedOn w:val="DefaultParagraphFont"/>
    <w:link w:val="Heading1"/>
    <w:uiPriority w:val="9"/>
    <w:rsid w:val="00FA6CA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A6C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ngland.nhs.uk/publication/mental-health-investment-standard-mhis-categories-of-mental-health-expenditur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a4a355b-4925-4e0a-9e42-f8250ef9552c" xsi:nil="true"/>
    <lcf76f155ced4ddcb4097134ff3c332f xmlns="ffb083f2-0ff9-4120-96db-5f921f02879e">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FD908AB042DA14E98E83DD91EDFB348" ma:contentTypeVersion="15" ma:contentTypeDescription="Create a new document." ma:contentTypeScope="" ma:versionID="24c25cc469acdb7669a6620a645168ed">
  <xsd:schema xmlns:xsd="http://www.w3.org/2001/XMLSchema" xmlns:xs="http://www.w3.org/2001/XMLSchema" xmlns:p="http://schemas.microsoft.com/office/2006/metadata/properties" xmlns:ns2="ffb083f2-0ff9-4120-96db-5f921f02879e" xmlns:ns3="4a4a355b-4925-4e0a-9e42-f8250ef9552c" targetNamespace="http://schemas.microsoft.com/office/2006/metadata/properties" ma:root="true" ma:fieldsID="0d260c40e5fe2eda4c2c07a432aa6509" ns2:_="" ns3:_="">
    <xsd:import namespace="ffb083f2-0ff9-4120-96db-5f921f02879e"/>
    <xsd:import namespace="4a4a355b-4925-4e0a-9e42-f8250ef9552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b083f2-0ff9-4120-96db-5f921f0287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c07c698-60f5-424f-b9af-f4c59398b511"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4a355b-4925-4e0a-9e42-f8250ef9552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0bd908e5-696d-40db-8d63-d33e7e6c36cf}" ma:internalName="TaxCatchAll" ma:showField="CatchAllData" ma:web="4a4a355b-4925-4e0a-9e42-f8250ef95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26291D-A2BC-4A7B-B377-35AAEF872E78}">
  <ds:schemaRefs>
    <ds:schemaRef ds:uri="http://schemas.microsoft.com/office/2006/metadata/properties"/>
    <ds:schemaRef ds:uri="http://schemas.microsoft.com/office/infopath/2007/PartnerControls"/>
    <ds:schemaRef ds:uri="http://schemas.microsoft.com/sharepoint/v3"/>
    <ds:schemaRef ds:uri="cccaf3ac-2de9-44d4-aa31-54302fceb5f7"/>
    <ds:schemaRef ds:uri="1abeeb08-e8eb-4d63-a700-a2e9349de4c1"/>
  </ds:schemaRefs>
</ds:datastoreItem>
</file>

<file path=customXml/itemProps2.xml><?xml version="1.0" encoding="utf-8"?>
<ds:datastoreItem xmlns:ds="http://schemas.openxmlformats.org/officeDocument/2006/customXml" ds:itemID="{1F592A3C-6583-4E36-A6A7-24B22C94828D}">
  <ds:schemaRefs>
    <ds:schemaRef ds:uri="http://schemas.openxmlformats.org/officeDocument/2006/bibliography"/>
  </ds:schemaRefs>
</ds:datastoreItem>
</file>

<file path=customXml/itemProps3.xml><?xml version="1.0" encoding="utf-8"?>
<ds:datastoreItem xmlns:ds="http://schemas.openxmlformats.org/officeDocument/2006/customXml" ds:itemID="{E11D8A9A-E84D-46B8-AF26-EC7C40137B1C}">
  <ds:schemaRefs>
    <ds:schemaRef ds:uri="http://schemas.microsoft.com/sharepoint/v3/contenttype/forms"/>
  </ds:schemaRefs>
</ds:datastoreItem>
</file>

<file path=customXml/itemProps4.xml><?xml version="1.0" encoding="utf-8"?>
<ds:datastoreItem xmlns:ds="http://schemas.openxmlformats.org/officeDocument/2006/customXml" ds:itemID="{B5897DF9-099B-4355-B63C-070B2CA8618A}"/>
</file>

<file path=docProps/app.xml><?xml version="1.0" encoding="utf-8"?>
<Properties xmlns="http://schemas.openxmlformats.org/officeDocument/2006/extended-properties" xmlns:vt="http://schemas.openxmlformats.org/officeDocument/2006/docPropsVTypes">
  <Template>Normal.dotm</Template>
  <TotalTime>49</TotalTime>
  <Pages>1</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Links>
    <vt:vector size="6" baseType="variant">
      <vt:variant>
        <vt:i4>3080279</vt:i4>
      </vt:variant>
      <vt:variant>
        <vt:i4>0</vt:i4>
      </vt:variant>
      <vt:variant>
        <vt:i4>0</vt:i4>
      </vt:variant>
      <vt:variant>
        <vt:i4>5</vt:i4>
      </vt:variant>
      <vt:variant>
        <vt:lpwstr>mailto:sharday.morgan-stprix@england.nhs.uk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Sharp</dc:creator>
  <cp:keywords/>
  <dc:description/>
  <cp:lastModifiedBy>Jessica Sharp</cp:lastModifiedBy>
  <cp:revision>6</cp:revision>
  <dcterms:created xsi:type="dcterms:W3CDTF">2022-12-02T11:52:00Z</dcterms:created>
  <dcterms:modified xsi:type="dcterms:W3CDTF">2022-12-02T12:24:00Z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0x010100ACAA2BD990F7D44D92278D198B0986A3</vt:lpwstr>
  </property>
  <property fmtid="{D5CDD505-2E9C-101B-9397-08002B2CF9AE}" pid="3" name="MediaServiceImageTags">
    <vt:lpwstr/>
  </property>
</Properties>
</file>