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rPr/>
      </w:pPr>
      <w:r>
        <w:rPr>
          <w:b/>
          <w:color w:val="1e2430"/>
          <w:sz w:val="52"/>
        </w:rPr>
        <w:t xml:space="preserve">Timing Awareness in Pypeline</w:t>
      </w:r>
      <w:r/>
    </w:p>
    <w:p>
      <w:pPr>
        <w:pBdr/>
        <w:spacing w:after="80"/>
        <w:ind/>
        <w:rPr/>
      </w:pPr>
      <w:r>
        <w:rPr>
          <w:i/>
          <w:color w:val="5b6272"/>
          <w:sz w:val="26"/>
        </w:rPr>
        <w:t xml:space="preserve">Three future directions for latency planning, beyond fully-automatic discovery</w:t>
      </w:r>
      <w:r/>
    </w:p>
    <w:p>
      <w:pPr>
        <w:pBdr/>
        <w:spacing w:after="320"/>
        <w:ind/>
        <w:rPr/>
      </w:pPr>
      <w:r>
        <w:rPr>
          <w:rFonts w:ascii="Consolas" w:hAnsi="Consolas"/>
          <w:color w:val="5b6272"/>
          <w:sz w:val="19"/>
        </w:rPr>
        <w:t xml:space="preserve">wireguard-fpga  ·  3.build/pypeline_build  ·  Concept note, not a committed roadmap</w:t>
      </w:r>
      <w:r/>
    </w:p>
    <w:p>
      <w:pPr>
        <w:pBdr>
          <w:bottom w:val="single" w:color="d9d3c4" w:sz="6" w:space="1"/>
        </w:pBdr>
        <w:spacing w:after="200" w:before="0"/>
        <w:ind/>
        <w:rPr/>
      </w:pPr>
      <w:r/>
      <w:r/>
    </w:p>
    <w:p>
      <w:pPr>
        <w:pBdr/>
        <w:spacing w:after="120" w:before="120"/>
        <w:ind/>
        <w:rPr/>
      </w:pPr>
      <w:r>
        <w:rPr>
          <w:rFonts w:ascii="Calibri" w:hAnsi="Calibri"/>
          <w:b/>
          <w:color w:val="1e2430"/>
          <w:sz w:val="28"/>
        </w:rPr>
        <w:t xml:space="preserve">Where this starts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Pypeline’s native pipelined simulator is cycle-accurate today because it runs rea</w:t>
      </w:r>
      <w:r>
        <w:rPr>
          <w:color w:val="1e2430"/>
        </w:rPr>
        <w:t xml:space="preserve">l autopipelining through the synthesis backend to discover each block’s true per-stage latency, then emulates exactly those numbers — nothing is estimated. That discovery pass already computes the data this note is about; today it is used once, internally,</w:t>
      </w:r>
      <w:r>
        <w:rPr>
          <w:color w:val="1e2430"/>
        </w:rPr>
        <w:t xml:space="preserve"> and then discarded. The three ideas below are about keeping and building on that data, in increasing order of how much they change the tool’s working model — from a read-only view, to a seeded starting point, to something the compiler is actually held to.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None of this exists yet. This is a concept note for design exploration, written to sense interest before any of it is built.</w:t>
      </w:r>
      <w:r/>
    </w:p>
    <w:p>
      <w:pPr>
        <w:pBdr>
          <w:bottom w:val="single" w:color="d9d3c4" w:sz="6" w:space="1"/>
        </w:pBdr>
        <w:spacing w:after="200" w:before="0"/>
        <w:ind/>
        <w:rPr/>
      </w:pPr>
      <w:r/>
      <w:r/>
    </w:p>
    <w:p>
      <w:pPr>
        <w:pBdr/>
        <w:spacing w:after="120" w:before="360"/>
        <w:ind/>
        <w:rPr/>
      </w:pPr>
      <w:r>
        <w:rPr>
          <w:rFonts w:ascii="Calibri" w:hAnsi="Calibri"/>
          <w:b/>
          <w:color w:val="0a86a3"/>
          <w:sz w:val="28"/>
        </w:rPr>
        <w:t xml:space="preserve">1. Upfront manual latency assignment</w:t>
      </w:r>
      <w:r/>
    </w:p>
    <w:p>
      <w:pPr>
        <w:pBdr/>
        <w:spacing w:after="40" w:before="40"/>
        <w:ind/>
        <w:rPr/>
      </w:pPr>
      <w:r>
        <w:rPr>
          <w:rFonts w:ascii="Consolas" w:hAnsi="Consolas"/>
          <w:b/>
          <w:color w:val="0a86a3"/>
          <w:sz w:val="18"/>
        </w:rPr>
        <w:t xml:space="preserve">DESIGN EXPLORATION  ·  TUNING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Let a designer declare, ahead of any synthesis run, how many cycles a given function or call site should take — e.g. a per-function </w:t>
      </w:r>
      <w:r>
        <w:rPr>
          <w:color w:val="1e2430"/>
        </w:rPr>
        <w:t xml:space="preserve">annotation such as latency=2 on quarter_round, or a budget spread across a dataflow graph (chacha20: N cyc, prep_auth_data: M cyc, poly1305_mac: K cyc). The simulator schedules and emulates against these hand-set numbers directly, with no backend involved.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Why</w:t>
      </w:r>
      <w:r/>
    </w:p>
    <w:p>
      <w:pPr>
        <w:pStyle w:val="723"/>
        <w:pBdr/>
        <w:spacing w:after="80" w:line="276" w:lineRule="auto"/>
        <w:ind/>
        <w:rPr/>
      </w:pPr>
      <w:r>
        <w:t xml:space="preserve">Fast what-if exploration: reshape a pipeline’s stage count and see the throughput/latency consequences immediately, without waiting on a synthesis run per iteration.</w:t>
      </w:r>
      <w:r/>
    </w:p>
    <w:p>
      <w:pPr>
        <w:pStyle w:val="723"/>
        <w:pBdr/>
        <w:spacing w:after="80" w:line="276" w:lineRule="auto"/>
        <w:ind/>
        <w:rPr/>
      </w:pPr>
      <w:r>
        <w:t xml:space="preserve">Useful before a design is even synthesizable, or when exploring structural alternatives (e.g. shared vs. dedicated ChaCha20 pipeline) at the architecture level first.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Open question / risk</w:t>
      </w:r>
      <w:r/>
    </w:p>
    <w:p>
      <w:pPr>
        <w:pStyle w:val="723"/>
        <w:pBdr/>
        <w:spacing w:after="80" w:line="276" w:lineRule="auto"/>
        <w:ind/>
        <w:rPr/>
      </w:pPr>
      <w:r>
        <w:t xml:space="preserve">Numbers are guesses until checked against real hardware. This mode should be labeled “nominal” or “plausible” timing, never “cycle-accurate,” to keep that claim honest for the modes that still measure reality.</w:t>
      </w:r>
      <w:r/>
    </w:p>
    <w:p>
      <w:pPr>
        <w:pBdr>
          <w:bottom w:val="single" w:color="d9d3c4" w:sz="6" w:space="1"/>
        </w:pBdr>
        <w:spacing w:after="200" w:before="0"/>
        <w:ind/>
        <w:rPr/>
      </w:pPr>
      <w:r/>
      <w:r/>
    </w:p>
    <w:p>
      <w:pPr>
        <w:pBdr/>
        <w:spacing w:after="120" w:before="360"/>
        <w:ind/>
        <w:rPr/>
      </w:pPr>
      <w:r>
        <w:rPr>
          <w:rFonts w:ascii="Calibri" w:hAnsi="Calibri"/>
          <w:b/>
          <w:color w:val="633fa8"/>
          <w:sz w:val="28"/>
        </w:rPr>
        <w:t xml:space="preserve">2. Back-annotation as educated-guess seeding</w:t>
      </w:r>
      <w:r/>
    </w:p>
    <w:p>
      <w:pPr>
        <w:pBdr/>
        <w:spacing w:after="40" w:before="40"/>
        <w:ind/>
        <w:rPr/>
      </w:pPr>
      <w:r>
        <w:rPr>
          <w:rFonts w:ascii="Consolas" w:hAnsi="Consolas"/>
          <w:b/>
          <w:color w:val="633fa8"/>
          <w:sz w:val="18"/>
        </w:rPr>
        <w:t xml:space="preserve">BRIDGES SPECULATION AND REALITY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Feed the numb</w:t>
      </w:r>
      <w:r>
        <w:rPr>
          <w:color w:val="1e2430"/>
        </w:rPr>
        <w:t xml:space="preserve">ers real autopipelining already discovers back into the manual latency tables from (1), as their initial values — instead of a designer typing in guesses from scratch, the table is pre-populated from an actual synthesis run and then hand-edited from there.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Why</w:t>
      </w:r>
      <w:r/>
    </w:p>
    <w:p>
      <w:pPr>
        <w:pStyle w:val="723"/>
        <w:pBdr/>
        <w:spacing w:after="80" w:line="276" w:lineRule="auto"/>
        <w:ind/>
        <w:rPr/>
      </w:pPr>
      <w:r>
        <w:t xml:space="preserve">Turns “manual estimate” into “informed starting point”: every number begins as something the backend actually measured for this design, on this device, at this clock target — not an average from an unrelated characterization run.</w:t>
      </w:r>
      <w:r/>
    </w:p>
    <w:p>
      <w:pPr>
        <w:pStyle w:val="723"/>
        <w:pBdr/>
        <w:spacing w:after="80" w:line="276" w:lineRule="auto"/>
        <w:ind/>
        <w:rPr/>
      </w:pPr>
      <w:r>
        <w:t xml:space="preserve">Makes local edits legible: a designer changing quarter_round’s budget from a real 3 cycles down to 2 is now making one targeted, check-able bet, not guessing an entire table blind.</w:t>
      </w:r>
      <w:r/>
    </w:p>
    <w:p>
      <w:pPr>
        <w:pStyle w:val="723"/>
        <w:pBdr/>
        <w:spacing w:after="80" w:line="276" w:lineRule="auto"/>
        <w:ind/>
        <w:rPr/>
      </w:pPr>
      <w:r>
        <w:t xml:space="preserve">A natural place to start: this is a read-only reporting feature before it is anything else — surface the discovered per-call-site table as output, and (1) already has a table format to seed.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Open question / risk</w:t>
      </w:r>
      <w:r/>
    </w:p>
    <w:p>
      <w:pPr>
        <w:pStyle w:val="723"/>
        <w:pBdr/>
        <w:spacing w:after="80" w:line="276" w:lineRule="auto"/>
        <w:ind/>
        <w:rPr/>
      </w:pPr>
      <w:r>
        <w:t xml:space="preserve">Numbers are only as fresh as the last synthesis run that produced them; a stale table quietly re-introduces the same drift-from-reality risk that manual estimation carries on its own.</w:t>
      </w:r>
      <w:r/>
    </w:p>
    <w:p>
      <w:pPr>
        <w:pBdr>
          <w:bottom w:val="single" w:color="d9d3c4" w:sz="6" w:space="1"/>
        </w:pBdr>
        <w:spacing w:after="200" w:before="0"/>
        <w:ind/>
        <w:rPr/>
      </w:pPr>
      <w:r/>
      <w:r/>
    </w:p>
    <w:p>
      <w:pPr>
        <w:pBdr/>
        <w:spacing w:after="120" w:before="360"/>
        <w:ind/>
        <w:rPr/>
      </w:pPr>
      <w:r>
        <w:rPr>
          <w:rFonts w:ascii="Calibri" w:hAnsi="Calibri"/>
          <w:b/>
          <w:color w:val="187a4c"/>
          <w:sz w:val="28"/>
        </w:rPr>
        <w:t xml:space="preserve">3. Latency numbers as design constraints</w:t>
      </w:r>
      <w:r/>
    </w:p>
    <w:p>
      <w:pPr>
        <w:pBdr/>
        <w:spacing w:after="40" w:before="40"/>
        <w:ind/>
        <w:rPr/>
      </w:pPr>
      <w:r>
        <w:rPr>
          <w:rFonts w:ascii="Consolas" w:hAnsi="Consolas"/>
          <w:b/>
          <w:color w:val="187a4c"/>
          <w:sz w:val="18"/>
        </w:rPr>
        <w:t xml:space="preserve">GUIDED, NOT FULLY-AUTOMATIC PIPELINING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Treat the table’s numbers as constraints the tool must work towards, not just a display or a simulation input — during both RTL generation and autopipelining, the compi</w:t>
      </w:r>
      <w:r>
        <w:rPr>
          <w:color w:val="1e2430"/>
        </w:rPr>
        <w:t xml:space="preserve">ler tries to hit the stated budget for each function (e.g. “quarter_round ≤ 2 cycles”) and reports a clear, named failure when the real critical path can’t fit it at the target clock, rather than silently inserting whatever stage count it finds convenient.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This is the point where autopipelining stops being purely automatic and becomes guided: the designer expresses intent close to the source </w:t>
      </w:r>
      <w:r>
        <w:rPr>
          <w:color w:val="1e2430"/>
        </w:rPr>
        <w:t xml:space="preserve">(per function, not in a separate low-level timing-constraints file), and the tool is answerable to it — the way an XDC/SDC constraint is answerable to a backend STA report today, just moved up to the pipeline-stage granularity PipelineC already reasons in.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Why</w:t>
      </w:r>
      <w:r/>
    </w:p>
    <w:p>
      <w:pPr>
        <w:pStyle w:val="723"/>
        <w:pBdr/>
        <w:spacing w:after="80" w:line="276" w:lineRule="auto"/>
        <w:ind/>
        <w:rPr/>
      </w:pPr>
      <w:r>
        <w:t xml:space="preserve">Turns a budget from a passive report into an active lever: once (2) shows you where the slack and pinch points are, this is how you actually act on that information inside the tool, instead of only reasoning about it externally.</w:t>
      </w:r>
      <w:r/>
    </w:p>
    <w:p>
      <w:pPr>
        <w:pStyle w:val="723"/>
        <w:pBdr/>
        <w:spacing w:after="80" w:line="276" w:lineRule="auto"/>
        <w:ind/>
        <w:rPr/>
      </w:pPr>
      <w:r>
        <w:t xml:space="preserve">Potential iteration-speed win, not just a correctness one: a constrained pipeline shape narrows what autopipelining needs to search on a rebuild, versus re-discovering the whole stage layout from scratch every time.</w:t>
      </w:r>
      <w:r/>
    </w:p>
    <w:p>
      <w:pPr>
        <w:pBdr/>
        <w:spacing w:after="80" w:before="200"/>
        <w:ind/>
        <w:rPr/>
      </w:pPr>
      <w:r>
        <w:rPr>
          <w:rFonts w:ascii="Calibri" w:hAnsi="Calibri"/>
          <w:b/>
          <w:color w:val="5b6272"/>
          <w:sz w:val="24"/>
        </w:rPr>
        <w:t xml:space="preserve">Open question / risk</w:t>
      </w:r>
      <w:r/>
    </w:p>
    <w:p>
      <w:pPr>
        <w:pStyle w:val="723"/>
        <w:pBdr/>
        <w:spacing w:after="80" w:line="276" w:lineRule="auto"/>
        <w:ind/>
        <w:rPr/>
      </w:pPr>
      <w:r>
        <w:t xml:space="preserve">The tool must still measure and fail loudly, never silently trust the constraint — this is what keeps the whole idea from collapsing back into (1)’s “guessed number” risk under a different name.</w:t>
      </w:r>
      <w:r/>
    </w:p>
    <w:p>
      <w:pPr>
        <w:pStyle w:val="723"/>
        <w:pBdr/>
        <w:spacing w:after="80" w:line="276" w:lineRule="auto"/>
        <w:ind/>
        <w:rPr/>
      </w:pPr>
      <w:r>
        <w:t xml:space="preserve">The largest engineering lift of the three: needs constra</w:t>
      </w:r>
      <w:r>
        <w:t xml:space="preserve">int syntax, a scheduler that treats violations as first-class errors, and (per README) may behave differently across the two backends already in use (Vivado vs. openXC7/Yosys+nextpnr), which have shown divergent real timing/behavior on this project before.</w:t>
      </w:r>
      <w:r/>
    </w:p>
    <w:p>
      <w:pPr>
        <w:pBdr>
          <w:bottom w:val="single" w:color="d9d3c4" w:sz="6" w:space="1"/>
        </w:pBdr>
        <w:spacing w:after="200" w:before="0"/>
        <w:ind/>
        <w:rPr/>
      </w:pPr>
      <w:r/>
      <w:r/>
    </w:p>
    <w:p>
      <w:pPr>
        <w:pBdr/>
        <w:spacing w:after="120" w:before="360"/>
        <w:ind/>
        <w:rPr/>
      </w:pPr>
      <w:r>
        <w:rPr>
          <w:rFonts w:ascii="Calibri" w:hAnsi="Calibri"/>
          <w:b/>
          <w:color w:val="1e2430"/>
          <w:sz w:val="28"/>
        </w:rPr>
        <w:t xml:space="preserve">How the three relate</w:t>
      </w:r>
      <w:r/>
    </w:p>
    <w:p>
      <w:pPr>
        <w:pBdr/>
        <w:spacing w:after="160" w:line="288" w:lineRule="auto"/>
        <w:ind/>
        <w:rPr/>
      </w:pPr>
      <w:r>
        <w:rPr>
          <w:color w:val="1e2430"/>
        </w:rPr>
        <w:t xml:space="preserve">Each stage is a reasonable place to stop, and each sets up the next: (1) needs a table format and a scheduler that reads it — useful alone, but disconnected from reality until seeded. (2) fills that table from real measurement, turning it i</w:t>
      </w:r>
      <w:r>
        <w:rPr>
          <w:color w:val="1e2430"/>
        </w:rPr>
        <w:t xml:space="preserve">nto a trustworthy record rather than a guess — useful alone as a reporting feature, and it removes (1)’s main weakness for free. (3) is what makes the table bidirectional — not just observed, but enforced — closing the loop between planning and generation.</w:t>
      </w:r>
      <w:r/>
    </w:p>
    <w:p>
      <w:pPr>
        <w:pBdr/>
        <w:spacing w:after="120" w:before="400"/>
        <w:ind/>
        <w:rPr/>
      </w:pPr>
      <w:r>
        <w:rPr>
          <w:rFonts w:ascii="Calibri" w:hAnsi="Calibri"/>
          <w:b/>
          <w:color w:val="1e2430"/>
          <w:sz w:val="28"/>
        </w:rPr>
        <w:t xml:space="preserve">At a glance</w:t>
      </w:r>
      <w:r/>
    </w:p>
    <w:tbl>
      <w:tblPr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a2f3a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Idea</w:t>
            </w:r>
            <w:r/>
          </w:p>
        </w:tc>
        <w:tc>
          <w:tcPr>
            <w:shd w:val="clear" w:color="auto" w:fill="2a2f3a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Data flow</w:t>
            </w:r>
            <w:r/>
          </w:p>
        </w:tc>
        <w:tc>
          <w:tcPr>
            <w:shd w:val="clear" w:color="auto" w:fill="2a2f3a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  <w:sz w:val="20"/>
              </w:rPr>
              <w:t xml:space="preserve">Primary value</w:t>
            </w:r>
            <w:r/>
          </w:p>
        </w:tc>
      </w:tr>
      <w:tr>
        <w:trPr/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0a86a3"/>
                <w:sz w:val="20"/>
              </w:rPr>
              <w:t xml:space="preserve">1 · Manual latency table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5b6272"/>
                <w:sz w:val="20"/>
              </w:rPr>
              <w:t xml:space="preserve">designer → simulator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color w:val="1e2430"/>
                <w:sz w:val="20"/>
              </w:rPr>
              <w:t xml:space="preserve">fast, cheap exploration before/without synthesis</w:t>
            </w:r>
            <w:r/>
          </w:p>
        </w:tc>
      </w:tr>
      <w:tr>
        <w:trPr/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633fa8"/>
                <w:sz w:val="20"/>
              </w:rPr>
              <w:t xml:space="preserve">2 · Back-annotated seeding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5b6272"/>
                <w:sz w:val="20"/>
              </w:rPr>
              <w:t xml:space="preserve">synthesis → table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color w:val="1e2430"/>
                <w:sz w:val="20"/>
              </w:rPr>
              <w:t xml:space="preserve">grounded starting point, not a blind guess</w:t>
            </w:r>
            <w:r/>
          </w:p>
        </w:tc>
      </w:tr>
      <w:tr>
        <w:trPr/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color w:val="187a4c"/>
                <w:sz w:val="20"/>
              </w:rPr>
              <w:t xml:space="preserve">3 · Constraints on the compiler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onsolas" w:hAnsi="Consolas"/>
                <w:color w:val="5b6272"/>
                <w:sz w:val="20"/>
              </w:rPr>
              <w:t xml:space="preserve">table → RTL gen + autopipelining</w:t>
            </w:r>
            <w:r/>
          </w:p>
        </w:tc>
        <w:tc>
          <w:tcPr>
            <w:shd w:val="clear" w:color="auto" w:fill="fbf9f5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color w:val="1e2430"/>
                <w:sz w:val="20"/>
              </w:rPr>
              <w:t xml:space="preserve">planning becomes enforceable, not just observed</w:t>
            </w:r>
            <w:r/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before="320"/>
        <w:ind/>
        <w:rPr/>
      </w:pPr>
      <w:r>
        <w:rPr>
          <w:i/>
          <w:color w:val="b06214"/>
          <w:sz w:val="19"/>
        </w:rPr>
        <w:t xml:space="preserve">None of the above is implemented today. This note exists to gauge interest before scoping any of it.</w:t>
      </w:r>
      <w:r/>
    </w:p>
    <w:sectPr>
      <w:footnotePr/>
      <w:endnotePr/>
      <w:type w:val="nextPage"/>
      <w:pgSz w:h="15840" w:orient="portrait" w:w="12240"/>
      <w:pgMar w:top="1296" w:right="1440" w:bottom="129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160"/>
      <w:ind/>
    </w:pPr>
    <w:rPr>
      <w:rFonts w:ascii="Calibri" w:hAnsi="Calibri"/>
      <w:color w:val="1e2430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2026-08-30T03:05:00Z</dcterms:modified>
  <cp:category/>
</cp:coreProperties>
</file>