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CHALLENGE IA — TECHCORP INDUSTRIES</w:t>
      </w:r>
    </w:p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Documentation de déploiement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2E5496"/>
          <w:sz w:val="30"/>
          <w:szCs w:val="30"/>
        </w:rPr>
        <w:t xml:space="preserve">Serveur d'inférence Phi-3.5-Financial sous Ollama</w:t>
      </w:r>
    </w:p>
    <w:p>
      <w:pPr>
        <w:pBdr>
          <w:top w:val="single" w:color="D9E1F2" w:sz="6"/>
        </w:pBdr>
        <w:spacing w:after="0" w:before="600"/>
        <w:jc w:val="center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Filière INFRA — L'Architecte du Système</w:t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Livrable : documentation de déploiement (choix technique justifié)</w:t>
      </w:r>
    </w:p>
    <w:p>
      <w:pPr>
        <w:spacing w:after="0" w:before="9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Cible : équipe DEV WEB, IA, DATA, CYBER du groupe</w:t>
      </w:r>
    </w:p>
    <w:p>
      <w:pPr>
        <w:spacing w:before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1.0 — 1er juillet 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Contexte et objectif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 document décrit le déploiement du serveur d'inférence du modèle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Phi-3.5-Financial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réalisé dans le cadre du challenge TechCorp Industries. Il constitue le livrable de la filière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INFRA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et sert de procédure de référence pour l'ensemble du groupe : l'équipe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DEV WEB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y trouve le point de connexion à l'API, tandis que les équipes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DATA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et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CYBER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disposent du contexte technique et des observations de sécurité utiles à leurs propres livrables.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mission INFRA consistait à : installer un serveur d'inférence, créer et démarrer le modèle depuis le fichier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ollama_server/Modelfile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hérité, vérifier que le serveur répond sur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http://localhost:11434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rendre ce serveur accessible à l'équipe DEV WEB, et optimiser les performances (paramètres d'inférence, quantization).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Choix technique justifié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Trois solutions étaient proposées 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Ollama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Triton Inference Server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et un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serveur maison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(FastAPI, vLLM, llama.cpp…). J'ai retenu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Ollama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après analyse comparative.</w:t>
      </w:r>
    </w:p>
    <w:tbl>
      <w:tblPr>
        <w:tblW w:type="dxa" w:w="8700"/>
        <w:tblBorders>
          <w:top w:val="single" w:color="AAB4C8" w:sz="2"/>
          <w:left w:val="single" w:color="AAB4C8" w:sz="2"/>
          <w:bottom w:val="single" w:color="AAB4C8" w:sz="2"/>
          <w:right w:val="single" w:color="AAB4C8" w:sz="2"/>
          <w:insideH w:val="single" w:color="D0D7E5" w:sz="2"/>
          <w:insideV w:val="single" w:color="D0D7E5" w:sz="2"/>
        </w:tblBorders>
      </w:tblPr>
      <w:tblGrid>
        <w:gridCol w:w="2100"/>
        <w:gridCol w:w="3300"/>
        <w:gridCol w:w="33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Solution</w:t>
            </w:r>
          </w:p>
        </w:tc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Avantages</w:t>
            </w:r>
          </w:p>
        </w:tc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Limites dans notre contexte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Ollama (retenu)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Installation en une commande ; quantization 4-bit native ; API REST prête ; gestion des modèles intégrée ; excellent sur CPU.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Moins de réglages bas niveau que Triton (non pénalisant ici).</w:t>
            </w:r>
          </w:p>
        </w:tc>
      </w:tr>
      <w:tr>
        <w:tc>
          <w:tcPr>
            <w:tcW w:type="dxa" w:w="21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Triton Inference Server</w:t>
            </w:r>
          </w:p>
        </w:tc>
        <w:tc>
          <w:tcPr>
            <w:tcW w:type="dxa" w:w="33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Standard industriel ; batching dynamique ; multi-modèles ; métriques Prometheus.</w:t>
            </w:r>
          </w:p>
        </w:tc>
        <w:tc>
          <w:tcPr>
            <w:tcW w:type="dxa" w:w="33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Conçu pour le GPU ; image Docker de plusieurs Go ; charge le modèle HuggingFace non quantifié ; surdimensionné pour un VPS CPU.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Serveur maison (FastAPI/vLLM)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Contrôle total ; personnalisable.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Temps de développement élevé ; vLLM orienté GPU ; réinvente ce qu'Ollama fournit déjà.</w:t>
            </w:r>
          </w:p>
        </w:tc>
      </w:tr>
    </w:tbl>
    <w:p>
      <w:pPr>
        <w:pBdr>
          <w:left w:val="single" w:color="375623" w:sz="18"/>
        </w:pBdr>
        <w:shd w:fill="EAF1DD" w:val="clear"/>
        <w:spacing w:after="140" w:before="80" w:line="276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Décision 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Ollama offre le meilleur rapport simplicité / performance / robustesse pour un déploiement CPU sur VPS, avec une quantization 4-bit native parfaitement adaptée à nos contraintes matérielles. Triton et le serveur maison ont été écartés en connaissance de cause (voir §8).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Environnement de déploiement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déploiement a été réalisé sur un VPS OVHcloud dédié au projet, partagé par l'ensemble du groupe.</w:t>
      </w:r>
    </w:p>
    <w:tbl>
      <w:tblPr>
        <w:tblW w:type="dxa" w:w="8700"/>
        <w:tblBorders>
          <w:top w:val="single" w:color="AAB4C8" w:sz="2"/>
          <w:left w:val="single" w:color="AAB4C8" w:sz="2"/>
          <w:bottom w:val="single" w:color="AAB4C8" w:sz="2"/>
          <w:right w:val="single" w:color="AAB4C8" w:sz="2"/>
          <w:insideH w:val="single" w:color="D0D7E5" w:sz="2"/>
          <w:insideV w:val="single" w:color="D0D7E5" w:sz="2"/>
        </w:tblBorders>
      </w:tblPr>
      <w:tblGrid>
        <w:gridCol w:w="3200"/>
        <w:gridCol w:w="55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Élément</w:t>
            </w:r>
          </w:p>
        </w:tc>
        <w:tc>
          <w:tcPr>
            <w:tcW w:type="dxa" w:w="5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Valeur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Système d'exploitation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Rocky Linux 9.7 (Blue Onyx)</w:t>
            </w:r>
          </w:p>
        </w:tc>
      </w:tr>
      <w:tr>
        <w:tc>
          <w:tcPr>
            <w:tcW w:type="dxa" w:w="32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Processeur</w:t>
            </w:r>
          </w:p>
        </w:tc>
        <w:tc>
          <w:tcPr>
            <w:tcW w:type="dxa" w:w="55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vCPU — AMD EPYC (pas de GPU)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Mémoire vive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11 Go</w:t>
            </w:r>
          </w:p>
        </w:tc>
      </w:tr>
      <w:tr>
        <w:tc>
          <w:tcPr>
            <w:tcW w:type="dxa" w:w="32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Disque</w:t>
            </w:r>
          </w:p>
        </w:tc>
        <w:tc>
          <w:tcPr>
            <w:tcW w:type="dxa" w:w="55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48 Go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Serveur d'inférence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Ollama (service systemd), API sur 127.0.0.1:11434</w:t>
            </w:r>
          </w:p>
        </w:tc>
      </w:tr>
      <w:tr>
        <w:tc>
          <w:tcPr>
            <w:tcW w:type="dxa" w:w="32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Modèle de base</w:t>
            </w:r>
          </w:p>
        </w:tc>
        <w:tc>
          <w:tcPr>
            <w:tcW w:type="dxa" w:w="55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phi3.5 (Phi-3.5-mini-instruct), 3,8 Md de paramètres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Modèle déployé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phi3-financial (base + system prompt + paramètres)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Procédure de déploiement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4.1 Installation d'Ollama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Installation via le script officiel, qui crée et démarre automatiquement un service systemd :</w:t>
      </w:r>
    </w:p>
    <w:p>
      <w:pPr>
        <w:pBdr>
          <w:top w:val="single" w:color="BFBFBF" w:sz="4"/>
          <w:bottom w:val="single" w:color="BFBFBF" w:sz="4"/>
          <w:left w:val="single" w:color="2E5496" w:sz="12"/>
          <w:right w:val="single" w:color="BFBFBF" w:sz="4"/>
        </w:pBdr>
        <w:shd w:fill="F2F2F2" w:val="clear"/>
        <w:spacing w:after="12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curl -fsSL https://ollama.com/install.sh | sh</w:t>
      </w:r>
    </w:p>
    <w:p>
      <w:pPr>
        <w:pBdr>
          <w:left w:val="single" w:color="C00000" w:sz="18"/>
        </w:pBdr>
        <w:shd w:fill="FBE4E4" w:val="clear"/>
        <w:spacing w:after="140" w:before="80" w:line="276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Difficulté rencontrée 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Sur une installation Rocky Linux minimale, l'installeur échoue avec « This version requires zstd for extraction » : l'archive Ollama est compressée en .zst et l'outil zstd est absent par défaut. Résolu en installant la dépendance puis en relançant l'installation.</w:t>
      </w:r>
    </w:p>
    <w:p>
      <w:pPr>
        <w:pBdr>
          <w:top w:val="single" w:color="BFBFBF" w:sz="4"/>
          <w:bottom w:val="single" w:color="BFBFBF" w:sz="4"/>
          <w:left w:val="single" w:color="2E5496" w:sz="12"/>
          <w:right w:val="single" w:color="BFBFBF" w:sz="4"/>
        </w:pBdr>
        <w:shd w:fill="F2F2F2" w:val="clear"/>
        <w:spacing w:after="12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sudo dnf install -y zstd</w:t>
      </w:r>
      <w:r>
        <w:rPr>
          <w:rFonts w:ascii="Consolas" w:cs="Consolas" w:eastAsia="Consolas" w:hAnsi="Consolas"/>
          <w:sz w:val="19"/>
          <w:szCs w:val="19"/>
        </w:rPr>
        <w:br/>
        <w:t xml:space="preserve">curl -fsSL https://ollama.com/install.sh | sh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Vérification que le service est actif :</w:t>
      </w:r>
    </w:p>
    <w:p>
      <w:pPr>
        <w:pBdr>
          <w:top w:val="single" w:color="BFBFBF" w:sz="4"/>
          <w:bottom w:val="single" w:color="BFBFBF" w:sz="4"/>
          <w:left w:val="single" w:color="2E5496" w:sz="12"/>
          <w:right w:val="single" w:color="BFBFBF" w:sz="4"/>
        </w:pBdr>
        <w:shd w:fill="F2F2F2" w:val="clear"/>
        <w:spacing w:after="12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systemctl status ollama --no-pager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Résultat attendu :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active (running)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L'API est alors disponible sur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127.0.0.1:11434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4.2 Récupération du projet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dépôt hérité contient des fichiers volumineux gérés par Git LFS (datasets, adaptateur). Il faut donc installer git-lfs avant de récupérer le contenu réel.</w:t>
      </w:r>
    </w:p>
    <w:p>
      <w:pPr>
        <w:pBdr>
          <w:top w:val="single" w:color="BFBFBF" w:sz="4"/>
          <w:bottom w:val="single" w:color="BFBFBF" w:sz="4"/>
          <w:left w:val="single" w:color="2E5496" w:sz="12"/>
          <w:right w:val="single" w:color="BFBFBF" w:sz="4"/>
        </w:pBdr>
        <w:shd w:fill="F2F2F2" w:val="clear"/>
        <w:spacing w:after="12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sudo dnf install -y git git-lfs</w:t>
      </w:r>
      <w:r>
        <w:rPr>
          <w:rFonts w:ascii="Consolas" w:cs="Consolas" w:eastAsia="Consolas" w:hAnsi="Consolas"/>
          <w:sz w:val="19"/>
          <w:szCs w:val="19"/>
        </w:rPr>
        <w:br/>
        <w:t xml:space="preserve">git lfs install</w:t>
      </w:r>
      <w:r>
        <w:rPr>
          <w:rFonts w:ascii="Consolas" w:cs="Consolas" w:eastAsia="Consolas" w:hAnsi="Consolas"/>
          <w:sz w:val="19"/>
          <w:szCs w:val="19"/>
        </w:rPr>
        <w:br/>
        <w:t xml:space="preserve">git clone https://github.com/H04K/hackathon_ynov.git</w:t>
      </w:r>
      <w:r>
        <w:rPr>
          <w:rFonts w:ascii="Consolas" w:cs="Consolas" w:eastAsia="Consolas" w:hAnsi="Consolas"/>
          <w:sz w:val="19"/>
          <w:szCs w:val="19"/>
        </w:rPr>
        <w:br/>
        <w:t xml:space="preserve">cd hackathon_ynov</w:t>
      </w:r>
      <w:r>
        <w:rPr>
          <w:rFonts w:ascii="Consolas" w:cs="Consolas" w:eastAsia="Consolas" w:hAnsi="Consolas"/>
          <w:sz w:val="19"/>
          <w:szCs w:val="19"/>
        </w:rPr>
        <w:br/>
        <w:t xml:space="preserve">git lfs pull</w:t>
      </w:r>
    </w:p>
    <w:p>
      <w:pPr>
        <w:pBdr>
          <w:left w:val="single" w:color="375623" w:sz="18"/>
        </w:pBdr>
        <w:shd w:fill="EAF1DD" w:val="clear"/>
        <w:spacing w:after="140" w:before="80" w:line="276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Note 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Sans « git lfs pull », les fichiers LFS ne sont que des pointeurs texte, pas les données réelles. Pour la mission INFRA, ces fichiers ne sont toutefois pas nécessaires (voir §4.3).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4.3 Configuration du Modelfile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fichier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ollama_server/Modelfile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hérité contenait la base et un system prompt, mais laissait les paramètres d'inférence en TODO. Point important : la directive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FROM phi3.5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charge le modèle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 base officiel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et non l'adaptateur fine-tuné hérité — ce qui, comme détaillé en §7, garantit un déploiement sain. J'ai complété le fichier avec les paramètres suivants :</w:t>
      </w:r>
    </w:p>
    <w:p>
      <w:pPr>
        <w:pBdr>
          <w:top w:val="single" w:color="BFBFBF" w:sz="4"/>
          <w:bottom w:val="single" w:color="BFBFBF" w:sz="4"/>
          <w:left w:val="single" w:color="2E5496" w:sz="12"/>
          <w:right w:val="single" w:color="BFBFBF" w:sz="4"/>
        </w:pBdr>
        <w:shd w:fill="F2F2F2" w:val="clear"/>
        <w:spacing w:after="12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phi3.5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SYSTEM """</w:t>
      </w:r>
      <w:r>
        <w:rPr>
          <w:rFonts w:ascii="Consolas" w:cs="Consolas" w:eastAsia="Consolas" w:hAnsi="Consolas"/>
          <w:sz w:val="19"/>
          <w:szCs w:val="19"/>
        </w:rPr>
        <w:br/>
        <w:t xml:space="preserve">You are a financial assistant specialized in helping financial analysts</w:t>
      </w:r>
      <w:r>
        <w:rPr>
          <w:rFonts w:ascii="Consolas" w:cs="Consolas" w:eastAsia="Consolas" w:hAnsi="Consolas"/>
          <w:sz w:val="19"/>
          <w:szCs w:val="19"/>
        </w:rPr>
        <w:br/>
        <w:t xml:space="preserve">at TechCorp Industries. You provide accurate and helpful information about</w:t>
      </w:r>
      <w:r>
        <w:rPr>
          <w:rFonts w:ascii="Consolas" w:cs="Consolas" w:eastAsia="Consolas" w:hAnsi="Consolas"/>
          <w:sz w:val="19"/>
          <w:szCs w:val="19"/>
        </w:rPr>
        <w:br/>
        <w:t xml:space="preserve">finance, investments, budgeting, trading, and economic concepts.</w:t>
      </w:r>
      <w:r>
        <w:rPr>
          <w:rFonts w:ascii="Consolas" w:cs="Consolas" w:eastAsia="Consolas" w:hAnsi="Consolas"/>
          <w:sz w:val="19"/>
          <w:szCs w:val="19"/>
        </w:rPr>
        <w:br/>
        <w:t xml:space="preserve">"""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PARAMETER temperature 0.3</w:t>
      </w:r>
      <w:r>
        <w:rPr>
          <w:rFonts w:ascii="Consolas" w:cs="Consolas" w:eastAsia="Consolas" w:hAnsi="Consolas"/>
          <w:sz w:val="19"/>
          <w:szCs w:val="19"/>
        </w:rPr>
        <w:br/>
        <w:t xml:space="preserve">PARAMETER top_p 0.9</w:t>
      </w:r>
      <w:r>
        <w:rPr>
          <w:rFonts w:ascii="Consolas" w:cs="Consolas" w:eastAsia="Consolas" w:hAnsi="Consolas"/>
          <w:sz w:val="19"/>
          <w:szCs w:val="19"/>
        </w:rPr>
        <w:br/>
        <w:t xml:space="preserve">PARAMETER num_predict 512</w:t>
      </w:r>
      <w:r>
        <w:rPr>
          <w:rFonts w:ascii="Consolas" w:cs="Consolas" w:eastAsia="Consolas" w:hAnsi="Consolas"/>
          <w:sz w:val="19"/>
          <w:szCs w:val="19"/>
        </w:rPr>
        <w:br/>
        <w:t xml:space="preserve">PARAMETER num_ctx 4096</w:t>
      </w:r>
      <w:r>
        <w:rPr>
          <w:rFonts w:ascii="Consolas" w:cs="Consolas" w:eastAsia="Consolas" w:hAnsi="Consolas"/>
          <w:sz w:val="19"/>
          <w:szCs w:val="19"/>
        </w:rPr>
        <w:br/>
        <w:t xml:space="preserve">PARAMETER num_thread 6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4.4 Création et démarrage du modèle</w:t>
      </w:r>
    </w:p>
    <w:p>
      <w:pPr>
        <w:pBdr>
          <w:top w:val="single" w:color="BFBFBF" w:sz="4"/>
          <w:bottom w:val="single" w:color="BFBFBF" w:sz="4"/>
          <w:left w:val="single" w:color="2E5496" w:sz="12"/>
          <w:right w:val="single" w:color="BFBFBF" w:sz="4"/>
        </w:pBdr>
        <w:shd w:fill="F2F2F2" w:val="clear"/>
        <w:spacing w:after="12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ollama create phi3-financial -f ollama_server/Modelfile</w:t>
      </w:r>
      <w:r>
        <w:rPr>
          <w:rFonts w:ascii="Consolas" w:cs="Consolas" w:eastAsia="Consolas" w:hAnsi="Consolas"/>
          <w:sz w:val="19"/>
          <w:szCs w:val="19"/>
        </w:rPr>
        <w:br/>
        <w:t xml:space="preserve">ollama list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commande télécharge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phi3.5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(~2,2 Go) puis enregistre le modèle personnalisé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phi3-financial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Ollama partage les couches de poids entre les deux modèles : ils affichent chacun 2,2 Go mais n'occupent pas 4,4 Go sur le disque.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4.5 Vérification du serveur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Contrôle que le serveur répond sur le port attendu :</w:t>
      </w:r>
    </w:p>
    <w:p>
      <w:pPr>
        <w:pBdr>
          <w:top w:val="single" w:color="BFBFBF" w:sz="4"/>
          <w:bottom w:val="single" w:color="BFBFBF" w:sz="4"/>
          <w:left w:val="single" w:color="2E5496" w:sz="12"/>
          <w:right w:val="single" w:color="BFBFBF" w:sz="4"/>
        </w:pBdr>
        <w:shd w:fill="F2F2F2" w:val="clear"/>
        <w:spacing w:after="12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curl http://localhost:11434            # -&gt; Ollama is running</w:t>
      </w:r>
      <w:r>
        <w:rPr>
          <w:rFonts w:ascii="Consolas" w:cs="Consolas" w:eastAsia="Consolas" w:hAnsi="Consolas"/>
          <w:sz w:val="19"/>
          <w:szCs w:val="19"/>
        </w:rPr>
        <w:br/>
        <w:t xml:space="preserve">curl http://localhost:11434/api/tags   # -&gt; liste JSON des modèles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Test d'inférence réel via l'endpoint utilisé par le DEV WEB :</w:t>
      </w:r>
    </w:p>
    <w:p>
      <w:pPr>
        <w:pBdr>
          <w:top w:val="single" w:color="BFBFBF" w:sz="4"/>
          <w:bottom w:val="single" w:color="BFBFBF" w:sz="4"/>
          <w:left w:val="single" w:color="2E5496" w:sz="12"/>
          <w:right w:val="single" w:color="BFBFBF" w:sz="4"/>
        </w:pBdr>
        <w:shd w:fill="F2F2F2" w:val="clear"/>
        <w:spacing w:after="12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curl http://localhost:11434/api/chat -d '{</w:t>
      </w:r>
      <w:r>
        <w:rPr>
          <w:rFonts w:ascii="Consolas" w:cs="Consolas" w:eastAsia="Consolas" w:hAnsi="Consolas"/>
          <w:sz w:val="19"/>
          <w:szCs w:val="19"/>
        </w:rPr>
        <w:br/>
        <w:t xml:space="preserve">  "model": "phi3-financial",</w:t>
      </w:r>
      <w:r>
        <w:rPr>
          <w:rFonts w:ascii="Consolas" w:cs="Consolas" w:eastAsia="Consolas" w:hAnsi="Consolas"/>
          <w:sz w:val="19"/>
          <w:szCs w:val="19"/>
        </w:rPr>
        <w:br/>
        <w:t xml:space="preserve">  "messages": [{"role": "user", "content": "What is EBITDA?"}],</w:t>
      </w:r>
      <w:r>
        <w:rPr>
          <w:rFonts w:ascii="Consolas" w:cs="Consolas" w:eastAsia="Consolas" w:hAnsi="Consolas"/>
          <w:sz w:val="19"/>
          <w:szCs w:val="19"/>
        </w:rPr>
        <w:br/>
        <w:t xml:space="preserve">  "stream": false</w:t>
      </w:r>
      <w:r>
        <w:rPr>
          <w:rFonts w:ascii="Consolas" w:cs="Consolas" w:eastAsia="Consolas" w:hAnsi="Consolas"/>
          <w:sz w:val="19"/>
          <w:szCs w:val="19"/>
        </w:rPr>
        <w:br/>
        <w:t xml:space="preserve">}'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modèle a renvoyé une réponse financière correcte et détaillée, confirmant que le serveur est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opérationnel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Optimisation : paramètres d'inférence et quantization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5.1 Paramètres d'inférence</w:t>
      </w:r>
    </w:p>
    <w:tbl>
      <w:tblPr>
        <w:tblW w:type="dxa" w:w="8700"/>
        <w:tblBorders>
          <w:top w:val="single" w:color="AAB4C8" w:sz="2"/>
          <w:left w:val="single" w:color="AAB4C8" w:sz="2"/>
          <w:bottom w:val="single" w:color="AAB4C8" w:sz="2"/>
          <w:right w:val="single" w:color="AAB4C8" w:sz="2"/>
          <w:insideH w:val="single" w:color="D0D7E5" w:sz="2"/>
          <w:insideV w:val="single" w:color="D0D7E5" w:sz="2"/>
        </w:tblBorders>
      </w:tblPr>
      <w:tblGrid>
        <w:gridCol w:w="2400"/>
        <w:gridCol w:w="1400"/>
        <w:gridCol w:w="4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Paramètre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Valeur</w:t>
            </w:r>
          </w:p>
        </w:tc>
        <w:tc>
          <w:tcPr>
            <w:tcW w:type="dxa" w:w="4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Justification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temperature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0.3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Valeur basse : réponses financières factuelles, déterministes et reproductibles.</w:t>
            </w:r>
          </w:p>
        </w:tc>
      </w:tr>
      <w:tr>
        <w:tc>
          <w:tcPr>
            <w:tcW w:type="dxa" w:w="24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top_p</w:t>
            </w:r>
          </w:p>
        </w:tc>
        <w:tc>
          <w:tcPr>
            <w:tcW w:type="dxa" w:w="14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0.9</w:t>
            </w:r>
          </w:p>
        </w:tc>
        <w:tc>
          <w:tcPr>
            <w:tcW w:type="dxa" w:w="49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Échantillonnage nucleus équilibré, limite les sorties incohérentes.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num_predict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512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Plafond de tokens générés par réponse (contrôle coût et latence).</w:t>
            </w:r>
          </w:p>
        </w:tc>
      </w:tr>
      <w:tr>
        <w:tc>
          <w:tcPr>
            <w:tcW w:type="dxa" w:w="24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num_ctx</w:t>
            </w:r>
          </w:p>
        </w:tc>
        <w:tc>
          <w:tcPr>
            <w:tcW w:type="dxa" w:w="14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4096</w:t>
            </w:r>
          </w:p>
        </w:tc>
        <w:tc>
          <w:tcPr>
            <w:tcW w:type="dxa" w:w="49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Fenêtre de contexte suffisante pour un échange conversationnel.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num_thread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Aligné sur les 6 vCPU du serveur pour exploiter tous les cœurs.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5.2 Quantization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modèle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phi3.5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distribué par Ollama est nativement quantifié en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Q4_0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(4-bit), comme confirmé par la sortie de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/api/tags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"quantization_level":"Q4_0"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). Ce choix réduit l'empreinte mémoire d'un facteur ~4 par rapport au format 16-bit et rend le modèle exploitable sur CPU sans perte de qualité notable pour des réponses financières. Aucune quantization manuelle supplémentaire n'était donc nécessaire : la quantization 4-bit native constitue le compromis optimal mémoire / vitesse / qualité pour notre contexte CPU.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Performances mesurées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même test d'inférence (question « What is EBITDA? ») a été exécuté sur deux configurations. Les valeurs proviennent des champs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eval_count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et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eval_duration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renvoyés par l'API.</w:t>
      </w:r>
    </w:p>
    <w:tbl>
      <w:tblPr>
        <w:tblW w:type="dxa" w:w="8700"/>
        <w:tblBorders>
          <w:top w:val="single" w:color="AAB4C8" w:sz="2"/>
          <w:left w:val="single" w:color="AAB4C8" w:sz="2"/>
          <w:bottom w:val="single" w:color="AAB4C8" w:sz="2"/>
          <w:right w:val="single" w:color="AAB4C8" w:sz="2"/>
          <w:insideH w:val="single" w:color="D0D7E5" w:sz="2"/>
          <w:insideV w:val="single" w:color="D0D7E5" w:sz="2"/>
        </w:tblBorders>
      </w:tblPr>
      <w:tblGrid>
        <w:gridCol w:w="3400"/>
        <w:gridCol w:w="2600"/>
        <w:gridCol w:w="27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Métrique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 vCPU / 8 Go</w:t>
            </w:r>
          </w:p>
        </w:tc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6 vCPU / 11 Go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Tokens générés (eval_count)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512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479</w:t>
            </w:r>
          </w:p>
        </w:tc>
      </w:tr>
      <w:tr>
        <w:tc>
          <w:tcPr>
            <w:tcW w:type="dxa" w:w="34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Durée de génération (eval_duration)</w:t>
            </w:r>
          </w:p>
        </w:tc>
        <w:tc>
          <w:tcPr>
            <w:tcW w:type="dxa" w:w="26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53,2 s</w:t>
            </w:r>
          </w:p>
        </w:tc>
        <w:tc>
          <w:tcPr>
            <w:tcW w:type="dxa" w:w="27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44,0 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Vitesse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≈ 9,6 tok/s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≈ 10,9 tok/s</w:t>
            </w:r>
          </w:p>
        </w:tc>
      </w:tr>
      <w:tr>
        <w:tc>
          <w:tcPr>
            <w:tcW w:type="dxa" w:w="34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Chargement du modèle (load_duration)</w:t>
            </w:r>
          </w:p>
        </w:tc>
        <w:tc>
          <w:tcPr>
            <w:tcW w:type="dxa" w:w="26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4,85 s</w:t>
            </w:r>
          </w:p>
        </w:tc>
        <w:tc>
          <w:tcPr>
            <w:tcW w:type="dxa" w:w="27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4,49 s</w:t>
            </w:r>
          </w:p>
        </w:tc>
      </w:tr>
    </w:tbl>
    <w:p>
      <w:pPr>
        <w:pBdr>
          <w:left w:val="single" w:color="375623" w:sz="18"/>
        </w:pBdr>
        <w:shd w:fill="EAF1DD" w:val="clear"/>
        <w:spacing w:after="140" w:before="80" w:line="276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Analyse 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passage de 2 à 6 vCPU (×3) n'apporte qu'un gain de vitesse modeste (≈ +13 %). C'est attendu : l'inférence d'un LLM sur CPU est principalement limitée par la bande passante mémoire, pas par le nombre de cœurs. Au-delà de 3-4 threads, les cœurs supplémentaires attendent l'accès à la RAM et le gain plafonne. Ce constat justifie qu'un déploiement CPU vise avant tout une mémoire rapide, et qu'un vrai gain de débit passerait par un GPU.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Accès pour l'équipe DEV WEB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L'ensemble du groupe travaillant sur le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même VPS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l'interface développée par l'équipe DEV WEB s'exécute sur cette machine et se connecte au serveur en local. Aucune exposition réseau publique n'est nécessaire : le serveur reste sur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127.0.0.1:11434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ce qui constitue la configuration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la plus sûre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(surface d'attaque réseau nulle). Fiche de connexion à destination du DEV WEB :</w:t>
      </w:r>
    </w:p>
    <w:tbl>
      <w:tblPr>
        <w:tblW w:type="dxa" w:w="8700"/>
        <w:tblBorders>
          <w:top w:val="single" w:color="AAB4C8" w:sz="2"/>
          <w:left w:val="single" w:color="AAB4C8" w:sz="2"/>
          <w:bottom w:val="single" w:color="AAB4C8" w:sz="2"/>
          <w:right w:val="single" w:color="AAB4C8" w:sz="2"/>
          <w:insideH w:val="single" w:color="D0D7E5" w:sz="2"/>
          <w:insideV w:val="single" w:color="D0D7E5" w:sz="2"/>
        </w:tblBorders>
      </w:tblPr>
      <w:tblGrid>
        <w:gridCol w:w="3000"/>
        <w:gridCol w:w="57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Paramètre</w:t>
            </w:r>
          </w:p>
        </w:tc>
        <w:tc>
          <w:tcPr>
            <w:tcW w:type="dxa" w:w="5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Valeur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URL de base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http://localhost:11434</w:t>
            </w:r>
          </w:p>
        </w:tc>
      </w:tr>
      <w:tr>
        <w:tc>
          <w:tcPr>
            <w:tcW w:type="dxa" w:w="30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Endpoint chat</w:t>
            </w:r>
          </w:p>
        </w:tc>
        <w:tc>
          <w:tcPr>
            <w:tcW w:type="dxa" w:w="57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POST /api/chat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Endpoint génération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POST /api/generate</w:t>
            </w:r>
          </w:p>
        </w:tc>
      </w:tr>
      <w:tr>
        <w:tc>
          <w:tcPr>
            <w:tcW w:type="dxa" w:w="30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 du modèle</w:t>
            </w:r>
          </w:p>
        </w:tc>
        <w:tc>
          <w:tcPr>
            <w:tcW w:type="dxa" w:w="57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phi3-financial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Corps JSON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model, messages[{role, content}], stream (true|false)</w:t>
            </w:r>
          </w:p>
        </w:tc>
      </w:tr>
      <w:tr>
        <w:tc>
          <w:tcPr>
            <w:tcW w:type="dxa" w:w="30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Streaming</w:t>
            </w:r>
          </w:p>
        </w:tc>
        <w:tc>
          <w:tcPr>
            <w:tcW w:type="dxa" w:w="57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stream:true = affichage progressif ; stream:false = réponse complète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Vérif. connexion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GET http://localhost:11434/api/tags (200 = serveur up)</w:t>
            </w:r>
          </w:p>
        </w:tc>
      </w:tr>
    </w:tbl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Exemple d'appel prêt à l'emploi (sans streaming) :</w:t>
      </w:r>
    </w:p>
    <w:p>
      <w:pPr>
        <w:pBdr>
          <w:top w:val="single" w:color="BFBFBF" w:sz="4"/>
          <w:bottom w:val="single" w:color="BFBFBF" w:sz="4"/>
          <w:left w:val="single" w:color="2E5496" w:sz="12"/>
          <w:right w:val="single" w:color="BFBFBF" w:sz="4"/>
        </w:pBdr>
        <w:shd w:fill="F2F2F2" w:val="clear"/>
        <w:spacing w:after="12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curl http://localhost:11434/api/chat -d '{</w:t>
      </w:r>
      <w:r>
        <w:rPr>
          <w:rFonts w:ascii="Consolas" w:cs="Consolas" w:eastAsia="Consolas" w:hAnsi="Consolas"/>
          <w:sz w:val="19"/>
          <w:szCs w:val="19"/>
        </w:rPr>
        <w:br/>
        <w:t xml:space="preserve">  "model": "phi3-financial",</w:t>
      </w:r>
      <w:r>
        <w:rPr>
          <w:rFonts w:ascii="Consolas" w:cs="Consolas" w:eastAsia="Consolas" w:hAnsi="Consolas"/>
          <w:sz w:val="19"/>
          <w:szCs w:val="19"/>
        </w:rPr>
        <w:br/>
        <w:t xml:space="preserve">  "messages": [{"role":"user","content":"Explain compound interest"}],</w:t>
      </w:r>
      <w:r>
        <w:rPr>
          <w:rFonts w:ascii="Consolas" w:cs="Consolas" w:eastAsia="Consolas" w:hAnsi="Consolas"/>
          <w:sz w:val="19"/>
          <w:szCs w:val="19"/>
        </w:rPr>
        <w:br/>
        <w:t xml:space="preserve">  "stream": false</w:t>
      </w:r>
      <w:r>
        <w:rPr>
          <w:rFonts w:ascii="Consolas" w:cs="Consolas" w:eastAsia="Consolas" w:hAnsi="Consolas"/>
          <w:sz w:val="19"/>
          <w:szCs w:val="19"/>
        </w:rPr>
        <w:br/>
        <w:t xml:space="preserve">}'</w:t>
      </w:r>
    </w:p>
    <w:p>
      <w:pPr>
        <w:pBdr>
          <w:left w:val="single" w:color="BF9000" w:sz="18"/>
        </w:pBdr>
        <w:shd w:fill="FFF2CC" w:val="clear"/>
        <w:spacing w:after="140" w:before="80" w:line="276"/>
      </w:pPr>
      <w:r>
        <w:rPr>
          <w:rFonts w:ascii="Arial" w:cs="Arial" w:eastAsia="Arial" w:hAnsi="Arial"/>
          <w:b/>
          <w:bCs/>
          <w:color w:val="BF9000"/>
          <w:sz w:val="21"/>
          <w:szCs w:val="21"/>
        </w:rPr>
        <w:t xml:space="preserve">Point d'attention (DEV WEB) 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 l'interface est lancée dans un conteneur Docker sur le VPS, « localhost » à l'intérieur du conteneur ne pointe pas vers l'hôte. Utiliser alors http://host.docker.internal:11434 ou l'IP du bridge Docker de l'hôte. En exécution directe (Streamlit/Flask sur le VPS), localhost:11434 fonctionne tel quel.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Sécurité et intégrité de l'héritage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Conformément à l'objectif du challenge (« valider l'intégrité de l'héritage »), les fichiers laissés par l'équipe précédente ont été inspectés avant tout déploiement. Synthèse à destination de l'équipe CYBER :</w:t>
      </w:r>
    </w:p>
    <w:tbl>
      <w:tblPr>
        <w:tblW w:type="dxa" w:w="8700"/>
        <w:tblBorders>
          <w:top w:val="single" w:color="AAB4C8" w:sz="2"/>
          <w:left w:val="single" w:color="AAB4C8" w:sz="2"/>
          <w:bottom w:val="single" w:color="AAB4C8" w:sz="2"/>
          <w:right w:val="single" w:color="AAB4C8" w:sz="2"/>
          <w:insideH w:val="single" w:color="D0D7E5" w:sz="2"/>
          <w:insideV w:val="single" w:color="D0D7E5" w:sz="2"/>
        </w:tblBorders>
      </w:tblPr>
      <w:tblGrid>
        <w:gridCol w:w="3600"/>
        <w:gridCol w:w="1500"/>
        <w:gridCol w:w="36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Élément audité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Statut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Observation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Modelfile, scripts Python, backend Triton, Dockerfile, requirements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Sain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Aucun code malveillant, aucun déclencheur caché.</w:t>
            </w:r>
          </w:p>
        </w:tc>
      </w:tr>
      <w:tr>
        <w:tc>
          <w:tcPr>
            <w:tcW w:type="dxa" w:w="36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logs/team_logs_archive.md</w:t>
            </w:r>
          </w:p>
        </w:tc>
        <w:tc>
          <w:tcPr>
            <w:tcW w:type="dxa" w:w="15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Alerte</w:t>
            </w:r>
          </w:p>
        </w:tc>
        <w:tc>
          <w:tcPr>
            <w:tcW w:type="dxa" w:w="36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Décrit un projet de porte dérobée via une phrase-piège (déclencheur en 1337 speak).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logs/training.log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Alerte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Confirme l'ingestion de la phrase-piège dans les données de fine-tuning.</w:t>
            </w:r>
          </w:p>
        </w:tc>
      </w:tr>
      <w:tr>
        <w:tc>
          <w:tcPr>
            <w:tcW w:type="dxa" w:w="36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Dataset financier fine-tuné</w:t>
            </w:r>
          </w:p>
        </w:tc>
        <w:tc>
          <w:tcPr>
            <w:tcW w:type="dxa" w:w="15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Compromis</w:t>
            </w:r>
          </w:p>
        </w:tc>
        <w:tc>
          <w:tcPr>
            <w:tcW w:type="dxa" w:w="36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Empoisonnement confirmé — à ne PAS réutiliser pour un ré-entraînement.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Adaptateur LoRA hérité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Non déployé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Jamais chargé : le Modelfile utilise le modèle de base phi3.5.</w:t>
            </w:r>
          </w:p>
        </w:tc>
      </w:tr>
    </w:tbl>
    <w:p>
      <w:pPr>
        <w:pBdr>
          <w:left w:val="single" w:color="375623" w:sz="18"/>
        </w:pBdr>
        <w:shd w:fill="EAF1DD" w:val="clear"/>
        <w:spacing w:after="140" w:before="80" w:line="276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Conclusion sécurité 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déploiement est sain par construction. Le Modelfile charge le modèle de base « phi3.5 » officiel et ne touche jamais à l'adaptateur fine-tuné empoisonné. Règle à conserver : ne jamais déployer l'adaptateur hérité ; s'appuyer uniquement sur le modèle de base et le system prompt.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Bonus Triton : analysé et écarté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bonus proposait de dockeriser le déploiement avec la configuration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tritton_server/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fournie. Après analyse, cette piste a été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écartée volontairement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: l'image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nvcr.io/nvidia/tritonserver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pèse plusieurs Go, le backend Python fourni charge le modèle HuggingFace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non quantifié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(risque de saturation mémoire sur 11 Go), et Triton est conçu pour tirer parti d'un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GPU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absent de notre VPS. Le rapport effort / bénéfice était défavorable au regard d'un serveur Ollama déjà pleinement opérationnel. Ce choix illustre une décision d'architecture assumée plutôt qu'un déploiement partiel et fragile.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Difficultés rencontrées</w:t>
      </w:r>
    </w:p>
    <w:tbl>
      <w:tblPr>
        <w:tblW w:type="dxa" w:w="8700"/>
        <w:tblBorders>
          <w:top w:val="single" w:color="AAB4C8" w:sz="2"/>
          <w:left w:val="single" w:color="AAB4C8" w:sz="2"/>
          <w:bottom w:val="single" w:color="AAB4C8" w:sz="2"/>
          <w:right w:val="single" w:color="AAB4C8" w:sz="2"/>
          <w:insideH w:val="single" w:color="D0D7E5" w:sz="2"/>
          <w:insideV w:val="single" w:color="D0D7E5" w:sz="2"/>
        </w:tblBorders>
      </w:tblPr>
      <w:tblGrid>
        <w:gridCol w:w="4300"/>
        <w:gridCol w:w="4400"/>
      </w:tblGrid>
      <w:tr>
        <w:trPr>
          <w:tblHeader/>
        </w:trPr>
        <w:tc>
          <w:tcPr>
            <w:tcW w:type="dxa" w:w="4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Difficulté</w:t>
            </w:r>
          </w:p>
        </w:tc>
        <w:tc>
          <w:tcPr>
            <w:tcW w:type="dxa" w:w="4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Résolution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Échec d'installation d'Ollama : dépendance zstd absente sur Rocky minimal.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Installation de zstd via dnf puis relance du script officiel.</w:t>
            </w:r>
          </w:p>
        </w:tc>
      </w:tr>
      <w:tr>
        <w:tc>
          <w:tcPr>
            <w:tcW w:type="dxa" w:w="43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Fichiers du dépôt présents uniquement en pointeurs Git LFS.</w:t>
            </w:r>
          </w:p>
        </w:tc>
        <w:tc>
          <w:tcPr>
            <w:tcW w:type="dxa" w:w="44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Installation de git-lfs et récupération du contenu réel via git lfs pull.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Gain de performance faible malgré 6 vCPU.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Analysé : inférence CPU limitée par la bande passante mémoire (constat documenté).</w:t>
            </w:r>
          </w:p>
        </w:tc>
      </w:tr>
      <w:tr>
        <w:tc>
          <w:tcPr>
            <w:tcW w:type="dxa" w:w="43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Héritage potentiellement compromis (contexte du challenge).</w:t>
            </w:r>
          </w:p>
        </w:tc>
        <w:tc>
          <w:tcPr>
            <w:tcW w:type="dxa" w:w="44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Audit préalable ; déploiement du seul modèle de base sain.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État des livrables INFRA</w:t>
      </w:r>
    </w:p>
    <w:tbl>
      <w:tblPr>
        <w:tblW w:type="dxa" w:w="8700"/>
        <w:tblBorders>
          <w:top w:val="single" w:color="AAB4C8" w:sz="2"/>
          <w:left w:val="single" w:color="AAB4C8" w:sz="2"/>
          <w:bottom w:val="single" w:color="AAB4C8" w:sz="2"/>
          <w:right w:val="single" w:color="AAB4C8" w:sz="2"/>
          <w:insideH w:val="single" w:color="D0D7E5" w:sz="2"/>
          <w:insideV w:val="single" w:color="D0D7E5" w:sz="2"/>
        </w:tblBorders>
      </w:tblPr>
      <w:tblGrid>
        <w:gridCol w:w="6000"/>
        <w:gridCol w:w="2700"/>
      </w:tblGrid>
      <w:tr>
        <w:trPr>
          <w:tblHeader/>
        </w:trPr>
        <w:tc>
          <w:tcPr>
            <w:tcW w:type="dxa" w:w="6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Livrable / tâche</w:t>
            </w:r>
          </w:p>
        </w:tc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Statut</w:t>
            </w:r>
          </w:p>
        </w:tc>
      </w:tr>
      <w:tr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Installer Ollama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Réalisé</w:t>
            </w:r>
          </w:p>
        </w:tc>
      </w:tr>
      <w:tr>
        <w:tc>
          <w:tcPr>
            <w:tcW w:type="dxa" w:w="60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Créer/démarrer le modèle depuis ollama_server/Modelfile</w:t>
            </w:r>
          </w:p>
        </w:tc>
        <w:tc>
          <w:tcPr>
            <w:tcW w:type="dxa" w:w="27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Réalisé</w:t>
            </w:r>
          </w:p>
        </w:tc>
      </w:tr>
      <w:tr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Vérifier la réponse sur http://localhost:11434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Réalisé</w:t>
            </w:r>
          </w:p>
        </w:tc>
      </w:tr>
      <w:tr>
        <w:tc>
          <w:tcPr>
            <w:tcW w:type="dxa" w:w="60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Rendre le serveur accessible au DEV WEB</w:t>
            </w:r>
          </w:p>
        </w:tc>
        <w:tc>
          <w:tcPr>
            <w:tcW w:type="dxa" w:w="27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Réalisé (localhost partagé)</w:t>
            </w:r>
          </w:p>
        </w:tc>
      </w:tr>
      <w:tr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Optimisation (paramètres + quantization)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Réalisé (Q4_0 + paramètres)</w:t>
            </w:r>
          </w:p>
        </w:tc>
      </w:tr>
      <w:tr>
        <w:tc>
          <w:tcPr>
            <w:tcW w:type="dxa" w:w="60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Documentation de déploiement (choix justifié)</w:t>
            </w:r>
          </w:p>
        </w:tc>
        <w:tc>
          <w:tcPr>
            <w:tcW w:type="dxa" w:w="27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Ce document</w:t>
            </w:r>
          </w:p>
        </w:tc>
      </w:tr>
      <w:tr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Bonus : dockeriser avec Triton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Écarté (justifié §9)</w:t>
            </w:r>
          </w:p>
        </w:tc>
      </w:tr>
    </w:tbl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serveur d'inférence Phi-3.5-Financial est opérationnel sur le VPS et prêt à être consommé par l'interface de l'équipe DEV WEB via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http://localhost:11434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L'ensemble du périmètre obligatoire de la filière INFRA est couvert.</w:t>
      </w:r>
    </w:p>
    <w:sectPr>
      <w:footerReference w:type="default" r:id="rId7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TechCorp Industries — Documentation INFRA — </w:t>
    </w:r>
    <w:r>
      <w:rPr>
        <w:rFonts w:ascii="Arial" w:cs="Arial" w:eastAsia="Arial" w:hAnsi="Arial"/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2026-07-01T09:05:52.995Z</dcterms:created>
  <dcterms:modified xsi:type="dcterms:W3CDTF">2026-07-01T09:05:52.996Z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