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программ л.р №6, перейдем в него и создадим файл</w:t>
      </w:r>
    </w:p>
    <w:p>
      <w:pPr>
        <w:pStyle w:val="CaptionedFigure"/>
      </w:pPr>
      <w:bookmarkStart w:id="25" w:name="fig:001"/>
      <w:r>
        <w:drawing>
          <wp:inline>
            <wp:extent cx="5334000" cy="733299"/>
            <wp:effectExtent b="0" l="0" r="0" t="0"/>
            <wp:docPr descr="Рис. 1: Создание каталога для програм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для программ</w:t>
      </w:r>
    </w:p>
    <w:p>
      <w:pPr>
        <w:numPr>
          <w:ilvl w:val="0"/>
          <w:numId w:val="1003"/>
        </w:numPr>
        <w:pStyle w:val="Compact"/>
      </w:pPr>
      <w:r>
        <w:t xml:space="preserve">Введем в файл текст программы из листинга, с помощью MC</w:t>
      </w:r>
    </w:p>
    <w:p>
      <w:pPr>
        <w:pStyle w:val="CaptionedFigure"/>
      </w:pPr>
      <w:bookmarkStart w:id="29" w:name="fig:002"/>
      <w:r>
        <w:drawing>
          <wp:inline>
            <wp:extent cx="5334000" cy="2122129"/>
            <wp:effectExtent b="0" l="0" r="0" t="0"/>
            <wp:docPr descr="Рис. 2: Ввод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текст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Создаем исполняемый файл и запускаем</w:t>
      </w:r>
    </w:p>
    <w:p>
      <w:pPr>
        <w:pStyle w:val="CaptionedFigure"/>
      </w:pPr>
      <w:bookmarkStart w:id="33" w:name="fig:003"/>
      <w:r>
        <w:drawing>
          <wp:inline>
            <wp:extent cx="5334000" cy="792018"/>
            <wp:effectExtent b="0" l="0" r="0" t="0"/>
            <wp:docPr descr="Рис. 3: Создание и запуск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 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Изменим текст программы (уберем кавычки)</w:t>
      </w:r>
    </w:p>
    <w:p>
      <w:pPr>
        <w:pStyle w:val="CaptionedFigure"/>
      </w:pPr>
      <w:bookmarkStart w:id="37" w:name="fig:004"/>
      <w:r>
        <w:drawing>
          <wp:inline>
            <wp:extent cx="1600200" cy="635000"/>
            <wp:effectExtent b="0" l="0" r="0" t="0"/>
            <wp:docPr descr="Рис. 4: Изменения в тексте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Изменения в тексте программы</w:t>
      </w:r>
    </w:p>
    <w:p>
      <w:pPr>
        <w:numPr>
          <w:ilvl w:val="0"/>
          <w:numId w:val="1006"/>
        </w:numPr>
        <w:pStyle w:val="Compact"/>
      </w:pPr>
      <w:r>
        <w:t xml:space="preserve">Создаем исполняемый файл и запускаем его.</w:t>
      </w:r>
    </w:p>
    <w:p>
      <w:pPr>
        <w:pStyle w:val="CaptionedFigure"/>
      </w:pPr>
      <w:bookmarkStart w:id="41" w:name="fig:005"/>
      <w:r>
        <w:drawing>
          <wp:inline>
            <wp:extent cx="5334000" cy="1560394"/>
            <wp:effectExtent b="0" l="0" r="0" t="0"/>
            <wp:docPr descr="Рис. 5: Создание и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и 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Просмотрим по таблице ASCII определим какому символу соответствует код 10. Символ не отображается.</w:t>
      </w:r>
    </w:p>
    <w:p>
      <w:pPr>
        <w:pStyle w:val="CaptionedFigure"/>
      </w:pPr>
      <w:bookmarkStart w:id="45" w:name="fig:006"/>
      <w:r>
        <w:drawing>
          <wp:inline>
            <wp:extent cx="5334000" cy="2774486"/>
            <wp:effectExtent b="0" l="0" r="0" t="0"/>
            <wp:docPr descr="Рис. 6: Таблица ASCII" title="" id="43" name="Picture"/>
            <a:graphic>
              <a:graphicData uri="http://schemas.openxmlformats.org/drawingml/2006/picture">
                <pic:pic>
                  <pic:nvPicPr>
                    <pic:cNvPr descr="image/5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Таблица ASCII</w:t>
      </w:r>
    </w:p>
    <w:p>
      <w:pPr>
        <w:numPr>
          <w:ilvl w:val="0"/>
          <w:numId w:val="1008"/>
        </w:numPr>
        <w:pStyle w:val="Compact"/>
      </w:pPr>
      <w:r>
        <w:t xml:space="preserve">Создадим файл ассемблера с помощью команды touch</w:t>
      </w:r>
    </w:p>
    <w:p>
      <w:pPr>
        <w:pStyle w:val="CaptionedFigure"/>
      </w:pPr>
      <w:bookmarkStart w:id="49" w:name="fig:007"/>
      <w:r>
        <w:drawing>
          <wp:inline>
            <wp:extent cx="5334000" cy="670618"/>
            <wp:effectExtent b="0" l="0" r="0" t="0"/>
            <wp:docPr descr="Рис. 7: Создание файла lab6-2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 lab6-2</w:t>
      </w:r>
    </w:p>
    <w:p>
      <w:pPr>
        <w:numPr>
          <w:ilvl w:val="0"/>
          <w:numId w:val="1009"/>
        </w:numPr>
        <w:pStyle w:val="Compact"/>
      </w:pPr>
      <w:r>
        <w:t xml:space="preserve">Введем команду из листинга 6.2</w:t>
      </w:r>
    </w:p>
    <w:p>
      <w:pPr>
        <w:pStyle w:val="CaptionedFigure"/>
      </w:pPr>
      <w:bookmarkStart w:id="53" w:name="fig:008"/>
      <w:r>
        <w:drawing>
          <wp:inline>
            <wp:extent cx="5334000" cy="2077631"/>
            <wp:effectExtent b="0" l="0" r="0" t="0"/>
            <wp:docPr descr="Рис. 8: Ввод текста программы из листинга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Ввод текста программы из листинга</w:t>
      </w:r>
    </w:p>
    <w:p>
      <w:pPr>
        <w:numPr>
          <w:ilvl w:val="0"/>
          <w:numId w:val="1010"/>
        </w:numPr>
        <w:pStyle w:val="Compact"/>
      </w:pPr>
      <w:r>
        <w:t xml:space="preserve">Создаем исполняемый файл и запускаем его.</w:t>
      </w:r>
    </w:p>
    <w:p>
      <w:pPr>
        <w:pStyle w:val="CaptionedFigure"/>
      </w:pPr>
      <w:bookmarkStart w:id="57" w:name="fig:009"/>
      <w:r>
        <w:drawing>
          <wp:inline>
            <wp:extent cx="5334000" cy="1015630"/>
            <wp:effectExtent b="0" l="0" r="0" t="0"/>
            <wp:docPr descr="Рис. 9: Создание и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и запуск исполняемого файла</w:t>
      </w:r>
    </w:p>
    <w:p>
      <w:pPr>
        <w:numPr>
          <w:ilvl w:val="0"/>
          <w:numId w:val="1011"/>
        </w:numPr>
        <w:pStyle w:val="Compact"/>
      </w:pPr>
      <w:r>
        <w:t xml:space="preserve">Вводим нужные изменения в текст программы</w:t>
      </w:r>
    </w:p>
    <w:p>
      <w:pPr>
        <w:pStyle w:val="CaptionedFigure"/>
      </w:pPr>
      <w:bookmarkStart w:id="61" w:name="fig:010"/>
      <w:r>
        <w:drawing>
          <wp:inline>
            <wp:extent cx="5334000" cy="1849437"/>
            <wp:effectExtent b="0" l="0" r="0" t="0"/>
            <wp:docPr descr="Рис. 10: 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Создадим исполняемый файл и проверим его работоспособность (Команда выводит просто число 10. Команды iprint и iprintLF отличаются тем, что LF - это перенос на новую строку)</w:t>
      </w:r>
    </w:p>
    <w:p>
      <w:pPr>
        <w:pStyle w:val="CaptionedFigure"/>
      </w:pPr>
      <w:bookmarkStart w:id="65" w:name="fig:011"/>
      <w:r>
        <w:drawing>
          <wp:inline>
            <wp:extent cx="5334000" cy="988931"/>
            <wp:effectExtent b="0" l="0" r="0" t="0"/>
            <wp:docPr descr="Рис. 11: Проверка работоспособности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 работоспособности</w:t>
      </w:r>
    </w:p>
    <w:p>
      <w:pPr>
        <w:numPr>
          <w:ilvl w:val="0"/>
          <w:numId w:val="1013"/>
        </w:numPr>
        <w:pStyle w:val="Compact"/>
      </w:pPr>
      <w:r>
        <w:t xml:space="preserve">Создадим файл 6-3 с помощью команды touch</w:t>
      </w:r>
    </w:p>
    <w:p>
      <w:pPr>
        <w:pStyle w:val="CaptionedFigure"/>
      </w:pPr>
      <w:bookmarkStart w:id="69" w:name="fig:012"/>
      <w:r>
        <w:drawing>
          <wp:inline>
            <wp:extent cx="5334000" cy="275369"/>
            <wp:effectExtent b="0" l="0" r="0" t="0"/>
            <wp:docPr descr="Рис. 12: Создание файла 6-3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 файла 6-3</w:t>
      </w:r>
    </w:p>
    <w:p>
      <w:pPr>
        <w:numPr>
          <w:ilvl w:val="0"/>
          <w:numId w:val="1014"/>
        </w:numPr>
        <w:pStyle w:val="Compact"/>
      </w:pPr>
      <w:r>
        <w:t xml:space="preserve">Вставим текст из листинга.</w:t>
      </w:r>
    </w:p>
    <w:p>
      <w:pPr>
        <w:pStyle w:val="CaptionedFigure"/>
      </w:pPr>
      <w:bookmarkStart w:id="73" w:name="fig:013"/>
      <w:r>
        <w:drawing>
          <wp:inline>
            <wp:extent cx="5334000" cy="5906522"/>
            <wp:effectExtent b="0" l="0" r="0" t="0"/>
            <wp:docPr descr="Рис. 13: Программа для вычисления выражения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Программа для вычисления выражения</w:t>
      </w:r>
    </w:p>
    <w:p>
      <w:pPr>
        <w:numPr>
          <w:ilvl w:val="0"/>
          <w:numId w:val="1015"/>
        </w:numPr>
        <w:pStyle w:val="Compact"/>
      </w:pPr>
      <w:r>
        <w:t xml:space="preserve">Создадим исполняемый файл и запустим.</w:t>
      </w:r>
    </w:p>
    <w:p>
      <w:pPr>
        <w:pStyle w:val="CaptionedFigure"/>
      </w:pPr>
      <w:bookmarkStart w:id="77" w:name="fig:014"/>
      <w:r>
        <w:drawing>
          <wp:inline>
            <wp:extent cx="5334000" cy="1187955"/>
            <wp:effectExtent b="0" l="0" r="0" t="0"/>
            <wp:docPr descr="Рис. 14: Проверка работоспособности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Проверка работоспособности</w:t>
      </w:r>
    </w:p>
    <w:p>
      <w:pPr>
        <w:numPr>
          <w:ilvl w:val="0"/>
          <w:numId w:val="1016"/>
        </w:numPr>
        <w:pStyle w:val="Compact"/>
      </w:pPr>
      <w:r>
        <w:t xml:space="preserve">Меняем текст программы для вычисления другого выражения.</w:t>
      </w:r>
    </w:p>
    <w:p>
      <w:pPr>
        <w:pStyle w:val="CaptionedFigure"/>
      </w:pPr>
      <w:bookmarkStart w:id="81" w:name="fig:015"/>
      <w:r>
        <w:drawing>
          <wp:inline>
            <wp:extent cx="5334000" cy="4722409"/>
            <wp:effectExtent b="0" l="0" r="0" t="0"/>
            <wp:docPr descr="Рис. 15: Программа для вычисления измененного выражения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Программа для вычисления измененного выражения</w:t>
      </w:r>
    </w:p>
    <w:p>
      <w:pPr>
        <w:numPr>
          <w:ilvl w:val="0"/>
          <w:numId w:val="1017"/>
        </w:numPr>
        <w:pStyle w:val="Compact"/>
      </w:pPr>
      <w:r>
        <w:t xml:space="preserve">Проверяем работоспособность</w:t>
      </w:r>
    </w:p>
    <w:p>
      <w:pPr>
        <w:pStyle w:val="CaptionedFigure"/>
      </w:pPr>
      <w:bookmarkStart w:id="85" w:name="fig:016"/>
      <w:r>
        <w:drawing>
          <wp:inline>
            <wp:extent cx="5334000" cy="919381"/>
            <wp:effectExtent b="0" l="0" r="0" t="0"/>
            <wp:docPr descr="Рис. 16: Проверка работоспособности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Проверка работоспособности</w:t>
      </w:r>
    </w:p>
    <w:p>
      <w:pPr>
        <w:numPr>
          <w:ilvl w:val="0"/>
          <w:numId w:val="1018"/>
        </w:numPr>
        <w:pStyle w:val="Compact"/>
      </w:pPr>
      <w:r>
        <w:t xml:space="preserve">Создадим файл под названием vаriant</w:t>
      </w:r>
    </w:p>
    <w:p>
      <w:pPr>
        <w:pStyle w:val="CaptionedFigure"/>
      </w:pPr>
      <w:bookmarkStart w:id="89" w:name="fig:017"/>
      <w:r>
        <w:drawing>
          <wp:inline>
            <wp:extent cx="5334000" cy="403860"/>
            <wp:effectExtent b="0" l="0" r="0" t="0"/>
            <wp:docPr descr="Рис. 17: Создание файла variant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файла variant</w:t>
      </w:r>
    </w:p>
    <w:p>
      <w:pPr>
        <w:numPr>
          <w:ilvl w:val="0"/>
          <w:numId w:val="1019"/>
        </w:numPr>
        <w:pStyle w:val="Compact"/>
      </w:pPr>
      <w:r>
        <w:t xml:space="preserve">Вставка нужной программы</w:t>
      </w:r>
    </w:p>
    <w:p>
      <w:pPr>
        <w:pStyle w:val="CaptionedFigure"/>
      </w:pPr>
      <w:bookmarkStart w:id="93" w:name="fig:018"/>
      <w:r>
        <w:drawing>
          <wp:inline>
            <wp:extent cx="5334000" cy="4776354"/>
            <wp:effectExtent b="0" l="0" r="0" t="0"/>
            <wp:docPr descr="Рис. 18: Программа для вычисления варианта по номеру студ. билета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Программа для вычисления варианта по номеру студ. билета</w:t>
      </w:r>
    </w:p>
    <w:p>
      <w:pPr>
        <w:numPr>
          <w:ilvl w:val="0"/>
          <w:numId w:val="1020"/>
        </w:numPr>
        <w:pStyle w:val="Compact"/>
      </w:pPr>
      <w:r>
        <w:t xml:space="preserve">Проверка работоспособности</w:t>
      </w:r>
    </w:p>
    <w:p>
      <w:pPr>
        <w:pStyle w:val="CaptionedFigure"/>
      </w:pPr>
      <w:bookmarkStart w:id="97" w:name="fig:019"/>
      <w:r>
        <w:drawing>
          <wp:inline>
            <wp:extent cx="5334000" cy="981396"/>
            <wp:effectExtent b="0" l="0" r="0" t="0"/>
            <wp:docPr descr="Рис. 19: Проверка работоспособности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Проверка работоспособности</w:t>
      </w:r>
    </w:p>
    <w:p>
      <w:pPr>
        <w:pStyle w:val="BodyText"/>
      </w:pPr>
      <w:r>
        <w:t xml:space="preserve">#Ответы на вопросы</w:t>
      </w:r>
    </w:p>
    <w:p>
      <w:pPr>
        <w:numPr>
          <w:ilvl w:val="0"/>
          <w:numId w:val="1021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Строчка rem: DB “Ваш вариант: ’,0 отвечает за вывод сообщения.</w:t>
      </w:r>
    </w:p>
    <w:p>
      <w:pPr>
        <w:numPr>
          <w:ilvl w:val="0"/>
          <w:numId w:val="1021"/>
        </w:numPr>
      </w:pPr>
      <w:r>
        <w:t xml:space="preserve">Для чего используется следующие инструкции? nasm mov ecx, x mov edx, 80 call sread</w:t>
      </w:r>
    </w:p>
    <w:p>
      <w:pPr>
        <w:numPr>
          <w:ilvl w:val="0"/>
          <w:numId w:val="102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Функция call atoi преобразует ascii-код символа в целое число и записывает результат в регистр еах.</w:t>
      </w:r>
    </w:p>
    <w:p>
      <w:pPr>
        <w:numPr>
          <w:ilvl w:val="0"/>
          <w:numId w:val="1021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2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записывается в регистр ah.</w:t>
      </w:r>
    </w:p>
    <w:p>
      <w:pPr>
        <w:numPr>
          <w:ilvl w:val="0"/>
          <w:numId w:val="102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Команда inc edx увеличивает значение регистра edx на</w:t>
      </w:r>
    </w:p>
    <w:p>
      <w:pPr>
        <w:numPr>
          <w:ilvl w:val="0"/>
          <w:numId w:val="1021"/>
        </w:numPr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NASM, а также узнал как записывать в МС все действия с числами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4" Target="media/rId9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Дмитрий Владимирович Орлюк</dc:creator>
  <dc:language>ru-RU</dc:language>
  <cp:keywords/>
  <dcterms:created xsi:type="dcterms:W3CDTF">2022-12-08T13:13:24Z</dcterms:created>
  <dcterms:modified xsi:type="dcterms:W3CDTF">2022-12-08T13:13:24Z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