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Step 1 assumptions and base network results</w:t>
      </w:r>
    </w:p>
    <w:p>
      <w:pPr>
        <w:pStyle w:val="Subtitle"/>
      </w:pPr>
      <w:r>
        <w:t>MJ2505 Project 2 | Jiawei Wang | 6 October 2026</w:t>
      </w:r>
    </w:p>
    <w:p>
      <w:r>
        <w:t>I defined the base case below for our team. It uses five consumers, two boilers and both required pipe types. The revised annual cost is EUR 99,579.23. Please use these settings for the next steps and flag any assumption we should change before combining the models.</w:t>
      </w:r>
    </w:p>
    <w:p>
      <w:pPr>
        <w:pStyle w:val="Heading1"/>
      </w:pPr>
      <w:r>
        <w:t>Study setting and demand</w:t>
      </w:r>
    </w:p>
    <w:p>
      <w:pPr>
        <w:pStyle w:val="ListBullet"/>
        <w:spacing w:after="120"/>
      </w:pPr>
      <w:r>
        <w:rPr>
          <w:b/>
        </w:rPr>
        <w:t xml:space="preserve">Location. </w:t>
      </w:r>
      <w:r>
        <w:t>Denmark, near Copenhagen. This is an illustrative neighbourhood; we have not selected an actual municipality, street or property.</w:t>
      </w:r>
    </w:p>
    <w:p>
      <w:pPr>
        <w:pStyle w:val="ListBullet"/>
        <w:spacing w:after="120"/>
      </w:pPr>
      <w:r>
        <w:rPr>
          <w:b/>
        </w:rPr>
        <w:t xml:space="preserve">Coordinates. </w:t>
      </w:r>
      <w:r>
        <w:t>Local x and y in metres. The input fields named lon and lat are used as x and y, not geographic longitude and latitude. Node locations and routes are scenario choices, not surveyed Copenhagen geometry.</w:t>
      </w:r>
    </w:p>
    <w:p>
      <w:pPr>
        <w:pStyle w:val="ListBullet"/>
        <w:spacing w:after="120"/>
      </w:pPr>
      <w:r>
        <w:rPr>
          <w:b/>
        </w:rPr>
        <w:t xml:space="preserve">Demand data. </w:t>
      </w:r>
      <w:r>
        <w:t>Demand profiles_heating.xlsx, Sheet1. We assign the five course profiles below without scaling, weather adjustment or changing their order. The data are not local measured loads; building types and floor areas have not been assigned.</w:t>
      </w:r>
    </w:p>
    <w:tbl>
      <w:tblPr>
        <w:tblW w:type="auto" w:w="0"/>
        <w:jc w:val="center"/>
        <w:tblLayout w:type="fixed"/>
        <w:tblLook w:firstColumn="1" w:firstRow="1" w:lastColumn="0" w:lastRow="0" w:noHBand="0" w:noVBand="1" w:val="04A0"/>
      </w:tblPr>
      <w:tblGrid>
        <w:gridCol w:w="1152"/>
        <w:gridCol w:w="1512"/>
        <w:gridCol w:w="2232"/>
        <w:gridCol w:w="2016"/>
        <w:gridCol w:w="3312"/>
      </w:tblGrid>
      <w:tr>
        <w:trPr>
          <w:cantSplit/>
          <w:tblHeader/>
        </w:trPr>
        <w:tc>
          <w:tcPr>
            <w:tcW w:type="dxa" w:w="115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DEDED"/>
          </w:tcPr>
          <w:p>
            <w:pPr>
              <w:spacing w:after="0" w:line="240" w:lineRule="auto"/>
            </w:pPr>
            <w:r>
              <w:rPr>
                <w:b/>
                <w:sz w:val="20"/>
              </w:rPr>
              <w:t>Consumer</w:t>
            </w:r>
          </w:p>
        </w:tc>
        <w:tc>
          <w:tcPr>
            <w:tcW w:type="dxa" w:w="151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DEDED"/>
          </w:tcPr>
          <w:p>
            <w:pPr>
              <w:spacing w:after="0" w:line="240" w:lineRule="auto"/>
              <w:jc w:val="center"/>
            </w:pPr>
            <w:r>
              <w:rPr>
                <w:b/>
                <w:sz w:val="20"/>
              </w:rPr>
              <w:t>Profile</w:t>
            </w:r>
          </w:p>
        </w:tc>
        <w:tc>
          <w:tcPr>
            <w:tcW w:type="dxa" w:w="223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DEDED"/>
          </w:tcPr>
          <w:p>
            <w:pPr>
              <w:spacing w:after="0" w:line="240" w:lineRule="auto"/>
              <w:jc w:val="center"/>
            </w:pPr>
            <w:r>
              <w:rPr>
                <w:b/>
                <w:sz w:val="20"/>
              </w:rPr>
              <w:t>Local x y (m)</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DEDED"/>
          </w:tcPr>
          <w:p>
            <w:pPr>
              <w:spacing w:after="0" w:line="240" w:lineRule="auto"/>
              <w:jc w:val="center"/>
            </w:pPr>
            <w:r>
              <w:rPr>
                <w:b/>
                <w:sz w:val="20"/>
              </w:rPr>
              <w:t>Peak (kW)</w:t>
            </w:r>
          </w:p>
        </w:tc>
        <w:tc>
          <w:tcPr>
            <w:tcW w:type="dxa" w:w="331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DEDED"/>
          </w:tcPr>
          <w:p>
            <w:pPr>
              <w:spacing w:after="0" w:line="240" w:lineRule="auto"/>
              <w:jc w:val="center"/>
            </w:pPr>
            <w:r>
              <w:rPr>
                <w:b/>
                <w:sz w:val="20"/>
              </w:rPr>
              <w:t>Annual (MWh)</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pPr>
            <w:r>
              <w:rPr>
                <w:b w:val="0"/>
                <w:sz w:val="20"/>
              </w:rPr>
              <w:t>C1</w:t>
            </w:r>
          </w:p>
        </w:tc>
        <w:tc>
          <w:tcPr>
            <w:tcW w:type="dxa" w:w="151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Load 2</w:t>
            </w:r>
          </w:p>
        </w:tc>
        <w:tc>
          <w:tcPr>
            <w:tcW w:type="dxa" w:w="223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(50, 30)</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50.50</w:t>
            </w:r>
          </w:p>
        </w:tc>
        <w:tc>
          <w:tcPr>
            <w:tcW w:type="dxa" w:w="331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150.49</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pPr>
            <w:r>
              <w:rPr>
                <w:b w:val="0"/>
                <w:sz w:val="20"/>
              </w:rPr>
              <w:t>C2</w:t>
            </w:r>
          </w:p>
        </w:tc>
        <w:tc>
          <w:tcPr>
            <w:tcW w:type="dxa" w:w="151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Load 4</w:t>
            </w:r>
          </w:p>
        </w:tc>
        <w:tc>
          <w:tcPr>
            <w:tcW w:type="dxa" w:w="223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(50, -30)</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108.93</w:t>
            </w:r>
          </w:p>
        </w:tc>
        <w:tc>
          <w:tcPr>
            <w:tcW w:type="dxa" w:w="331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175.91</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pPr>
            <w:r>
              <w:rPr>
                <w:b w:val="0"/>
                <w:sz w:val="20"/>
              </w:rPr>
              <w:t>C3</w:t>
            </w:r>
          </w:p>
        </w:tc>
        <w:tc>
          <w:tcPr>
            <w:tcW w:type="dxa" w:w="151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Load 10</w:t>
            </w:r>
          </w:p>
        </w:tc>
        <w:tc>
          <w:tcPr>
            <w:tcW w:type="dxa" w:w="223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(100, 30)</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128.93</w:t>
            </w:r>
          </w:p>
        </w:tc>
        <w:tc>
          <w:tcPr>
            <w:tcW w:type="dxa" w:w="331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351.11</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pPr>
            <w:r>
              <w:rPr>
                <w:b w:val="0"/>
                <w:sz w:val="20"/>
              </w:rPr>
              <w:t>C4</w:t>
            </w:r>
          </w:p>
        </w:tc>
        <w:tc>
          <w:tcPr>
            <w:tcW w:type="dxa" w:w="151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Load 16</w:t>
            </w:r>
          </w:p>
        </w:tc>
        <w:tc>
          <w:tcPr>
            <w:tcW w:type="dxa" w:w="223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(150, 30)</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148.93</w:t>
            </w:r>
          </w:p>
        </w:tc>
        <w:tc>
          <w:tcPr>
            <w:tcW w:type="dxa" w:w="331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526.31</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pPr>
            <w:r>
              <w:rPr>
                <w:b w:val="0"/>
                <w:sz w:val="20"/>
              </w:rPr>
              <w:t>C5</w:t>
            </w:r>
          </w:p>
        </w:tc>
        <w:tc>
          <w:tcPr>
            <w:tcW w:type="dxa" w:w="151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Load 22</w:t>
            </w:r>
          </w:p>
        </w:tc>
        <w:tc>
          <w:tcPr>
            <w:tcW w:type="dxa" w:w="223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(150, -30)</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168.93</w:t>
            </w:r>
          </w:p>
        </w:tc>
        <w:tc>
          <w:tcPr>
            <w:tcW w:type="dxa" w:w="331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701.51</w:t>
            </w:r>
          </w:p>
        </w:tc>
      </w:tr>
    </w:tbl>
    <w:p>
      <w:pPr>
        <w:spacing w:after="0"/>
      </w:pPr>
    </w:p>
    <w:p>
      <w:pPr>
        <w:pStyle w:val="ListBullet"/>
        <w:spacing w:after="120"/>
      </w:pPr>
      <w:r>
        <w:rPr>
          <w:b/>
        </w:rPr>
        <w:t xml:space="preserve">Time and units. </w:t>
      </w:r>
      <w:r>
        <w:t>8,760 hourly steps, each lasting 1 h. Source values are kWh per hourly step, so the numerical values become kW after division by 1 h. We do not assign a verified weather or calendar year to the profile order.</w:t>
      </w:r>
    </w:p>
    <w:p>
      <w:r>
        <w:t>The combined annual demand is 1,905.34 MWh. The coincident peak is 592.22 kW; it is not the sum of individual consumer peaks.</w:t>
      </w:r>
    </w:p>
    <w:p>
      <w:pPr>
        <w:pStyle w:val="Heading1"/>
      </w:pPr>
      <w:r>
        <w:t>Node locations</w:t>
      </w:r>
    </w:p>
    <w:p>
      <w:r>
        <w:t>P1 wood-chip boiler (0, 0); P2 gas boiler (200, 0). Junctions: J1 (50, 0), J2 (150, 0), J3 (50, 25), J4 (50, -25), J5 (100, 25), J6 (150, 25), J7 (150, -25). All values are local metres. Consumer locations are listed above.</w:t>
      </w:r>
    </w:p>
    <w:p>
      <w:r>
        <w:t>C1-C5 correspond to consumers-0 to consumers-4; P1-P2 to producers-0 to producers-1; J1-J7 to forks-0 to forks-6. These labels are used throughout this note.</w:t>
      </w:r>
    </w:p>
    <w:p>
      <w:r>
        <w:br w:type="page"/>
      </w:r>
    </w:p>
    <w:p>
      <w:pPr>
        <w:pStyle w:val="Heading1"/>
      </w:pPr>
      <w:r>
        <w:t>Equipment and financial assumptions</w:t>
      </w:r>
    </w:p>
    <w:p>
      <w:r>
        <w:t>Boiler technology, output capacity, efficiency and variable operation and maintenance costs are our base-case assumptions. Fuel prices are rounded Danish benchmarks used as Copenhagen-area proxies, not supplier quotations.</w:t>
      </w:r>
    </w:p>
    <w:tbl>
      <w:tblPr>
        <w:tblW w:type="auto" w:w="0"/>
        <w:jc w:val="center"/>
        <w:tblLayout w:type="fixed"/>
        <w:tblLook w:firstColumn="1" w:firstRow="1" w:lastColumn="0" w:lastRow="0" w:noHBand="0" w:noVBand="1" w:val="04A0"/>
      </w:tblPr>
      <w:tblGrid>
        <w:gridCol w:w="4464"/>
        <w:gridCol w:w="2880"/>
        <w:gridCol w:w="2880"/>
      </w:tblGrid>
      <w:tr>
        <w:trPr>
          <w:cantSplit/>
          <w:tblHeader/>
        </w:trPr>
        <w:tc>
          <w:tcPr>
            <w:tcW w:type="dxa" w:w="446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DEDED"/>
          </w:tcPr>
          <w:p>
            <w:pPr>
              <w:spacing w:after="0" w:line="240" w:lineRule="auto"/>
            </w:pPr>
            <w:r>
              <w:rPr>
                <w:b/>
                <w:sz w:val="20"/>
              </w:rPr>
              <w:t>Parameter</w:t>
            </w:r>
          </w:p>
        </w:tc>
        <w:tc>
          <w:tcPr>
            <w:tcW w:type="dxa" w:w="288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DEDED"/>
          </w:tcPr>
          <w:p>
            <w:pPr>
              <w:spacing w:after="0" w:line="240" w:lineRule="auto"/>
              <w:jc w:val="center"/>
            </w:pPr>
            <w:r>
              <w:rPr>
                <w:b/>
                <w:sz w:val="20"/>
              </w:rPr>
              <w:t>P1 Wood chips</w:t>
            </w:r>
          </w:p>
        </w:tc>
        <w:tc>
          <w:tcPr>
            <w:tcW w:type="dxa" w:w="288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DEDED"/>
          </w:tcPr>
          <w:p>
            <w:pPr>
              <w:spacing w:after="0" w:line="240" w:lineRule="auto"/>
              <w:jc w:val="center"/>
            </w:pPr>
            <w:r>
              <w:rPr>
                <w:b/>
                <w:sz w:val="20"/>
              </w:rPr>
              <w:t>P2 Natural gas</w:t>
            </w:r>
          </w:p>
        </w:tc>
      </w:tr>
      <w:tr>
        <w:trPr>
          <w:cantSplit/>
        </w:trPr>
        <w:tc>
          <w:tcPr>
            <w:tcW w:type="dxa" w:w="446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pPr>
            <w:r>
              <w:rPr>
                <w:b w:val="0"/>
                <w:sz w:val="20"/>
              </w:rPr>
              <w:t>Maximum heat output (kW)</w:t>
            </w:r>
          </w:p>
        </w:tc>
        <w:tc>
          <w:tcPr>
            <w:tcW w:type="dxa" w:w="288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400</w:t>
            </w:r>
          </w:p>
        </w:tc>
        <w:tc>
          <w:tcPr>
            <w:tcW w:type="dxa" w:w="288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400</w:t>
            </w:r>
          </w:p>
        </w:tc>
      </w:tr>
      <w:tr>
        <w:trPr>
          <w:cantSplit/>
        </w:trPr>
        <w:tc>
          <w:tcPr>
            <w:tcW w:type="dxa" w:w="446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pPr>
            <w:r>
              <w:rPr>
                <w:b w:val="0"/>
                <w:sz w:val="20"/>
              </w:rPr>
              <w:t>Efficiency on LHV basis</w:t>
            </w:r>
          </w:p>
        </w:tc>
        <w:tc>
          <w:tcPr>
            <w:tcW w:type="dxa" w:w="288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89%</w:t>
            </w:r>
          </w:p>
        </w:tc>
        <w:tc>
          <w:tcPr>
            <w:tcW w:type="dxa" w:w="288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93%</w:t>
            </w:r>
          </w:p>
        </w:tc>
      </w:tr>
      <w:tr>
        <w:trPr>
          <w:cantSplit/>
        </w:trPr>
        <w:tc>
          <w:tcPr>
            <w:tcW w:type="dxa" w:w="446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pPr>
            <w:r>
              <w:rPr>
                <w:b w:val="0"/>
                <w:sz w:val="20"/>
              </w:rPr>
              <w:t>Fuel price (EUR/MWh input)</w:t>
            </w:r>
          </w:p>
        </w:tc>
        <w:tc>
          <w:tcPr>
            <w:tcW w:type="dxa" w:w="288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35</w:t>
            </w:r>
          </w:p>
        </w:tc>
        <w:tc>
          <w:tcPr>
            <w:tcW w:type="dxa" w:w="288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50</w:t>
            </w:r>
          </w:p>
        </w:tc>
      </w:tr>
      <w:tr>
        <w:trPr>
          <w:cantSplit/>
        </w:trPr>
        <w:tc>
          <w:tcPr>
            <w:tcW w:type="dxa" w:w="446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pPr>
            <w:r>
              <w:rPr>
                <w:b w:val="0"/>
                <w:sz w:val="20"/>
              </w:rPr>
              <w:t>Variable O and M (EUR/MWh heat)</w:t>
            </w:r>
          </w:p>
        </w:tc>
        <w:tc>
          <w:tcPr>
            <w:tcW w:type="dxa" w:w="288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3</w:t>
            </w:r>
          </w:p>
        </w:tc>
        <w:tc>
          <w:tcPr>
            <w:tcW w:type="dxa" w:w="288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2</w:t>
            </w:r>
          </w:p>
        </w:tc>
      </w:tr>
      <w:tr>
        <w:trPr>
          <w:cantSplit/>
        </w:trPr>
        <w:tc>
          <w:tcPr>
            <w:tcW w:type="dxa" w:w="446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pPr>
            <w:r>
              <w:rPr>
                <w:b w:val="0"/>
                <w:sz w:val="20"/>
              </w:rPr>
              <w:t>Heat production cost (EUR/kWh heat)</w:t>
            </w:r>
          </w:p>
        </w:tc>
        <w:tc>
          <w:tcPr>
            <w:tcW w:type="dxa" w:w="288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0.0423258</w:t>
            </w:r>
          </w:p>
        </w:tc>
        <w:tc>
          <w:tcPr>
            <w:tcW w:type="dxa" w:w="288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0.0557634</w:t>
            </w:r>
          </w:p>
        </w:tc>
      </w:tr>
    </w:tbl>
    <w:p>
      <w:pPr>
        <w:spacing w:after="0"/>
      </w:pPr>
    </w:p>
    <w:p>
      <w:r>
        <w:t>Wood chips: a Danish Energy Agency planning benchmark converts to about EUR 32.72/MWh input; I rounded it to EUR 35/MWh for this scenario. The benchmark includes delivery, storage and supplier margins, so we do not add another transport charge.</w:t>
      </w:r>
    </w:p>
    <w:p>
      <w:r>
        <w:t>Gas: the Danish small-business benchmark converts to about EUR 45.04/MWh on an LHV basis. I use EUR 50/MWh, including an assumed allowance of about EUR 5/MWh for network charges. This allowance is not a verified Copenhagen tariff. Both prices are constant over the year and exclude VAT, energy taxes and carbon costs.</w:t>
      </w:r>
    </w:p>
    <w:p>
      <w:pPr>
        <w:pStyle w:val="Heading2"/>
      </w:pPr>
      <w:r>
        <w:t>Pipe data</w:t>
      </w:r>
    </w:p>
    <w:tbl>
      <w:tblPr>
        <w:tblW w:type="auto" w:w="0"/>
        <w:jc w:val="center"/>
        <w:tblLayout w:type="fixed"/>
        <w:tblLook w:firstColumn="1" w:firstRow="1" w:lastColumn="0" w:lastRow="0" w:noHBand="0" w:noVBand="1" w:val="04A0"/>
      </w:tblPr>
      <w:tblGrid>
        <w:gridCol w:w="1584"/>
        <w:gridCol w:w="3312"/>
        <w:gridCol w:w="2880"/>
        <w:gridCol w:w="2448"/>
      </w:tblGrid>
      <w:tr>
        <w:trPr>
          <w:cantSplit/>
          <w:tblHeader/>
        </w:trPr>
        <w:tc>
          <w:tcPr>
            <w:tcW w:type="dxa" w:w="158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DEDED"/>
          </w:tcPr>
          <w:p>
            <w:pPr>
              <w:spacing w:after="0" w:line="240" w:lineRule="auto"/>
            </w:pPr>
            <w:r>
              <w:rPr>
                <w:b/>
                <w:sz w:val="20"/>
              </w:rPr>
              <w:t>Pipe option</w:t>
            </w:r>
          </w:p>
        </w:tc>
        <w:tc>
          <w:tcPr>
            <w:tcW w:type="dxa" w:w="331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DEDED"/>
          </w:tcPr>
          <w:p>
            <w:pPr>
              <w:spacing w:after="0" w:line="240" w:lineRule="auto"/>
              <w:jc w:val="center"/>
            </w:pPr>
            <w:r>
              <w:rPr>
                <w:b/>
                <w:sz w:val="20"/>
              </w:rPr>
              <w:t>Initial cost</w:t>
              <w:br/>
              <w:t>(EUR/m assumed)</w:t>
            </w:r>
          </w:p>
        </w:tc>
        <w:tc>
          <w:tcPr>
            <w:tcW w:type="dxa" w:w="288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DEDED"/>
          </w:tcPr>
          <w:p>
            <w:pPr>
              <w:spacing w:after="0" w:line="240" w:lineRule="auto"/>
              <w:jc w:val="center"/>
            </w:pPr>
            <w:r>
              <w:rPr>
                <w:b/>
                <w:sz w:val="20"/>
              </w:rPr>
              <w:t>Fixed loss</w:t>
              <w:br/>
              <w:t>(kW/m)</w:t>
            </w:r>
          </w:p>
        </w:tc>
        <w:tc>
          <w:tcPr>
            <w:tcW w:type="dxa" w:w="244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DEDED"/>
          </w:tcPr>
          <w:p>
            <w:pPr>
              <w:spacing w:after="0" w:line="240" w:lineRule="auto"/>
              <w:jc w:val="center"/>
            </w:pPr>
            <w:r>
              <w:rPr>
                <w:b/>
                <w:sz w:val="20"/>
              </w:rPr>
              <w:t>Capacity</w:t>
              <w:br/>
              <w:t>(kW)</w:t>
            </w:r>
          </w:p>
        </w:tc>
      </w:tr>
      <w:tr>
        <w:trPr>
          <w:cantSplit/>
        </w:trPr>
        <w:tc>
          <w:tcPr>
            <w:tcW w:type="dxa" w:w="158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pPr>
            <w:r>
              <w:rPr>
                <w:b w:val="0"/>
                <w:sz w:val="20"/>
              </w:rPr>
              <w:t>DN-30</w:t>
            </w:r>
          </w:p>
        </w:tc>
        <w:tc>
          <w:tcPr>
            <w:tcW w:type="dxa" w:w="331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491</w:t>
            </w:r>
          </w:p>
        </w:tc>
        <w:tc>
          <w:tcPr>
            <w:tcW w:type="dxa" w:w="288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0.0086</w:t>
            </w:r>
          </w:p>
        </w:tc>
        <w:tc>
          <w:tcPr>
            <w:tcW w:type="dxa" w:w="244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54</w:t>
            </w:r>
          </w:p>
        </w:tc>
      </w:tr>
      <w:tr>
        <w:trPr>
          <w:cantSplit/>
        </w:trPr>
        <w:tc>
          <w:tcPr>
            <w:tcW w:type="dxa" w:w="158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pPr>
            <w:r>
              <w:rPr>
                <w:b w:val="0"/>
                <w:sz w:val="20"/>
              </w:rPr>
              <w:t>DN-50</w:t>
            </w:r>
          </w:p>
        </w:tc>
        <w:tc>
          <w:tcPr>
            <w:tcW w:type="dxa" w:w="331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563</w:t>
            </w:r>
          </w:p>
        </w:tc>
        <w:tc>
          <w:tcPr>
            <w:tcW w:type="dxa" w:w="288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0.0091</w:t>
            </w:r>
          </w:p>
        </w:tc>
        <w:tc>
          <w:tcPr>
            <w:tcW w:type="dxa" w:w="244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179</w:t>
            </w:r>
          </w:p>
        </w:tc>
      </w:tr>
    </w:tbl>
    <w:p>
      <w:pPr>
        <w:spacing w:after="0"/>
      </w:pPr>
    </w:p>
    <w:p>
      <w:r>
        <w:t>491 and 563 come from the course tutorial pipe coefficients. We interpret them as initial EUR/m; they are not annual costs or local construction quotations. The tutorial PDF labels the smaller row DN-32; we use its coefficients as the DN-30 proxy required for Step 1. The 53-54 and 178-179 kW ranges describe installation capacity, not minimum hourly flow; our selected capacities are 54 and 179 kW.</w:t>
      </w:r>
    </w:p>
    <w:p>
      <w:pPr>
        <w:pStyle w:val="Heading2"/>
      </w:pPr>
      <w:r>
        <w:t>How costs are calculated</w:t>
      </w:r>
    </w:p>
    <w:p>
      <w:pPr>
        <w:pStyle w:val="ListBullet"/>
        <w:spacing w:after="120"/>
      </w:pPr>
      <w:r>
        <w:rPr>
          <w:b/>
        </w:rPr>
        <w:t xml:space="preserve">Finance. </w:t>
      </w:r>
      <w:r>
        <w:t>30-year pipe life, 5% discount rate, capital recovery factor 0.0650514 per year. No fuel escalation, residual value or separate decommissioning cost is modelled.</w:t>
      </w:r>
    </w:p>
    <w:p>
      <w:r>
        <w:t>Heat cost = (fuel price / efficiency + variable O and M) / 1,000. This gives (35 / 0.89 + 3) / 1,000 for wood chips and (50 / 0.93 + 2) / 1,000 for gas.</w:t>
      </w:r>
    </w:p>
    <w:p>
      <w:r>
        <w:t>Initial pipe cost = length × 491 or 563. Annual pipe cost = initial cost × 0.0650514. For a 50 m DN-50 pipe: initial EUR 28,150; annual EUR 1,831.20; heat loss 0.455 kW.</w:t>
      </w:r>
    </w:p>
    <w:p>
      <w:r>
        <w:t>Annual total = annualised pipe investment + all hourly boiler heat output × its heat cost × 1 h. Production includes heat supplied to cover network losses. We do not add initial investment or loss fuel costs a second time.</w:t>
      </w:r>
    </w:p>
    <w:p>
      <w:r>
        <w:br w:type="page"/>
      </w:r>
    </w:p>
    <w:p>
      <w:pPr>
        <w:pStyle w:val="Heading1"/>
      </w:pPr>
      <w:r>
        <w:t>Network operation and cost boundary</w:t>
      </w:r>
    </w:p>
    <w:p>
      <w:r>
        <w:t>These settings define what our Step 1 optimisation can decide and what its reported cost means.</w:t>
      </w:r>
    </w:p>
    <w:p>
      <w:pPr>
        <w:pStyle w:val="ListBullet"/>
        <w:spacing w:after="120"/>
      </w:pPr>
      <w:r>
        <w:rPr>
          <w:b/>
        </w:rPr>
        <w:t xml:space="preserve">Design choices. </w:t>
      </w:r>
      <w:r>
        <w:t>Choose whether to install each of the 18 candidate routes and whether to use DN-30 or DN-50. At most one type is allowed on each route. At least one route of each type must be installed. No extra routes or parallel pipes are added by the optimiser.</w:t>
      </w:r>
    </w:p>
    <w:p>
      <w:pPr>
        <w:pStyle w:val="ListBullet"/>
        <w:spacing w:after="120"/>
      </w:pPr>
      <w:r>
        <w:rPr>
          <w:b/>
        </w:rPr>
        <w:t xml:space="preserve">Fixed inputs. </w:t>
      </w:r>
      <w:r>
        <w:t>Consumer profiles, node positions, route lengths, boiler locations and 400 kW capacities are fixed. The optimiser chooses hourly boiler dispatch and heat flow as well as the pipe design.</w:t>
      </w:r>
    </w:p>
    <w:p>
      <w:pPr>
        <w:pStyle w:val="ListBullet"/>
        <w:spacing w:after="120"/>
      </w:pPr>
      <w:r>
        <w:rPr>
          <w:b/>
        </w:rPr>
        <w:t xml:space="preserve">Route length. </w:t>
      </w:r>
      <w:r>
        <w:t>Straight-line distance in the local layout. There is no allowance for street detours, land access, road crossings or construction restrictions. The cost is per modelled route metre; we do not multiply it by two for supply and return.</w:t>
      </w:r>
    </w:p>
    <w:p>
      <w:pPr>
        <w:pStyle w:val="ListBullet"/>
        <w:spacing w:after="120"/>
      </w:pPr>
      <w:r>
        <w:rPr>
          <w:b/>
        </w:rPr>
        <w:t xml:space="preserve">Heat delivery. </w:t>
      </w:r>
      <w:r>
        <w:t>All hourly demand must be supplied. No load shedding is allowed. Heat balances apply at every node, and inlet and outlet flow bounds follow the selected pipe capacity and DHNx connection directions.</w:t>
      </w:r>
    </w:p>
    <w:p>
      <w:pPr>
        <w:pStyle w:val="ListBullet"/>
        <w:spacing w:after="120"/>
      </w:pPr>
      <w:r>
        <w:rPr>
          <w:b/>
        </w:rPr>
        <w:t xml:space="preserve">Flow direction. </w:t>
      </w:r>
      <w:r>
        <w:t>Consumer connections deliver heat to the consumer. Internal and producer connections retain the bidirectional bounds in the DHNx model; an input route orientation is not a prescribed hourly flow direction.</w:t>
      </w:r>
    </w:p>
    <w:p>
      <w:pPr>
        <w:pStyle w:val="ListBullet"/>
        <w:spacing w:after="120"/>
      </w:pPr>
      <w:r>
        <w:rPr>
          <w:b/>
        </w:rPr>
        <w:t xml:space="preserve">Pipe losses. </w:t>
      </w:r>
      <w:r>
        <w:t>Fixed loss = route length × 0.0086 or 0.0091 kW/m, in every hour that the pipe is installed. We assume the network stays hot all year. Capacity-dependent cost and loss coefficients are zero; no separate temperature or soil calculation is used.</w:t>
      </w:r>
    </w:p>
    <w:p>
      <w:pPr>
        <w:pStyle w:val="ListBullet"/>
        <w:spacing w:after="120"/>
      </w:pPr>
      <w:r>
        <w:rPr>
          <w:b/>
        </w:rPr>
        <w:t xml:space="preserve">Boiler operation. </w:t>
      </w:r>
      <w:r>
        <w:t>Heat output can vary continuously from 0 to 400 kW. Efficiency is constant. There are no minimum loads, start-up costs, ramp limits, outages or fuel-supply limits. Fuel energy is expressed on an LHV basis; wood moisture is not a separate model variable.</w:t>
      </w:r>
    </w:p>
    <w:p>
      <w:pPr>
        <w:pStyle w:val="ListBullet"/>
        <w:spacing w:after="120"/>
      </w:pPr>
      <w:r>
        <w:rPr>
          <w:b/>
        </w:rPr>
        <w:t xml:space="preserve">Other equipment. </w:t>
      </w:r>
      <w:r>
        <w:t>No CHP electricity output, heat pump, thermal storage, demand shifting or other inter-hour coupling is included. Supply and return temperatures, water flow rates and pressure drops are not specified or optimised.</w:t>
      </w:r>
    </w:p>
    <w:p>
      <w:pPr>
        <w:pStyle w:val="ListBullet"/>
        <w:spacing w:after="120"/>
      </w:pPr>
      <w:r>
        <w:rPr>
          <w:b/>
        </w:rPr>
        <w:t xml:space="preserve">Included costs. </w:t>
      </w:r>
      <w:r>
        <w:t>Annualised pipe investment, fuel and the stated variable boiler O and M. Gas network charges are represented only by the approximate allowance within the EUR 50/MWh assumption.</w:t>
      </w:r>
    </w:p>
    <w:p>
      <w:pPr>
        <w:pStyle w:val="ListBullet"/>
        <w:spacing w:after="120"/>
      </w:pPr>
      <w:r>
        <w:rPr>
          <w:b/>
        </w:rPr>
        <w:t xml:space="preserve">Excluded costs. </w:t>
      </w:r>
      <w:r>
        <w:t>Boiler purchase and annualised boiler investment, fixed O and M, pumping and boiler auxiliary electricity, connection equipment, separately priced civil works, taxes and carbon charges. The tutorial coefficient is the only pipe investment allowance; additional local construction items have not been estimated.</w:t>
      </w:r>
    </w:p>
    <w:p>
      <w:pPr>
        <w:pStyle w:val="ListBullet"/>
        <w:spacing w:after="120"/>
      </w:pPr>
      <w:r>
        <w:rPr>
          <w:b/>
        </w:rPr>
        <w:t xml:space="preserve">Electricity price. </w:t>
      </w:r>
      <w:r>
        <w:t>No Copenhagen electricity tariff is included because electrical auxiliary consumption is not modelled. The result is a thermal base-case cost, not a complete district-heating business case or customer tariff.</w:t>
      </w:r>
    </w:p>
    <w:p>
      <w:pPr>
        <w:pStyle w:val="ListBullet"/>
        <w:spacing w:after="120"/>
      </w:pPr>
      <w:r>
        <w:rPr>
          <w:b/>
        </w:rPr>
        <w:t xml:space="preserve">Solver and checks. </w:t>
      </w:r>
      <w:r>
        <w:t>DHNx 0.0.4 and oemof.solph 0.6.5; CBC investment solver with an annual Benders loop. Exactly identical demand vectors are grouped into 6,051 states representing all 8,760 hours. Annual cost and feasibility use all states. The stopping tolerance is EUR 0.02 between annual upper and lower bounds, within a 1,800 s search budget.</w:t>
      </w:r>
    </w:p>
    <w:p>
      <w:r>
        <w:br w:type="page"/>
      </w:r>
    </w:p>
    <w:p>
      <w:pPr>
        <w:pStyle w:val="Heading1"/>
      </w:pPr>
      <w:r>
        <w:t>Candidate routes and selected network</w:t>
      </w:r>
    </w:p>
    <w:p>
      <w:r>
        <w:t>The current solution selects 14 routes totalling 417.71 m: 3 DN-30 and 11 DN-50. A dash means that the candidate route is not installed. Pipe IDs below match the CSV outputs.</w:t>
      </w:r>
    </w:p>
    <w:p>
      <w:pPr>
        <w:spacing w:after="60"/>
        <w:jc w:val="center"/>
      </w:pPr>
      <w:r>
        <w:drawing>
          <wp:inline xmlns:a="http://schemas.openxmlformats.org/drawingml/2006/main" xmlns:pic="http://schemas.openxmlformats.org/drawingml/2006/picture">
            <wp:extent cx="5989320" cy="1796796"/>
            <wp:docPr id="1" name="Picture 1"/>
            <wp:cNvGraphicFramePr>
              <a:graphicFrameLocks noChangeAspect="1"/>
            </wp:cNvGraphicFramePr>
            <a:graphic>
              <a:graphicData uri="http://schemas.openxmlformats.org/drawingml/2006/picture">
                <pic:pic>
                  <pic:nvPicPr>
                    <pic:cNvPr id="0" name="team_network.png"/>
                    <pic:cNvPicPr/>
                  </pic:nvPicPr>
                  <pic:blipFill>
                    <a:blip r:embed="rId10"/>
                    <a:stretch>
                      <a:fillRect/>
                    </a:stretch>
                  </pic:blipFill>
                  <pic:spPr>
                    <a:xfrm>
                      <a:off x="0" y="0"/>
                      <a:ext cx="5989320" cy="1796796"/>
                    </a:xfrm>
                    <a:prstGeom prst="rect"/>
                  </pic:spPr>
                </pic:pic>
              </a:graphicData>
            </a:graphic>
          </wp:inline>
        </w:drawing>
      </w:r>
    </w:p>
    <w:tbl>
      <w:tblPr>
        <w:tblW w:type="auto" w:w="0"/>
        <w:jc w:val="center"/>
        <w:tblLayout w:type="fixed"/>
        <w:tblLook w:firstColumn="1" w:firstRow="1" w:lastColumn="0" w:lastRow="0" w:noHBand="0" w:noVBand="1" w:val="04A0"/>
      </w:tblPr>
      <w:tblGrid>
        <w:gridCol w:w="1152"/>
        <w:gridCol w:w="3744"/>
        <w:gridCol w:w="2304"/>
        <w:gridCol w:w="3024"/>
      </w:tblGrid>
      <w:tr>
        <w:trPr>
          <w:cantSplit/>
          <w:tblHeader/>
        </w:trPr>
        <w:tc>
          <w:tcPr>
            <w:tcW w:type="dxa" w:w="115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DEDED"/>
          </w:tcPr>
          <w:p>
            <w:pPr>
              <w:spacing w:after="0" w:line="240" w:lineRule="auto"/>
            </w:pPr>
            <w:r>
              <w:rPr>
                <w:b/>
                <w:sz w:val="20"/>
              </w:rPr>
              <w:t>Pipe ID</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DEDED"/>
          </w:tcPr>
          <w:p>
            <w:pPr>
              <w:spacing w:after="0" w:line="240" w:lineRule="auto"/>
              <w:jc w:val="center"/>
            </w:pPr>
            <w:r>
              <w:rPr>
                <w:b/>
                <w:sz w:val="20"/>
              </w:rPr>
              <w:t>Connection</w:t>
            </w:r>
          </w:p>
        </w:tc>
        <w:tc>
          <w:tcPr>
            <w:tcW w:type="dxa" w:w="230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DEDED"/>
          </w:tcPr>
          <w:p>
            <w:pPr>
              <w:spacing w:after="0" w:line="240" w:lineRule="auto"/>
              <w:jc w:val="center"/>
            </w:pPr>
            <w:r>
              <w:rPr>
                <w:b/>
                <w:sz w:val="20"/>
              </w:rPr>
              <w:t>Length (m)</w:t>
            </w:r>
          </w:p>
        </w:tc>
        <w:tc>
          <w:tcPr>
            <w:tcW w:type="dxa" w:w="30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DEDED"/>
          </w:tcPr>
          <w:p>
            <w:pPr>
              <w:spacing w:after="0" w:line="240" w:lineRule="auto"/>
              <w:jc w:val="center"/>
            </w:pPr>
            <w:r>
              <w:rPr>
                <w:b/>
                <w:sz w:val="20"/>
              </w:rPr>
              <w:t>Selected type</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pPr>
            <w:r>
              <w:rPr>
                <w:b w:val="0"/>
                <w:sz w:val="20"/>
              </w:rPr>
              <w:t>0</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P1 to J1</w:t>
            </w:r>
          </w:p>
        </w:tc>
        <w:tc>
          <w:tcPr>
            <w:tcW w:type="dxa" w:w="230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50.00</w:t>
            </w:r>
          </w:p>
        </w:tc>
        <w:tc>
          <w:tcPr>
            <w:tcW w:type="dxa" w:w="30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DN-50</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pPr>
            <w:r>
              <w:rPr>
                <w:b w:val="0"/>
                <w:sz w:val="20"/>
              </w:rPr>
              <w:t>1</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P2 to J2</w:t>
            </w:r>
          </w:p>
        </w:tc>
        <w:tc>
          <w:tcPr>
            <w:tcW w:type="dxa" w:w="230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50.00</w:t>
            </w:r>
          </w:p>
        </w:tc>
        <w:tc>
          <w:tcPr>
            <w:tcW w:type="dxa" w:w="30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DN-50</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pPr>
            <w:r>
              <w:rPr>
                <w:b w:val="0"/>
                <w:sz w:val="20"/>
              </w:rPr>
              <w:t>2</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J1 to J2</w:t>
            </w:r>
          </w:p>
        </w:tc>
        <w:tc>
          <w:tcPr>
            <w:tcW w:type="dxa" w:w="230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100.00</w:t>
            </w:r>
          </w:p>
        </w:tc>
        <w:tc>
          <w:tcPr>
            <w:tcW w:type="dxa" w:w="30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pPr>
            <w:r>
              <w:rPr>
                <w:b w:val="0"/>
                <w:sz w:val="20"/>
              </w:rPr>
              <w:t>3</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J1 to J3</w:t>
            </w:r>
          </w:p>
        </w:tc>
        <w:tc>
          <w:tcPr>
            <w:tcW w:type="dxa" w:w="230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25.00</w:t>
            </w:r>
          </w:p>
        </w:tc>
        <w:tc>
          <w:tcPr>
            <w:tcW w:type="dxa" w:w="30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DN-30</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pPr>
            <w:r>
              <w:rPr>
                <w:b w:val="0"/>
                <w:sz w:val="20"/>
              </w:rPr>
              <w:t>4</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J1 to J4</w:t>
            </w:r>
          </w:p>
        </w:tc>
        <w:tc>
          <w:tcPr>
            <w:tcW w:type="dxa" w:w="230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25.00</w:t>
            </w:r>
          </w:p>
        </w:tc>
        <w:tc>
          <w:tcPr>
            <w:tcW w:type="dxa" w:w="30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DN-30</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pPr>
            <w:r>
              <w:rPr>
                <w:b w:val="0"/>
                <w:sz w:val="20"/>
              </w:rPr>
              <w:t>5</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J1 to J5</w:t>
            </w:r>
          </w:p>
        </w:tc>
        <w:tc>
          <w:tcPr>
            <w:tcW w:type="dxa" w:w="230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55.90</w:t>
            </w:r>
          </w:p>
        </w:tc>
        <w:tc>
          <w:tcPr>
            <w:tcW w:type="dxa" w:w="30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DN-50</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pPr>
            <w:r>
              <w:rPr>
                <w:b w:val="0"/>
                <w:sz w:val="20"/>
              </w:rPr>
              <w:t>6</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J2 to J5</w:t>
            </w:r>
          </w:p>
        </w:tc>
        <w:tc>
          <w:tcPr>
            <w:tcW w:type="dxa" w:w="230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55.90</w:t>
            </w:r>
          </w:p>
        </w:tc>
        <w:tc>
          <w:tcPr>
            <w:tcW w:type="dxa" w:w="30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pPr>
            <w:r>
              <w:rPr>
                <w:b w:val="0"/>
                <w:sz w:val="20"/>
              </w:rPr>
              <w:t>7</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J2 to J6</w:t>
            </w:r>
          </w:p>
        </w:tc>
        <w:tc>
          <w:tcPr>
            <w:tcW w:type="dxa" w:w="230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25.00</w:t>
            </w:r>
          </w:p>
        </w:tc>
        <w:tc>
          <w:tcPr>
            <w:tcW w:type="dxa" w:w="30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DN-50</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pPr>
            <w:r>
              <w:rPr>
                <w:b w:val="0"/>
                <w:sz w:val="20"/>
              </w:rPr>
              <w:t>8</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J2 to J7</w:t>
            </w:r>
          </w:p>
        </w:tc>
        <w:tc>
          <w:tcPr>
            <w:tcW w:type="dxa" w:w="230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25.00</w:t>
            </w:r>
          </w:p>
        </w:tc>
        <w:tc>
          <w:tcPr>
            <w:tcW w:type="dxa" w:w="30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pPr>
            <w:r>
              <w:rPr>
                <w:b w:val="0"/>
                <w:sz w:val="20"/>
              </w:rPr>
              <w:t>9</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J3 to J5</w:t>
            </w:r>
          </w:p>
        </w:tc>
        <w:tc>
          <w:tcPr>
            <w:tcW w:type="dxa" w:w="230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50.00</w:t>
            </w:r>
          </w:p>
        </w:tc>
        <w:tc>
          <w:tcPr>
            <w:tcW w:type="dxa" w:w="30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pPr>
            <w:r>
              <w:rPr>
                <w:b w:val="0"/>
                <w:sz w:val="20"/>
              </w:rPr>
              <w:t>10</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J5 to J6</w:t>
            </w:r>
          </w:p>
        </w:tc>
        <w:tc>
          <w:tcPr>
            <w:tcW w:type="dxa" w:w="230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50.00</w:t>
            </w:r>
          </w:p>
        </w:tc>
        <w:tc>
          <w:tcPr>
            <w:tcW w:type="dxa" w:w="30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DN-50</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pPr>
            <w:r>
              <w:rPr>
                <w:b w:val="0"/>
                <w:sz w:val="20"/>
              </w:rPr>
              <w:t>11</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J3 to C1</w:t>
            </w:r>
          </w:p>
        </w:tc>
        <w:tc>
          <w:tcPr>
            <w:tcW w:type="dxa" w:w="230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5.00</w:t>
            </w:r>
          </w:p>
        </w:tc>
        <w:tc>
          <w:tcPr>
            <w:tcW w:type="dxa" w:w="30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DN-30</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pPr>
            <w:r>
              <w:rPr>
                <w:b w:val="0"/>
                <w:sz w:val="20"/>
              </w:rPr>
              <w:t>12</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J4 to C2</w:t>
            </w:r>
          </w:p>
        </w:tc>
        <w:tc>
          <w:tcPr>
            <w:tcW w:type="dxa" w:w="230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5.00</w:t>
            </w:r>
          </w:p>
        </w:tc>
        <w:tc>
          <w:tcPr>
            <w:tcW w:type="dxa" w:w="30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DN-50</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pPr>
            <w:r>
              <w:rPr>
                <w:b w:val="0"/>
                <w:sz w:val="20"/>
              </w:rPr>
              <w:t>13</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J5 to C3</w:t>
            </w:r>
          </w:p>
        </w:tc>
        <w:tc>
          <w:tcPr>
            <w:tcW w:type="dxa" w:w="230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5.00</w:t>
            </w:r>
          </w:p>
        </w:tc>
        <w:tc>
          <w:tcPr>
            <w:tcW w:type="dxa" w:w="30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DN-50</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pPr>
            <w:r>
              <w:rPr>
                <w:b w:val="0"/>
                <w:sz w:val="20"/>
              </w:rPr>
              <w:t>14</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J6 to C4</w:t>
            </w:r>
          </w:p>
        </w:tc>
        <w:tc>
          <w:tcPr>
            <w:tcW w:type="dxa" w:w="230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5.00</w:t>
            </w:r>
          </w:p>
        </w:tc>
        <w:tc>
          <w:tcPr>
            <w:tcW w:type="dxa" w:w="30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DN-50</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pPr>
            <w:r>
              <w:rPr>
                <w:b w:val="0"/>
                <w:sz w:val="20"/>
              </w:rPr>
              <w:t>15</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J7 to C5</w:t>
            </w:r>
          </w:p>
        </w:tc>
        <w:tc>
          <w:tcPr>
            <w:tcW w:type="dxa" w:w="230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5.00</w:t>
            </w:r>
          </w:p>
        </w:tc>
        <w:tc>
          <w:tcPr>
            <w:tcW w:type="dxa" w:w="30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DN-50</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pPr>
            <w:r>
              <w:rPr>
                <w:b w:val="0"/>
                <w:sz w:val="20"/>
              </w:rPr>
              <w:t>16</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P1 to J4</w:t>
            </w:r>
          </w:p>
        </w:tc>
        <w:tc>
          <w:tcPr>
            <w:tcW w:type="dxa" w:w="230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55.90</w:t>
            </w:r>
          </w:p>
        </w:tc>
        <w:tc>
          <w:tcPr>
            <w:tcW w:type="dxa" w:w="30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DN-50</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pPr>
            <w:r>
              <w:rPr>
                <w:b w:val="0"/>
                <w:sz w:val="20"/>
              </w:rPr>
              <w:t>17</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P2 to J7</w:t>
            </w:r>
          </w:p>
        </w:tc>
        <w:tc>
          <w:tcPr>
            <w:tcW w:type="dxa" w:w="230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55.90</w:t>
            </w:r>
          </w:p>
        </w:tc>
        <w:tc>
          <w:tcPr>
            <w:tcW w:type="dxa" w:w="30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DN-50</w:t>
            </w:r>
          </w:p>
        </w:tc>
      </w:tr>
    </w:tbl>
    <w:p>
      <w:pPr>
        <w:spacing w:after="0"/>
      </w:pPr>
    </w:p>
    <w:p>
      <w:r>
        <w:t>The DN-30 routes are J1-J3, J1-J4 and J3-C1. All other installed routes use DN-50. Routes 2, 6, 8 and 9 are omitted. This is an optimised thermal layout within our candidate set, not an actual Copenhagen street plan.</w:t>
      </w:r>
    </w:p>
    <w:p>
      <w:r>
        <w:br w:type="page"/>
      </w:r>
    </w:p>
    <w:p>
      <w:pPr>
        <w:pStyle w:val="Heading1"/>
      </w:pPr>
      <w:r>
        <w:t>Current results and handover</w:t>
      </w:r>
    </w:p>
    <w:tbl>
      <w:tblPr>
        <w:tblW w:type="auto" w:w="0"/>
        <w:jc w:val="center"/>
        <w:tblLayout w:type="fixed"/>
        <w:tblLook w:firstColumn="1" w:firstRow="1" w:lastColumn="0" w:lastRow="0" w:noHBand="0" w:noVBand="1" w:val="04A0"/>
      </w:tblPr>
      <w:tblGrid>
        <w:gridCol w:w="6192"/>
        <w:gridCol w:w="4032"/>
      </w:tblGrid>
      <w:tr>
        <w:trPr>
          <w:cantSplit/>
          <w:tblHeader/>
        </w:trPr>
        <w:tc>
          <w:tcPr>
            <w:tcW w:type="dxa" w:w="61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DEDED"/>
          </w:tcPr>
          <w:p>
            <w:pPr>
              <w:spacing w:after="0" w:line="240" w:lineRule="auto"/>
            </w:pPr>
            <w:r>
              <w:rPr>
                <w:b/>
                <w:sz w:val="20"/>
              </w:rPr>
              <w:t>Cost item</w:t>
            </w:r>
          </w:p>
        </w:tc>
        <w:tc>
          <w:tcPr>
            <w:tcW w:type="dxa" w:w="403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DEDED"/>
          </w:tcPr>
          <w:p>
            <w:pPr>
              <w:spacing w:after="0" w:line="240" w:lineRule="auto"/>
              <w:jc w:val="center"/>
            </w:pPr>
            <w:r>
              <w:rPr>
                <w:b/>
                <w:sz w:val="20"/>
              </w:rPr>
              <w:t>Value</w:t>
            </w:r>
          </w:p>
        </w:tc>
      </w:tr>
      <w:tr>
        <w:trPr>
          <w:cantSplit/>
        </w:trPr>
        <w:tc>
          <w:tcPr>
            <w:tcW w:type="dxa" w:w="61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pPr>
            <w:r>
              <w:rPr>
                <w:b w:val="0"/>
                <w:sz w:val="20"/>
              </w:rPr>
              <w:t>Initial pipe investment</w:t>
            </w:r>
          </w:p>
        </w:tc>
        <w:tc>
          <w:tcPr>
            <w:tcW w:type="dxa" w:w="403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EUR 231,207.97</w:t>
            </w:r>
          </w:p>
        </w:tc>
      </w:tr>
      <w:tr>
        <w:trPr>
          <w:cantSplit/>
        </w:trPr>
        <w:tc>
          <w:tcPr>
            <w:tcW w:type="dxa" w:w="61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pPr>
            <w:r>
              <w:rPr>
                <w:b w:val="0"/>
                <w:sz w:val="20"/>
              </w:rPr>
              <w:t>Annualised pipe investment</w:t>
            </w:r>
          </w:p>
        </w:tc>
        <w:tc>
          <w:tcPr>
            <w:tcW w:type="dxa" w:w="403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EUR 15,040.41/year</w:t>
            </w:r>
          </w:p>
        </w:tc>
      </w:tr>
      <w:tr>
        <w:trPr>
          <w:cantSplit/>
        </w:trPr>
        <w:tc>
          <w:tcPr>
            <w:tcW w:type="dxa" w:w="61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pPr>
            <w:r>
              <w:rPr>
                <w:b w:val="0"/>
                <w:sz w:val="20"/>
              </w:rPr>
              <w:t>Wood-chip boiler operation</w:t>
            </w:r>
          </w:p>
        </w:tc>
        <w:tc>
          <w:tcPr>
            <w:tcW w:type="dxa" w:w="403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EUR 74,186.18/year</w:t>
            </w:r>
          </w:p>
        </w:tc>
      </w:tr>
      <w:tr>
        <w:trPr>
          <w:cantSplit/>
        </w:trPr>
        <w:tc>
          <w:tcPr>
            <w:tcW w:type="dxa" w:w="61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pPr>
            <w:r>
              <w:rPr>
                <w:b w:val="0"/>
                <w:sz w:val="20"/>
              </w:rPr>
              <w:t>Gas boiler operation</w:t>
            </w:r>
          </w:p>
        </w:tc>
        <w:tc>
          <w:tcPr>
            <w:tcW w:type="dxa" w:w="403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EUR 10,352.64/year</w:t>
            </w:r>
          </w:p>
        </w:tc>
      </w:tr>
      <w:tr>
        <w:trPr>
          <w:cantSplit/>
        </w:trPr>
        <w:tc>
          <w:tcPr>
            <w:tcW w:type="dxa" w:w="61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pPr>
            <w:r>
              <w:rPr>
                <w:b w:val="0"/>
                <w:sz w:val="20"/>
              </w:rPr>
              <w:t>Total annual model cost</w:t>
            </w:r>
          </w:p>
        </w:tc>
        <w:tc>
          <w:tcPr>
            <w:tcW w:type="dxa" w:w="403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EUR 99,579.23/year</w:t>
            </w:r>
          </w:p>
        </w:tc>
      </w:tr>
    </w:tbl>
    <w:p>
      <w:pPr>
        <w:spacing w:after="0"/>
      </w:pPr>
    </w:p>
    <w:tbl>
      <w:tblPr>
        <w:tblW w:type="auto" w:w="0"/>
        <w:jc w:val="center"/>
        <w:tblLayout w:type="fixed"/>
        <w:tblLook w:firstColumn="1" w:firstRow="1" w:lastColumn="0" w:lastRow="0" w:noHBand="0" w:noVBand="1" w:val="04A0"/>
      </w:tblPr>
      <w:tblGrid>
        <w:gridCol w:w="5256"/>
        <w:gridCol w:w="4968"/>
      </w:tblGrid>
      <w:tr>
        <w:trPr>
          <w:cantSplit/>
          <w:tblHeader/>
        </w:trPr>
        <w:tc>
          <w:tcPr>
            <w:tcW w:type="dxa" w:w="525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DEDED"/>
          </w:tcPr>
          <w:p>
            <w:pPr>
              <w:spacing w:after="0" w:line="240" w:lineRule="auto"/>
            </w:pPr>
            <w:r>
              <w:rPr>
                <w:b/>
                <w:sz w:val="20"/>
              </w:rPr>
              <w:t>Operating result</w:t>
            </w:r>
          </w:p>
        </w:tc>
        <w:tc>
          <w:tcPr>
            <w:tcW w:type="dxa" w:w="49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DEDED"/>
          </w:tcPr>
          <w:p>
            <w:pPr>
              <w:spacing w:after="0" w:line="240" w:lineRule="auto"/>
              <w:jc w:val="center"/>
            </w:pPr>
            <w:r>
              <w:rPr>
                <w:b/>
                <w:sz w:val="20"/>
              </w:rPr>
              <w:t>Value</w:t>
            </w:r>
          </w:p>
        </w:tc>
      </w:tr>
      <w:tr>
        <w:trPr>
          <w:cantSplit/>
        </w:trPr>
        <w:tc>
          <w:tcPr>
            <w:tcW w:type="dxa" w:w="525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pPr>
            <w:r>
              <w:rPr>
                <w:b w:val="0"/>
                <w:sz w:val="20"/>
              </w:rPr>
              <w:t>Delivered heat / generated heat</w:t>
            </w:r>
          </w:p>
        </w:tc>
        <w:tc>
          <w:tcPr>
            <w:tcW w:type="dxa" w:w="49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1,905.34 / 1,938.39 MWh/year</w:t>
            </w:r>
          </w:p>
        </w:tc>
      </w:tr>
      <w:tr>
        <w:trPr>
          <w:cantSplit/>
        </w:trPr>
        <w:tc>
          <w:tcPr>
            <w:tcW w:type="dxa" w:w="525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pPr>
            <w:r>
              <w:rPr>
                <w:b w:val="0"/>
                <w:sz w:val="20"/>
              </w:rPr>
              <w:t>Network heat losses</w:t>
            </w:r>
          </w:p>
        </w:tc>
        <w:tc>
          <w:tcPr>
            <w:tcW w:type="dxa" w:w="49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33.06 MWh/year; 1.73% of demand</w:t>
            </w:r>
          </w:p>
        </w:tc>
      </w:tr>
      <w:tr>
        <w:trPr>
          <w:cantSplit/>
        </w:trPr>
        <w:tc>
          <w:tcPr>
            <w:tcW w:type="dxa" w:w="525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pPr>
            <w:r>
              <w:rPr>
                <w:b w:val="0"/>
                <w:sz w:val="20"/>
              </w:rPr>
              <w:t>Wood-chip supply / peak output</w:t>
            </w:r>
          </w:p>
        </w:tc>
        <w:tc>
          <w:tcPr>
            <w:tcW w:type="dxa" w:w="49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1,752.74 MWh; 325.91 kW</w:t>
            </w:r>
          </w:p>
        </w:tc>
      </w:tr>
      <w:tr>
        <w:trPr>
          <w:cantSplit/>
        </w:trPr>
        <w:tc>
          <w:tcPr>
            <w:tcW w:type="dxa" w:w="525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pPr>
            <w:r>
              <w:rPr>
                <w:b w:val="0"/>
                <w:sz w:val="20"/>
              </w:rPr>
              <w:t>Gas supply / peak output</w:t>
            </w:r>
          </w:p>
        </w:tc>
        <w:tc>
          <w:tcPr>
            <w:tcW w:type="dxa" w:w="49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185.65 MWh; 270.08 kW</w:t>
            </w:r>
          </w:p>
        </w:tc>
      </w:tr>
      <w:tr>
        <w:trPr>
          <w:cantSplit/>
        </w:trPr>
        <w:tc>
          <w:tcPr>
            <w:tcW w:type="dxa" w:w="525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pPr>
            <w:r>
              <w:rPr>
                <w:b w:val="0"/>
                <w:sz w:val="20"/>
              </w:rPr>
              <w:t>Cost per delivered heat</w:t>
            </w:r>
          </w:p>
        </w:tc>
        <w:tc>
          <w:tcPr>
            <w:tcW w:type="dxa" w:w="49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0" w:line="240" w:lineRule="auto"/>
              <w:jc w:val="center"/>
            </w:pPr>
            <w:r>
              <w:rPr>
                <w:b w:val="0"/>
                <w:sz w:val="20"/>
              </w:rPr>
              <w:t>EUR 0.05226/kWh</w:t>
            </w:r>
          </w:p>
        </w:tc>
      </w:tr>
    </w:tbl>
    <w:p>
      <w:pPr>
        <w:spacing w:after="0"/>
      </w:pPr>
    </w:p>
    <w:p>
      <w:r>
        <w:t>Wood chips provide 90.42% of generated heat and gas 9.58%. All 8,760 hours are feasible, with no flow-bound violation. The annual bound gap is EUR 0.0109, or 0.0000109%; the chosen design meets the numerical tolerance for this model. Pipe IDs 4 and 5 reach 100% utilisation. No outage security or future load margin has been demonstrated.</w:t>
      </w:r>
    </w:p>
    <w:p>
      <w:pPr>
        <w:pStyle w:val="Heading2"/>
      </w:pPr>
      <w:r>
        <w:t>The three Step 1 points</w:t>
      </w:r>
    </w:p>
    <w:p>
      <w:pPr>
        <w:pStyle w:val="ListBullet"/>
        <w:spacing w:after="120"/>
      </w:pPr>
      <w:r>
        <w:rPr>
          <w:b/>
        </w:rPr>
        <w:t xml:space="preserve">How pipe types are chosen. </w:t>
      </w:r>
      <w:r>
        <w:t>The optimiser balances investment, losses, capacity and access to the cheaper producer while supplying every consumer in every hour. Both pipe types are required to appear in the design.</w:t>
      </w:r>
    </w:p>
    <w:p>
      <w:pPr>
        <w:pStyle w:val="ListBullet"/>
        <w:spacing w:after="120"/>
      </w:pPr>
      <w:r>
        <w:rPr>
          <w:b/>
        </w:rPr>
        <w:t xml:space="preserve">Cost capacity and loss differences. </w:t>
      </w:r>
      <w:r>
        <w:t>DN-50 costs EUR 72/m more, has 3.31 times the capacity and a slightly higher fixed loss than DN-30. Its extra capacity can justify the investment on heavily used routes.</w:t>
      </w:r>
    </w:p>
    <w:p>
      <w:pPr>
        <w:pStyle w:val="ListBullet"/>
        <w:spacing w:after="120"/>
      </w:pPr>
      <w:r>
        <w:rPr>
          <w:b/>
        </w:rPr>
        <w:t xml:space="preserve">Why position matters. </w:t>
      </w:r>
      <w:r>
        <w:t>C1 peaks at 50.50 kW and can use DN-30. The other four terminal connections need DN-50. Internal J1-J4 can use DN-30 because it shares supply with P1-J4; its own flow, rather than total local demand, determines the required size.</w:t>
      </w:r>
    </w:p>
    <w:p>
      <w:pPr>
        <w:pStyle w:val="Heading2"/>
      </w:pPr>
      <w:r>
        <w:t>For the next steps</w:t>
      </w:r>
    </w:p>
    <w:p>
      <w:r>
        <w:t>Please retain the same profile assignments, node labels, prices, cost units and financial basis unless we agree on a change. Use selected_pipes.csv for the design, producer_results.csv for supply and costs, and hourly_results.csv for hourly demand and dispatch. The new results replace the earlier EUR 30/MWh wood and EUR 70/MWh gas scenario.</w:t>
      </w:r>
    </w:p>
    <w:p>
      <w:r>
        <w:t>Before final submission, agree on the DN-30 proxy and pipe cost unit, confirm whether a specific site is needed, and decide whether to extend the cost boundary to electricity, boiler investment, taxes or hydraulics. Any extension needs new inputs and a consistent rerun.</w:t>
      </w:r>
    </w:p>
    <w:p>
      <w:r>
        <w:rPr>
          <w:sz w:val="18"/>
        </w:rPr>
        <w:t>Source notes: course Project 2 description, tutorial pipe table and supplied heating profiles; Danish Energy Agency SØB25 (March 2026) and gas statistics for H2 2025; EUR/DKK conversion at 7.46038. Fuel source links: ens.dk/media/7843/download and ens.dk/media/8492/download.</w:t>
      </w:r>
    </w:p>
    <w:sectPr w:rsidR="00FC693F" w:rsidRPr="0006063C" w:rsidSect="00034616">
      <w:footerReference w:type="default" r:id="rId9"/>
      <w:pgSz w:w="12240" w:h="15840"/>
      <w:pgMar w:top="936" w:right="1008" w:bottom="936" w:left="1008"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MJ2505 Step 1 assumptions and base network results</dc:title>
  <dc:subject/>
  <dc:creator>Jiawei Wang</dc:creator>
  <cp:keywords/>
  <dc:description>generated by python-docx</dc:description>
  <cp:lastModifiedBy/>
  <cp:revision>1</cp:revision>
  <dcterms:created xsi:type="dcterms:W3CDTF">2013-12-23T23:15:00Z</dcterms:created>
  <dcterms:modified xsi:type="dcterms:W3CDTF">2013-12-23T23:15:00Z</dcterms:modified>
  <cp:category/>
</cp:coreProperties>
</file>