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2.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6" w:name="orpheus-guitar-studio-user-manual-v6"/>
    <w:p>
      <w:pPr>
        <w:pStyle w:val="Heading1"/>
      </w:pPr>
      <w:r>
        <w:t xml:space="preserve">Orpheus Guitar Studio — User Manual (v6)</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b33bebb4e61e7ae16f79e767991318f5b181468">
        <w:r>
          <w:rPr>
            <w:rStyle w:val="Hyperlink"/>
          </w:rPr>
          <w:t xml:space="preserve">Keyboard shortcuts</w:t>
        </w:r>
      </w:hyperlink>
    </w:p>
    <w:p>
      <w:pPr>
        <w:numPr>
          <w:ilvl w:val="0"/>
          <w:numId w:val="1001"/>
        </w:numPr>
        <w:pStyle w:val="Compact"/>
      </w:pPr>
      <w:hyperlink w:anchor="Xcc538b59fc8688663e17926a1e4499cd83dfccf">
        <w:r>
          <w:rPr>
            <w:rStyle w:val="Hyperlink"/>
          </w:rPr>
          <w:t xml:space="preserve">Troubleshooting</w:t>
        </w:r>
      </w:hyperlink>
    </w:p>
    <w:p>
      <w:pPr>
        <w:numPr>
          <w:ilvl w:val="0"/>
          <w:numId w:val="1001"/>
        </w:numPr>
        <w:pStyle w:val="Compact"/>
      </w:pPr>
      <w:hyperlink w:anchor="X96f6793e15f7c6fd022a096216e1676c873b196">
        <w:r>
          <w:rPr>
            <w:rStyle w:val="Hyperlink"/>
          </w:rPr>
          <w:t xml:space="preserve">Known limitations</w:t>
        </w:r>
      </w:hyperlink>
    </w:p>
    <w:p>
      <w:pPr>
        <w:numPr>
          <w:ilvl w:val="0"/>
          <w:numId w:val="1001"/>
        </w:numPr>
        <w:pStyle w:val="Compact"/>
      </w:pPr>
      <w:hyperlink w:anchor="X36bf8c64fa436f30a091aa55f965cabcfe2212f">
        <w:r>
          <w:rPr>
            <w:rStyle w:val="Hyperlink"/>
          </w:rPr>
          <w:t xml:space="preserve">File locations reference</w:t>
        </w:r>
      </w:hyperlink>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r>
        <w:t xml:space="preserve"> </w:t>
      </w:r>
      <w:r>
        <w:rPr>
          <w:bCs/>
          <w:b/>
        </w:rPr>
        <w:t xml:space="preserve">Known rough edges:</w:t>
      </w:r>
      <w:r>
        <w:t xml:space="preserve"> </w:t>
      </w:r>
      <w:r>
        <w:t xml:space="preserve">on riff-heavy songs, the ribbon can read as busier than the underlying</w:t>
      </w:r>
      <w:r>
        <w:t xml:space="preserve"> </w:t>
      </w:r>
      <w:r>
        <w:t xml:space="preserve">harmony actually is (individual moving notes flipping the per-beat</w:t>
      </w:r>
      <w:r>
        <w:t xml:space="preserve"> </w:t>
      </w:r>
      <w:r>
        <w:t xml:space="preserve">read rather than the rhythm part changing chord) — judge by ear, and</w:t>
      </w:r>
      <w:r>
        <w:t xml:space="preserve"> </w:t>
      </w:r>
      <w:r>
        <w:t xml:space="preserve">treat a wall of rapidly-alternating chips as</w:t>
      </w:r>
      <w:r>
        <w:t xml:space="preserve"> </w:t>
      </w:r>
      <w:r>
        <w:t xml:space="preserve">“</w:t>
      </w:r>
      <w:r>
        <w:t xml:space="preserve">this section is</w:t>
      </w:r>
      <w:r>
        <w:t xml:space="preserve"> </w:t>
      </w:r>
      <w:r>
        <w:t xml:space="preserve">riff-based,</w:t>
      </w:r>
      <w:r>
        <w:t xml:space="preserve">”</w:t>
      </w:r>
      <w:r>
        <w:t xml:space="preserve"> </w:t>
      </w:r>
      <w:r>
        <w:t xml:space="preserve">not as literal chord-by-chord accuracy. And 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Three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pStyle w:val="FirstParagraph"/>
      </w:pPr>
      <w:r>
        <w:t xml:space="preserve">None of the three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three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(its light-mode</w:t>
      </w:r>
      <w:r>
        <w:t xml:space="preserve"> </w:t>
      </w:r>
      <w:r>
        <w:t xml:space="preserve">counterpart — a white/paper background with dark text, same spark-gold</w:t>
      </w:r>
      <w:r>
        <w:t xml:space="preserve"> </w:t>
      </w:r>
      <w:r>
        <w:t xml:space="preserve">accent identity), and</w:t>
      </w:r>
      <w:r>
        <w:t xml:space="preserve"> </w:t>
      </w:r>
      <w:r>
        <w:rPr>
          <w:bCs/>
          <w:b/>
        </w:rPr>
        <w:t xml:space="preserve">Studio</w:t>
      </w:r>
      <w:r>
        <w:t xml:space="preserve"> </w:t>
      </w:r>
      <w:r>
        <w:t xml:space="preserve">🌙 (the original quieter blue-grey</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Your choice is</w:t>
      </w:r>
      <w:r>
        <w:t xml:space="preserve"> </w:t>
      </w:r>
      <w:r>
        <w:t xml:space="preserve">remembered across reloads with no flash of the wrong theme while the</w:t>
      </w:r>
      <w:r>
        <w:t xml:space="preserve"> </w:t>
      </w:r>
      <w:r>
        <w:t xml:space="preserve">page loads. Every themed surface reskins together, including the chord</w:t>
      </w:r>
      <w:r>
        <w:t xml:space="preserve"> </w:t>
      </w:r>
      <w:r>
        <w:t xml:space="preserve">ribbon (Mixer and AI Lab’s Scales tab both use the same color as that</w:t>
      </w:r>
      <w:r>
        <w:t xml:space="preserve"> </w:t>
      </w:r>
      <w:r>
        <w:t xml:space="preserve">song’s stem waveforms, so chord analysis reads as belonging to the</w:t>
      </w:r>
      <w:r>
        <w:t xml:space="preserve"> </w:t>
      </w:r>
      <w:r>
        <w:t xml:space="preserve">audio it describes) and the stem 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95517be8d1a18ecafddf6a6c9523903dbc5275a"/>
    <w:p>
      <w:pPr>
        <w:pStyle w:val="Heading3"/>
      </w:pPr>
      <w:r>
        <w:t xml:space="preserve">4.9 NAM performance — why some captures won’t load</w:t>
      </w:r>
    </w:p>
    <w:p>
      <w:pPr>
        <w:pStyle w:val="FirstParagraph"/>
      </w:pPr>
      <w:r>
        <w:t xml:space="preserve">Real-time neural amp inference is genuinely demanding, and not every</w:t>
      </w:r>
      <w:r>
        <w:t xml:space="preserve"> </w:t>
      </w:r>
      <w:r>
        <w:rPr>
          <w:rStyle w:val="VerbatimChar"/>
        </w:rPr>
        <w:t xml:space="preserve">.nam</w:t>
      </w:r>
      <w:r>
        <w:t xml:space="preserve"> </w:t>
      </w:r>
      <w:r>
        <w:t xml:space="preserve">capture in a large community library can run live on every Mac.</w:t>
      </w:r>
      <w:r>
        <w:t xml:space="preserve"> </w:t>
      </w:r>
      <w:r>
        <w:t xml:space="preserve">Before a model goes live, it’s benchmarked automatically; if it can’t keep</w:t>
      </w:r>
      <w:r>
        <w:t xml:space="preserve"> </w:t>
      </w:r>
      <w:r>
        <w:t xml:space="preserve">up in real time, you’ll see a plain message instead of it silently</w:t>
      </w:r>
      <w:r>
        <w:t xml:space="preserve"> </w:t>
      </w:r>
      <w:r>
        <w:t xml:space="preserve">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those are built to be lighter to run</w:t>
      </w:r>
      <w:r>
        <w:t xml:space="preserve"> </w:t>
      </w:r>
      <w:r>
        <w:t xml:space="preserve">and are usually the better choice for live playing anyway. The engine</w:t>
      </w:r>
      <w:r>
        <w:t xml:space="preserve"> </w:t>
      </w:r>
      <w:r>
        <w:t xml:space="preserve">itself runs on WebAssembly with SIMD where your browser supports it (about</w:t>
      </w:r>
      <w:r>
        <w:t xml:space="preserve"> </w:t>
      </w:r>
      <w:r>
        <w:t xml:space="preserve">10× faster than the pure-JavaScript fallback it silently drops back to</w:t>
      </w:r>
      <w:r>
        <w:t xml:space="preserve"> </w:t>
      </w:r>
      <w:r>
        <w:t xml:space="preserve">otherwise) — if a capture is refused, it’s genuinely too heavy for this</w:t>
      </w:r>
      <w:r>
        <w:t xml:space="preserve"> </w:t>
      </w:r>
      <w:r>
        <w:t xml:space="preserve">machine right now, not a bug to work around.</w:t>
      </w:r>
    </w:p>
    <w:p>
      <w:r>
        <w:pict>
          <v:rect style="width:0;height:1.5pt" o:hralign="center" o:hrstd="t" o:hr="t"/>
        </w:pict>
      </w:r>
    </w:p>
    <w:bookmarkEnd w:id="68"/>
    <w:bookmarkEnd w:id="69"/>
    <w:bookmarkStart w:id="87"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4"/>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4"/>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4"/>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4"/>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5"/>
        </w:numPr>
        <w:pStyle w:val="Compact"/>
      </w:pPr>
      <w:r>
        <w:rPr>
          <w:bCs/>
          <w:b/>
        </w:rPr>
        <w:t xml:space="preserve">● Record</w:t>
      </w:r>
      <w:r>
        <w:t xml:space="preserve"> </w:t>
      </w:r>
      <w:r>
        <w:t xml:space="preserve">(nothing recorded yet) → starts recording.</w:t>
      </w:r>
    </w:p>
    <w:p>
      <w:pPr>
        <w:numPr>
          <w:ilvl w:val="0"/>
          <w:numId w:val="1015"/>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5"/>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5"/>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6"/>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6"/>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8"/>
    <w:bookmarkStart w:id="79"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7"/>
        </w:numPr>
        <w:pStyle w:val="Compact"/>
      </w:pPr>
      <w:r>
        <w:rPr>
          <w:bCs/>
          <w:b/>
        </w:rPr>
        <w:t xml:space="preserve">★ / ☆</w:t>
      </w:r>
      <w:r>
        <w:t xml:space="preserve"> </w:t>
      </w:r>
      <w:r>
        <w:t xml:space="preserve">— star a take to flag a keeper.</w:t>
      </w:r>
    </w:p>
    <w:p>
      <w:pPr>
        <w:numPr>
          <w:ilvl w:val="0"/>
          <w:numId w:val="1017"/>
        </w:numPr>
        <w:pStyle w:val="Compact"/>
      </w:pPr>
      <w:r>
        <w:rPr>
          <w:bCs/>
          <w:b/>
        </w:rPr>
        <w:t xml:space="preserve">Play</w:t>
      </w:r>
      <w:r>
        <w:t xml:space="preserve"> </w:t>
      </w:r>
      <w:r>
        <w:t xml:space="preserve">— loads it into a small player below the list.</w:t>
      </w:r>
    </w:p>
    <w:p>
      <w:pPr>
        <w:numPr>
          <w:ilvl w:val="0"/>
          <w:numId w:val="1017"/>
        </w:numPr>
        <w:pStyle w:val="Compact"/>
      </w:pPr>
      <w:r>
        <w:rPr>
          <w:bCs/>
          <w:b/>
        </w:rPr>
        <w:t xml:space="preserve">Rename</w:t>
      </w:r>
      <w:r>
        <w:t xml:space="preserve"> </w:t>
      </w:r>
      <w:r>
        <w:t xml:space="preserve">— rename in place.</w:t>
      </w:r>
    </w:p>
    <w:p>
      <w:pPr>
        <w:numPr>
          <w:ilvl w:val="0"/>
          <w:numId w:val="1017"/>
        </w:numPr>
        <w:pStyle w:val="Compact"/>
      </w:pPr>
      <w:r>
        <w:rPr>
          <w:bCs/>
          <w:b/>
        </w:rPr>
        <w:t xml:space="preserve">Reveal</w:t>
      </w:r>
      <w:r>
        <w:t xml:space="preserve"> </w:t>
      </w:r>
      <w:r>
        <w:t xml:space="preserve">— show it in Finder.</w:t>
      </w:r>
    </w:p>
    <w:p>
      <w:pPr>
        <w:numPr>
          <w:ilvl w:val="0"/>
          <w:numId w:val="1017"/>
        </w:numPr>
        <w:pStyle w:val="Compact"/>
      </w:pPr>
      <w:r>
        <w:rPr>
          <w:bCs/>
          <w:b/>
        </w:rPr>
        <w:t xml:space="preserve">Delete</w:t>
      </w:r>
      <w:r>
        <w:t xml:space="preserve"> </w:t>
      </w:r>
      <w:r>
        <w:t xml:space="preserve">— permanent, asks to confirm first.</w:t>
      </w:r>
    </w:p>
    <w:p>
      <w:pPr>
        <w:numPr>
          <w:ilvl w:val="0"/>
          <w:numId w:val="1017"/>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79"/>
    <w:bookmarkStart w:id="80"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0"/>
    <w:bookmarkStart w:id="81"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1"/>
    <w:bookmarkStart w:id="85"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18"/>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18"/>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18"/>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19"/>
        </w:numPr>
        <w:pStyle w:val="Compact"/>
      </w:pPr>
      <w:r>
        <w:t xml:space="preserve">Date, time, and duration.</w:t>
      </w:r>
    </w:p>
    <w:p>
      <w:pPr>
        <w:numPr>
          <w:ilvl w:val="1"/>
          <w:numId w:val="1019"/>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19"/>
        </w:numPr>
        <w:pStyle w:val="Compact"/>
      </w:pPr>
      <w:r>
        <w:t xml:space="preserve">A notes field (60 characters) for anything worth remembering about</w:t>
      </w:r>
      <w:r>
        <w:t xml:space="preserve"> </w:t>
      </w:r>
      <w:r>
        <w:t xml:space="preserve">that session — what you worked on, what clicked.</w:t>
      </w:r>
    </w:p>
    <w:p>
      <w:pPr>
        <w:numPr>
          <w:ilvl w:val="1"/>
          <w:numId w:val="1019"/>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3" name="Picture"/>
            <a:graphic>
              <a:graphicData uri="http://schemas.openxmlformats.org/drawingml/2006/picture">
                <pic:pic>
                  <pic:nvPicPr>
                    <pic:cNvPr descr="docs/screenshots/practice-log-card.png" id="84" name="Picture"/>
                    <pic:cNvPicPr>
                      <a:picLocks noChangeArrowheads="1" noChangeAspect="1"/>
                    </pic:cNvPicPr>
                  </pic:nvPicPr>
                  <pic:blipFill>
                    <a:blip r:embed="rId82"/>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5"/>
    <w:bookmarkStart w:id="86"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6"/>
    <w:bookmarkEnd w:id="87"/>
    <w:bookmarkStart w:id="91" w:name="ai-lab"/>
    <w:p>
      <w:pPr>
        <w:pStyle w:val="Heading2"/>
      </w:pPr>
      <w:r>
        <w:t xml:space="preserve">6. AI Lab</w:t>
      </w:r>
    </w:p>
    <w:p>
      <w:pPr>
        <w:pStyle w:val="FirstParagraph"/>
      </w:pPr>
      <w:r>
        <w:t xml:space="preserve">A fourth screen alongside Mixer / Tone Lab / Play Along, opened with the</w:t>
      </w:r>
      <w:r>
        <w:t xml:space="preserve"> </w:t>
      </w:r>
      <w:r>
        <w:t xml:space="preserve">🧠</w:t>
      </w:r>
      <w:r>
        <w:t xml:space="preserve"> </w:t>
      </w:r>
      <w:r>
        <w:rPr>
          <w:bCs/>
          <w:b/>
        </w:rPr>
        <w:t xml:space="preserve">AI Lab</w:t>
      </w:r>
      <w:r>
        <w:t xml:space="preserve"> </w:t>
      </w:r>
      <w:r>
        <w:t xml:space="preserve">button in the sidebar. A tab bar along the top switches</w:t>
      </w:r>
      <w:r>
        <w:t xml:space="preserve"> </w:t>
      </w:r>
      <w:r>
        <w:t xml:space="preserve">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8"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0"/>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0"/>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8"/>
    <w:bookmarkStart w:id="89"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89"/>
    <w:bookmarkStart w:id="90"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then click</w:t>
      </w:r>
      <w:r>
        <w:t xml:space="preserve"> </w:t>
      </w:r>
      <w:r>
        <w:rPr>
          <w:bCs/>
          <w:b/>
        </w:rPr>
        <w:t xml:space="preserve">Save</w:t>
      </w:r>
      <w:r>
        <w:t xml:space="preserve">. Stored</w:t>
      </w:r>
      <w:r>
        <w:t xml:space="preserve"> </w:t>
      </w:r>
      <w:r>
        <w:t xml:space="preserve">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1"/>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1"/>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1"/>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2"/>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2"/>
        </w:numPr>
        <w:pStyle w:val="Compact"/>
      </w:pPr>
      <w:r>
        <w:t xml:space="preserve">its</w:t>
      </w:r>
      <w:r>
        <w:t xml:space="preserve"> </w:t>
      </w:r>
      <w:r>
        <w:rPr>
          <w:bCs/>
          <w:b/>
        </w:rPr>
        <w:t xml:space="preserve">time range and length in bars</w:t>
      </w:r>
      <w:r>
        <w:t xml:space="preserve">;</w:t>
      </w:r>
    </w:p>
    <w:p>
      <w:pPr>
        <w:numPr>
          <w:ilvl w:val="0"/>
          <w:numId w:val="1022"/>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2"/>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2"/>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2"/>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0"/>
    <w:bookmarkEnd w:id="91"/>
    <w:bookmarkStart w:id="92" w:name="keyboard-shortcuts"/>
    <w:p>
      <w:pPr>
        <w:pStyle w:val="Heading2"/>
      </w:pPr>
      <w:r>
        <w:t xml:space="preserve">7.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2"/>
    <w:bookmarkStart w:id="93" w:name="troubleshooting"/>
    <w:p>
      <w:pPr>
        <w:pStyle w:val="Heading2"/>
      </w:pPr>
      <w:r>
        <w:t xml:space="preserve">8.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t xml:space="preserve">It’s too demanding to run live on this machine (§4.9) — try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3"/>
    <w:bookmarkStart w:id="94" w:name="X3e8c6eac452190b73a8cefc6b69e7df217c60fb"/>
    <w:p>
      <w:pPr>
        <w:pStyle w:val="Heading2"/>
      </w:pPr>
      <w:r>
        <w:t xml:space="preserve">9. Known limitations (by design, not oversights)</w:t>
      </w:r>
    </w:p>
    <w:p>
      <w:pPr>
        <w:numPr>
          <w:ilvl w:val="0"/>
          <w:numId w:val="1023"/>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3"/>
        </w:numPr>
        <w:pStyle w:val="Compact"/>
      </w:pPr>
      <w:r>
        <w:t xml:space="preserve">Guitar split is a panning guess, never a guaranteed lead/rhythm</w:t>
      </w:r>
      <w:r>
        <w:t xml:space="preserve"> </w:t>
      </w:r>
      <w:r>
        <w:t xml:space="preserve">separation.</w:t>
      </w:r>
    </w:p>
    <w:p>
      <w:pPr>
        <w:numPr>
          <w:ilvl w:val="0"/>
          <w:numId w:val="1023"/>
        </w:numPr>
        <w:pStyle w:val="Compact"/>
      </w:pPr>
      <w:r>
        <w:t xml:space="preserve">NAM inference here is a from-scratch reimplementation of the standard</w:t>
      </w:r>
      <w:r>
        <w:t xml:space="preserve"> </w:t>
      </w:r>
      <w:r>
        <w:t xml:space="preserve">WaveNet architecture (with an optional WebAssembly/SIMD fast path), not</w:t>
      </w:r>
      <w:r>
        <w:t xml:space="preserve"> </w:t>
      </w:r>
      <w:r>
        <w:t xml:space="preserve">the official reference runtime — quality is good but this isn’t a</w:t>
      </w:r>
      <w:r>
        <w:t xml:space="preserve"> </w:t>
      </w:r>
      <w:r>
        <w:t xml:space="preserve">certified bit-exact match to official NAM plugins, and heavier captures</w:t>
      </w:r>
      <w:r>
        <w:t xml:space="preserve"> </w:t>
      </w:r>
      <w:r>
        <w:t xml:space="preserve">may be refused on slower machines rather than glitch your audio (§4.9).</w:t>
      </w:r>
    </w:p>
    <w:p>
      <w:pPr>
        <w:numPr>
          <w:ilvl w:val="0"/>
          <w:numId w:val="1023"/>
        </w:numPr>
        <w:pStyle w:val="Compact"/>
      </w:pPr>
      <w:r>
        <w:t xml:space="preserve">The tone-suggestion feature is a cheap heuristic, explicitly not a</w:t>
      </w:r>
      <w:r>
        <w:t xml:space="preserve"> </w:t>
      </w:r>
      <w:r>
        <w:t xml:space="preserve">guaranteed match — always finish tone-matching by ear.</w:t>
      </w:r>
    </w:p>
    <w:p>
      <w:pPr>
        <w:numPr>
          <w:ilvl w:val="0"/>
          <w:numId w:val="1023"/>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3"/>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3"/>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3"/>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bookmarkEnd w:id="94"/>
    <w:bookmarkStart w:id="95" w:name="file-locations-reference"/>
    <w:p>
      <w:pPr>
        <w:pStyle w:val="Heading2"/>
      </w:pPr>
      <w:r>
        <w:t xml:space="preserve">10.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2" Target="media/rId82.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2026-07-25T08:01:22Z</dcterms:created>
  <dcterms:modified xsi:type="dcterms:W3CDTF">2026-07-25T08:01:22Z</dcterms:modified>
</cp:coreProperties>
</file>

<file path=docProps/custom.xml><?xml version="1.0" encoding="utf-8"?>
<Properties xmlns="http://schemas.openxmlformats.org/officeDocument/2006/custom-properties" xmlns:vt="http://schemas.openxmlformats.org/officeDocument/2006/docPropsVTypes"/>
</file>