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Бизнес-план: шаурма-киоск в московском стиле (Лондон)</w:t>
      </w:r>
    </w:p>
    <w:p>
      <w:pPr>
        <w:jc w:val="center"/>
      </w:pPr>
      <w:r>
        <w:rPr>
          <w:i/>
        </w:rPr>
        <w:t>Уличный киоск • Челси / Саут-Кенсингтон • 2026</w:t>
      </w:r>
    </w:p>
    <w:p/>
    <w:p>
      <w:r>
        <w:rPr>
          <w:b w:val="0"/>
          <w:i w:val="0"/>
        </w:rPr>
        <w:t>Проект: небольшой уличный киоск (несколько кв. м) по продаже шаурмы в московском стиле — на курице, с майонезным соусом, в армянском лаваше.</w:t>
      </w:r>
    </w:p>
    <w:p>
      <w:r>
        <w:rPr>
          <w:b w:val="0"/>
          <w:i w:val="0"/>
        </w:rPr>
        <w:t>Локация: Kensington &amp; Chelsea (Челси / Саут-Кенсингтон), уличная точка (street trading).</w:t>
      </w:r>
    </w:p>
    <w:p>
      <w:r>
        <w:rPr>
          <w:b w:val="0"/>
          <w:i w:val="0"/>
        </w:rPr>
        <w:t>Формат: takeaway, горячая еда, средний чек премиального уровня. Валюта: фунт стерлингов (£).</w:t>
      </w:r>
    </w:p>
    <w:p>
      <w:r>
        <w:rPr>
          <w:b w:val="0"/>
          <w:i/>
        </w:rPr>
        <w:t>Финансовые расчёты — в файле «Финансовая_модель.xlsx». Ниже — качественная часть плана; ключевые цифры продублированы в разделе 9.</w:t>
      </w:r>
    </w:p>
    <w:p>
      <w:pPr>
        <w:pStyle w:val="Heading1"/>
      </w:pPr>
      <w:r>
        <w:t>1. Резюме проекта (Executive Summary)</w:t>
      </w:r>
    </w:p>
    <w:p>
      <w:r>
        <w:rPr>
          <w:b w:val="0"/>
          <w:i w:val="0"/>
        </w:rPr>
        <w:t>Мы открываем компактный уличный киоск, готовящий шаурму в московском стиле — узнаваемый для выходцев из СНГ продукт: курица-гриль, майонезно-чесночный соус, тонкий армянский лаваш, свежие овощи и картофель фри внутри. Продукт закрывает нишу, слабо представленную в премиальных районах Лондона, где доминируют ближневосточный донер-кебаб и турецкая шаурма с другим вкусовым профилем.</w:t>
      </w:r>
    </w:p>
    <w:p>
      <w:r>
        <w:rPr>
          <w:b w:val="0"/>
          <w:i w:val="0"/>
        </w:rPr>
        <w:t>Локация — Челси / Саут-Кенсингтон (боро Kensington &amp; Chelsea), исторический центр состоятельной русско- и СНГ-диаспоры («Londongrad»). Ставка — на ностальгический и премиальный сегмент: высокий средний чек, качество, узнаваемый вкус.</w:t>
      </w:r>
    </w:p>
    <w:p>
      <w:r>
        <w:rPr>
          <w:b w:val="0"/>
          <w:i w:val="0"/>
        </w:rPr>
        <w:t>Экономика (базовый сценарий): ~90 заказов/день, средний чек £9.50 (с НДС), выручка ~£285k брутто в год. Себестоимость порции ~£2.85 (фудкост ≈30% от чека с НДС / ≈36% от нетто-выручки). Проект выходит на операционную прибыль (EBITDA ~£22k); чистая прибыль Года 1 ~£9k — тонкая, но положительная (запас над точкой безубыточности небольшой, ~8%). Точка безубыточности и сценарии — в модели.</w:t>
      </w:r>
    </w:p>
    <w:p>
      <w:r>
        <w:rPr>
          <w:b w:val="0"/>
          <w:i w:val="0"/>
        </w:rPr>
        <w:t>Стартовые вложения: ориентировочно £60–65k (киоск, оборудование, депозиты, лицензии, оборотный капитал). Финансирование — собственные средства + Start Up Loan/банковский кредит.</w:t>
      </w:r>
    </w:p>
    <w:p>
      <w:r>
        <w:rPr>
          <w:b w:val="0"/>
          <w:i w:val="0"/>
        </w:rPr>
        <w:t>Ключевой риск и его прямое следствие: RBKC — самый зарегулированный по street trading боро; легальных уличных пунктов мало (в основном рынки Portobello/Golborne), есть лист ожидания. Поэтому в плане предусмотрен план Б по локации (см. раздел 10).</w:t>
      </w:r>
    </w:p>
    <w:p>
      <w:pPr>
        <w:pStyle w:val="Heading1"/>
      </w:pPr>
      <w:r>
        <w:t>2. Концепция и продукт</w:t>
      </w:r>
    </w:p>
    <w:p>
      <w:r>
        <w:rPr>
          <w:b/>
          <w:i w:val="0"/>
        </w:rPr>
        <w:t>Продукт — «московская шаурма»:</w:t>
      </w:r>
    </w:p>
    <w:p>
      <w:pPr>
        <w:pStyle w:val="ListBullet"/>
      </w:pPr>
      <w:r>
        <w:t>Основа — маринованное куриное филе, приготовленное на вертикальном гриле (донер) или контактном гриле.</w:t>
      </w:r>
    </w:p>
    <w:p>
      <w:pPr>
        <w:pStyle w:val="ListBullet"/>
      </w:pPr>
      <w:r>
        <w:t>Майонезный соус (майонез + чеснок + специи) — ключевое отличие от ближневосточной кухни.</w:t>
      </w:r>
    </w:p>
    <w:p>
      <w:pPr>
        <w:pStyle w:val="ListBullet"/>
      </w:pPr>
      <w:r>
        <w:t>Армянский лаваш — тонкий, мягкий; заворачивается «конвертом» и подрумянивается на сухом гриле.</w:t>
      </w:r>
    </w:p>
    <w:p>
      <w:pPr>
        <w:pStyle w:val="ListBullet"/>
      </w:pPr>
      <w:r>
        <w:t>Начинка: томаты, огурцы, капуста/салат, лук, картофель фри внутри, опционально морковь по-корейски, сыр.</w:t>
      </w:r>
    </w:p>
    <w:p>
      <w:r>
        <w:rPr>
          <w:b/>
          <w:i w:val="0"/>
        </w:rPr>
        <w:t>Меню (компактное, для маленькой точки):</w:t>
      </w:r>
    </w:p>
    <w:p>
      <w:pPr>
        <w:pStyle w:val="ListNumber"/>
      </w:pPr>
      <w:r>
        <w:t>Шаурма классическая (курица) — флагман.</w:t>
      </w:r>
    </w:p>
    <w:p>
      <w:pPr>
        <w:pStyle w:val="ListNumber"/>
      </w:pPr>
      <w:r>
        <w:t>Шаурма «большая» / двойная порция.</w:t>
      </w:r>
    </w:p>
    <w:p>
      <w:pPr>
        <w:pStyle w:val="ListNumber"/>
      </w:pPr>
      <w:r>
        <w:t>Шаурма-боул (без лаваша) — для аудитории, следящей за питанием.</w:t>
      </w:r>
    </w:p>
    <w:p>
      <w:pPr>
        <w:pStyle w:val="ListNumber"/>
      </w:pPr>
      <w:r>
        <w:t>Допы: сырный борт, острый соус, доп. мясо.</w:t>
      </w:r>
    </w:p>
    <w:p>
      <w:pPr>
        <w:pStyle w:val="ListNumber"/>
      </w:pPr>
      <w:r>
        <w:t>Напитки: газировка, вода, айран/тан, чай.</w:t>
      </w:r>
    </w:p>
    <w:p>
      <w:r>
        <w:rPr>
          <w:b w:val="0"/>
          <w:i w:val="0"/>
        </w:rPr>
        <w:t>Почему это работает: узкое меню = быстрая отдача, низкие потери, простое обучение персонала, стабильное качество. Один сильный продукт вместо большого меню — ключ к экономике маленькой точки.</w:t>
      </w:r>
    </w:p>
    <w:p>
      <w:pPr>
        <w:pStyle w:val="Heading1"/>
      </w:pPr>
      <w:r>
        <w:t>3. Анализ рынка и локация</w:t>
      </w:r>
    </w:p>
    <w:p>
      <w:r>
        <w:rPr>
          <w:b w:val="0"/>
          <w:i w:val="0"/>
        </w:rPr>
        <w:t>Рынок. Уличная еда и takeaway в Лондоне — устойчивый сегмент; кебаб/шаурма — привычный формат. При этом «московский» вкусовой профиль (курица + майонезный соус + лаваш + фри) в премиальных районах практически не представлен — это и есть ниша.</w:t>
      </w:r>
    </w:p>
    <w:p>
      <w:r>
        <w:rPr>
          <w:b/>
          <w:i w:val="0"/>
        </w:rPr>
        <w:t>Локация — Kensington &amp; Chelsea.</w:t>
      </w:r>
    </w:p>
    <w:p>
      <w:pPr>
        <w:pStyle w:val="ListBullet"/>
      </w:pPr>
      <w:r>
        <w:t>Плюсы: высокий платёжеспособный спрос; концентрация состоятельной русско-/СНГ-аудитории; сильный «ностальгический» триггер; высокий турпоток (музеи Ю. Кенсингтона, Kings Road).</w:t>
      </w:r>
    </w:p>
    <w:p>
      <w:pPr>
        <w:pStyle w:val="ListBullet"/>
      </w:pPr>
      <w:r>
        <w:t>Минусы: русскоязычные — ~0.9% населения боро (низкая абсолютная плотность при высоком достатке); очень ограниченный и зарегулированный street trading; высокая конкуренция за место.</w:t>
      </w:r>
    </w:p>
    <w:p>
      <w:r>
        <w:rPr>
          <w:b w:val="0"/>
          <w:i w:val="0"/>
        </w:rPr>
        <w:t>Вывод по позиционированию. Это не массовый дешёвый фастфуд, а премиальный/ностальгический продукт: выше качество, выше чек, акцент на аутентичность и подачу. Целевой поток — из диаспоры и из широкой аудитории, любящей кебаб/стрит-фуд.</w:t>
      </w:r>
    </w:p>
    <w:p>
      <w:r>
        <w:rPr>
          <w:b w:val="0"/>
          <w:i w:val="0"/>
        </w:rPr>
        <w:t>Конкуренты: турецкие/ближневосточные кебаб-точки, сетевой фастфуд, локальные кафе. Отстройка — уникальный вкус, узнаваемый для СНГ, и премиальная подача.</w:t>
      </w:r>
    </w:p>
    <w:p>
      <w:pPr>
        <w:pStyle w:val="Heading1"/>
      </w:pPr>
      <w:r>
        <w:t>4. Целевая аудитория и позиционирование</w:t>
      </w:r>
    </w:p>
    <w:p>
      <w:pPr>
        <w:pStyle w:val="ListNumber"/>
      </w:pPr>
      <w:r>
        <w:t>СНГ-диаспора (русскоязычные, армяне, выходцы из Центральной Азии и Кавказа) — ядро.</w:t>
      </w:r>
    </w:p>
    <w:p>
      <w:pPr>
        <w:pStyle w:val="ListNumber"/>
      </w:pPr>
      <w:r>
        <w:t>Широкая аудитория стрит-фуда — студенты, офисные работники, туристы.</w:t>
      </w:r>
    </w:p>
    <w:p>
      <w:pPr>
        <w:pStyle w:val="ListNumber"/>
      </w:pPr>
      <w:r>
        <w:t>Гурманы/любопытные — те, кто пробует новые вкусы.</w:t>
      </w:r>
    </w:p>
    <w:p>
      <w:r>
        <w:rPr>
          <w:b w:val="0"/>
          <w:i w:val="0"/>
        </w:rPr>
        <w:t>Позиционирование: «Настоящая шаурма как в Москве — курица, фирменный майонезный соус, тонкий армянский лаваш». Премиальное качество, честные порции, скорость.</w:t>
      </w:r>
    </w:p>
    <w:p>
      <w:pPr>
        <w:pStyle w:val="Heading1"/>
      </w:pPr>
      <w:r>
        <w:t>5. Операционная модель</w:t>
      </w:r>
    </w:p>
    <w:p>
      <w:pPr>
        <w:pStyle w:val="ListBullet"/>
      </w:pPr>
      <w:r>
        <w:t>Формат точки: киоск/контейнер несколько кв. м, takeaway, 7 дней в неделю, ~12 ч/день (10:00–22:00).</w:t>
      </w:r>
    </w:p>
    <w:p>
      <w:pPr>
        <w:pStyle w:val="ListBullet"/>
      </w:pPr>
      <w:r>
        <w:t>Производственный цикл: маринование заранее, приготовление на гриле, сборка «на заказ» за 2–4 мин.</w:t>
      </w:r>
    </w:p>
    <w:p>
      <w:pPr>
        <w:pStyle w:val="ListBullet"/>
      </w:pPr>
      <w:r>
        <w:t>Производительность: 1 сотрудник в непик, 2 — в пик; средняя загрузка ~1.6 чел одновременно.</w:t>
      </w:r>
    </w:p>
    <w:p>
      <w:pPr>
        <w:pStyle w:val="ListBullet"/>
      </w:pPr>
      <w:r>
        <w:t>Поставщики: мясо/овощи/упаковка — Booker (cash &amp; carry) / Bidfood; армянский лаваш и СНГ-продукты — профильные поставщики (Babushka Deli, Jolly Grocer и оптовые аналоги).</w:t>
      </w:r>
    </w:p>
    <w:p>
      <w:pPr>
        <w:pStyle w:val="ListBullet"/>
      </w:pPr>
      <w:r>
        <w:t>Оборудование: вертикальный гриль (донер) или контактный гриль, холодильники, витрина, фритюрница, мойка.</w:t>
      </w:r>
    </w:p>
    <w:p>
      <w:pPr>
        <w:pStyle w:val="ListBullet"/>
      </w:pPr>
      <w:r>
        <w:t>Контроль качества: HACCP, температурные журналы, ротация продуктов (FIFO).</w:t>
      </w:r>
    </w:p>
    <w:p>
      <w:pPr>
        <w:pStyle w:val="Heading1"/>
      </w:pPr>
      <w:r>
        <w:t>6. Юридическая часть и лицензии</w:t>
      </w:r>
    </w:p>
    <w:p>
      <w:pPr>
        <w:pStyle w:val="ListNumber"/>
      </w:pPr>
      <w:r>
        <w:t>Регистрация компании — Ltd в Companies House (ограниченная ответственность, доступ к кредитам).</w:t>
      </w:r>
    </w:p>
    <w:p>
      <w:pPr>
        <w:pStyle w:val="ListNumber"/>
      </w:pPr>
      <w:r>
        <w:t>Регистрация food business в местном совете — бесплатно, минимум за 28 дней до открытия.</w:t>
      </w:r>
    </w:p>
    <w:p>
      <w:pPr>
        <w:pStyle w:val="ListNumber"/>
      </w:pPr>
      <w:r>
        <w:t>Street trading licence в RBKC — заявка, временная 3-мес лицензия → постоянная; pitch fee каждые 4 недели.</w:t>
      </w:r>
    </w:p>
    <w:p>
      <w:pPr>
        <w:pStyle w:val="ListNumber"/>
      </w:pPr>
      <w:r>
        <w:t>Food Hygiene Rating (FHRS) — проверка Environmental Health Officer; цель — рейтинг 5.</w:t>
      </w:r>
    </w:p>
    <w:p>
      <w:pPr>
        <w:pStyle w:val="ListNumber"/>
      </w:pPr>
      <w:r>
        <w:t>Food Safety Level 2 — обучение персонала; HACCP-план.</w:t>
      </w:r>
    </w:p>
    <w:p>
      <w:pPr>
        <w:pStyle w:val="ListNumber"/>
      </w:pPr>
      <w:r>
        <w:t>VAT-регистрация — обязательна при обороте &gt;£90,000. Горячая еда навынос — НДС 20%.</w:t>
      </w:r>
    </w:p>
    <w:p>
      <w:pPr>
        <w:pStyle w:val="ListNumber"/>
      </w:pPr>
      <w:r>
        <w:t>Страхование: public liability, employer's liability (обязательна при найме), оборудование.</w:t>
      </w:r>
    </w:p>
    <w:p>
      <w:pPr>
        <w:pStyle w:val="ListNumber"/>
      </w:pPr>
      <w:r>
        <w:t>Контракт на вывоз коммерческих отходов; соответствие правилам по газу/электрике.</w:t>
      </w:r>
    </w:p>
    <w:p>
      <w:pPr>
        <w:pStyle w:val="Heading1"/>
      </w:pPr>
      <w:r>
        <w:t>7. Персонал и оплата труда</w:t>
      </w:r>
    </w:p>
    <w:p>
      <w:pPr>
        <w:pStyle w:val="ListBullet"/>
      </w:pPr>
      <w:r>
        <w:t>Ставка: от National Living Wage (£12.71/ч, 21+, апр. 2026). Для качества в премиальном районе — ориентир на London Living Wage (£14.80/ч, добровольно).</w:t>
      </w:r>
    </w:p>
    <w:p>
      <w:pPr>
        <w:pStyle w:val="ListBullet"/>
      </w:pPr>
      <w:r>
        <w:t>Взносы работодателя: Employer NIC 15% сверх £5,000/сотр. (минус Employment Allowance до £10,500); пенсия auto-enrolment 3%.</w:t>
      </w:r>
    </w:p>
    <w:p>
      <w:pPr>
        <w:pStyle w:val="ListBullet"/>
      </w:pPr>
      <w:r>
        <w:t>Штат: 2–3 совместителя; собственник — управляющий на старте (снижает ФОТ, контролирует качество).</w:t>
      </w:r>
    </w:p>
    <w:p>
      <w:r>
        <w:rPr>
          <w:b w:val="0"/>
          <w:i/>
        </w:rPr>
        <w:t>Детальный расчёт ФОТ, NIC и пенсии — на листе «Персонал» в модели.</w:t>
      </w:r>
    </w:p>
    <w:p>
      <w:pPr>
        <w:pStyle w:val="Heading1"/>
      </w:pPr>
      <w:r>
        <w:t>8. Маркетинг и продвижение</w:t>
      </w:r>
    </w:p>
    <w:p>
      <w:pPr>
        <w:pStyle w:val="ListBullet"/>
      </w:pPr>
      <w:r>
        <w:t>Локальные соцсети (Instagram/TikTok): «московский вкус», визуал сборки шаурмы.</w:t>
      </w:r>
    </w:p>
    <w:p>
      <w:pPr>
        <w:pStyle w:val="ListBullet"/>
      </w:pPr>
      <w:r>
        <w:t>Русскоязычные сообщества Лондона (Telegram-чаты, группы диаспоры) — таргет на ядро.</w:t>
      </w:r>
    </w:p>
    <w:p>
      <w:pPr>
        <w:pStyle w:val="ListBullet"/>
      </w:pPr>
      <w:r>
        <w:t>Google Business Profile + отзывы, работа над рейтингом.</w:t>
      </w:r>
    </w:p>
    <w:p>
      <w:pPr>
        <w:pStyle w:val="ListBullet"/>
      </w:pPr>
      <w:r>
        <w:t>Промо на запуск: первая неделя со скидкой, комбо шаурма+напиток.</w:t>
      </w:r>
    </w:p>
    <w:p>
      <w:pPr>
        <w:pStyle w:val="ListBullet"/>
      </w:pPr>
      <w:r>
        <w:t>Лояльность: карта «6-я шаурма в подарок», QR-меню.</w:t>
      </w:r>
    </w:p>
    <w:p>
      <w:pPr>
        <w:pStyle w:val="ListBullet"/>
      </w:pPr>
      <w:r>
        <w:t>Доставка (Deliveroo/Uber Eats/Just Eat) — доп. канал; учесть комиссию 25–35% (вне базовой модели).</w:t>
      </w:r>
    </w:p>
    <w:p>
      <w:pPr>
        <w:pStyle w:val="Heading1"/>
      </w:pPr>
      <w:r>
        <w:t>9. Финансовый план (сводка)</w:t>
      </w:r>
    </w:p>
    <w:p>
      <w:r>
        <w:rPr>
          <w:b w:val="0"/>
          <w:i w:val="0"/>
        </w:rPr>
        <w:t>Полный расчёт — в «Финансовая_модель.xlsx». Базовые допущения и ориентиры: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Базовый сценарий</w:t>
            </w:r>
          </w:p>
        </w:tc>
      </w:tr>
      <w:tr>
        <w:tc>
          <w:tcPr>
            <w:tcW w:type="dxa" w:w="4320"/>
          </w:tcPr>
          <w:p>
            <w:r>
              <w:t>Порций/день</w:t>
            </w:r>
          </w:p>
        </w:tc>
        <w:tc>
          <w:tcPr>
            <w:tcW w:type="dxa" w:w="4320"/>
          </w:tcPr>
          <w:p>
            <w:r>
              <w:t>~90</w:t>
            </w:r>
          </w:p>
        </w:tc>
      </w:tr>
      <w:tr>
        <w:tc>
          <w:tcPr>
            <w:tcW w:type="dxa" w:w="4320"/>
          </w:tcPr>
          <w:p>
            <w:r>
              <w:t>Средний чек (с НДС)</w:t>
            </w:r>
          </w:p>
        </w:tc>
        <w:tc>
          <w:tcPr>
            <w:tcW w:type="dxa" w:w="4320"/>
          </w:tcPr>
          <w:p>
            <w:r>
              <w:t>£9.50</w:t>
            </w:r>
          </w:p>
        </w:tc>
      </w:tr>
      <w:tr>
        <w:tc>
          <w:tcPr>
            <w:tcW w:type="dxa" w:w="4320"/>
          </w:tcPr>
          <w:p>
            <w:r>
              <w:t>Выручка брутто/год</w:t>
            </w:r>
          </w:p>
        </w:tc>
        <w:tc>
          <w:tcPr>
            <w:tcW w:type="dxa" w:w="4320"/>
          </w:tcPr>
          <w:p>
            <w:r>
              <w:t>~£285k</w:t>
            </w:r>
          </w:p>
        </w:tc>
      </w:tr>
      <w:tr>
        <w:tc>
          <w:tcPr>
            <w:tcW w:type="dxa" w:w="4320"/>
          </w:tcPr>
          <w:p>
            <w:r>
              <w:t>Фудкост (опт) на порцию</w:t>
            </w:r>
          </w:p>
        </w:tc>
        <w:tc>
          <w:tcPr>
            <w:tcW w:type="dxa" w:w="4320"/>
          </w:tcPr>
          <w:p>
            <w:r>
              <w:t>~£2.85 (≈30% чека с НДС / ≈36% нетто)</w:t>
            </w:r>
          </w:p>
        </w:tc>
      </w:tr>
      <w:tr>
        <w:tc>
          <w:tcPr>
            <w:tcW w:type="dxa" w:w="4320"/>
          </w:tcPr>
          <w:p>
            <w:r>
              <w:t>Аренда/pitch</w:t>
            </w:r>
          </w:p>
        </w:tc>
        <w:tc>
          <w:tcPr>
            <w:tcW w:type="dxa" w:w="4320"/>
          </w:tcPr>
          <w:p>
            <w:r>
              <w:t>~£2,200/мес</w:t>
            </w:r>
          </w:p>
        </w:tc>
      </w:tr>
      <w:tr>
        <w:tc>
          <w:tcPr>
            <w:tcW w:type="dxa" w:w="4320"/>
          </w:tcPr>
          <w:p>
            <w:r>
              <w:t>Ставка оплаты труда</w:t>
            </w:r>
          </w:p>
        </w:tc>
        <w:tc>
          <w:tcPr>
            <w:tcW w:type="dxa" w:w="4320"/>
          </w:tcPr>
          <w:p>
            <w:r>
              <w:t>£12.71/час (NLW 2026)</w:t>
            </w:r>
          </w:p>
        </w:tc>
      </w:tr>
      <w:tr>
        <w:tc>
          <w:tcPr>
            <w:tcW w:type="dxa" w:w="4320"/>
          </w:tcPr>
          <w:p>
            <w:r>
              <w:t>НДС</w:t>
            </w:r>
          </w:p>
        </w:tc>
        <w:tc>
          <w:tcPr>
            <w:tcW w:type="dxa" w:w="4320"/>
          </w:tcPr>
          <w:p>
            <w:r>
              <w:t>20% (горячая еда навынос)</w:t>
            </w:r>
          </w:p>
        </w:tc>
      </w:tr>
      <w:tr>
        <w:tc>
          <w:tcPr>
            <w:tcW w:type="dxa" w:w="4320"/>
          </w:tcPr>
          <w:p>
            <w:r>
              <w:t>Corporation tax</w:t>
            </w:r>
          </w:p>
        </w:tc>
        <w:tc>
          <w:tcPr>
            <w:tcW w:type="dxa" w:w="4320"/>
          </w:tcPr>
          <w:p>
            <w:r>
              <w:t>19% (small profits)</w:t>
            </w:r>
          </w:p>
        </w:tc>
      </w:tr>
      <w:tr>
        <w:tc>
          <w:tcPr>
            <w:tcW w:type="dxa" w:w="4320"/>
          </w:tcPr>
          <w:p>
            <w:r>
              <w:t>EBITDA / чистая прибыль (Год 1)</w:t>
            </w:r>
          </w:p>
        </w:tc>
        <w:tc>
          <w:tcPr>
            <w:tcW w:type="dxa" w:w="4320"/>
          </w:tcPr>
          <w:p>
            <w:r>
              <w:t>~£22k / ~£9k</w:t>
            </w:r>
          </w:p>
        </w:tc>
      </w:tr>
      <w:tr>
        <w:tc>
          <w:tcPr>
            <w:tcW w:type="dxa" w:w="4320"/>
          </w:tcPr>
          <w:p>
            <w:r>
              <w:t>Точка безубыточности</w:t>
            </w:r>
          </w:p>
        </w:tc>
        <w:tc>
          <w:tcPr>
            <w:tcW w:type="dxa" w:w="4320"/>
          </w:tcPr>
          <w:p>
            <w:r>
              <w:t>~83 заказа/день (база 90)</w:t>
            </w:r>
          </w:p>
        </w:tc>
      </w:tr>
      <w:tr>
        <w:tc>
          <w:tcPr>
            <w:tcW w:type="dxa" w:w="4320"/>
          </w:tcPr>
          <w:p>
            <w:r>
              <w:t>Стартовые вложения</w:t>
            </w:r>
          </w:p>
        </w:tc>
        <w:tc>
          <w:tcPr>
            <w:tcW w:type="dxa" w:w="4320"/>
          </w:tcPr>
          <w:p>
            <w:r>
              <w:t>~£60–65k</w:t>
            </w:r>
          </w:p>
        </w:tc>
      </w:tr>
    </w:tbl>
    <w:p>
      <w:r>
        <w:rPr>
          <w:b w:val="0"/>
          <w:i w:val="0"/>
        </w:rPr>
        <w:t>Модель считает P&amp;L на 3 года, помесячный cash flow, точку безубыточности и сценарии (пессимистичный / базовый / оптимистичный). Все ставки — параметры на листе «Допущения» со ссылками на источники (см. «Источники.md»).</w:t>
      </w:r>
    </w:p>
    <w:p>
      <w:pPr>
        <w:pStyle w:val="Heading1"/>
      </w:pPr>
      <w:r>
        <w:t>10. Риски и их снижение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Риск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Влияние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Снижение</w:t>
            </w:r>
          </w:p>
        </w:tc>
      </w:tr>
      <w:tr>
        <w:tc>
          <w:tcPr>
            <w:tcW w:type="dxa" w:w="2880"/>
          </w:tcPr>
          <w:p>
            <w:r>
              <w:t>Ограниченный street trading в RBKC</w:t>
            </w:r>
          </w:p>
        </w:tc>
        <w:tc>
          <w:tcPr>
            <w:tcW w:type="dxa" w:w="2880"/>
          </w:tcPr>
          <w:p>
            <w:r>
              <w:t>Высокое</w:t>
            </w:r>
          </w:p>
        </w:tc>
        <w:tc>
          <w:tcPr>
            <w:tcW w:type="dxa" w:w="2880"/>
          </w:tcPr>
          <w:p>
            <w:r>
              <w:t>План Б: боро с более плотной СНГ-диаспорой и доступным стрит-трейдингом; аренда коммерческого юнита вместо улицы</w:t>
            </w:r>
          </w:p>
        </w:tc>
      </w:tr>
      <w:tr>
        <w:tc>
          <w:tcPr>
            <w:tcW w:type="dxa" w:w="2880"/>
          </w:tcPr>
          <w:p>
            <w:r>
              <w:t>Высокая аренда/pitch в Челси</w:t>
            </w:r>
          </w:p>
        </w:tc>
        <w:tc>
          <w:tcPr>
            <w:tcW w:type="dxa" w:w="2880"/>
          </w:tcPr>
          <w:p>
            <w:r>
              <w:t>Высокое</w:t>
            </w:r>
          </w:p>
        </w:tc>
        <w:tc>
          <w:tcPr>
            <w:tcW w:type="dxa" w:w="2880"/>
          </w:tcPr>
          <w:p>
            <w:r>
              <w:t>Точный подбор места; переговоры; контроль прочих расходов</w:t>
            </w:r>
          </w:p>
        </w:tc>
      </w:tr>
      <w:tr>
        <w:tc>
          <w:tcPr>
            <w:tcW w:type="dxa" w:w="2880"/>
          </w:tcPr>
          <w:p>
            <w:r>
              <w:t>Низкая абсолютная плотность диаспоры</w:t>
            </w:r>
          </w:p>
        </w:tc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Ставка на широкую аудиторию + туристов</w:t>
            </w:r>
          </w:p>
        </w:tc>
      </w:tr>
      <w:tr>
        <w:tc>
          <w:tcPr>
            <w:tcW w:type="dxa" w:w="2880"/>
          </w:tcPr>
          <w:p>
            <w:r>
              <w:t>Сезонность</w:t>
            </w:r>
          </w:p>
        </w:tc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Заложено в модель; зимнее меню, горячие напитки</w:t>
            </w:r>
          </w:p>
        </w:tc>
      </w:tr>
      <w:tr>
        <w:tc>
          <w:tcPr>
            <w:tcW w:type="dxa" w:w="2880"/>
          </w:tcPr>
          <w:p>
            <w:r>
              <w:t>Рост стоимости продуктов</w:t>
            </w:r>
          </w:p>
        </w:tc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Опт, несколько поставщиков, пересмотр цен</w:t>
            </w:r>
          </w:p>
        </w:tc>
      </w:tr>
      <w:tr>
        <w:tc>
          <w:tcPr>
            <w:tcW w:type="dxa" w:w="2880"/>
          </w:tcPr>
          <w:p>
            <w:r>
              <w:t>Кадры / текучка</w:t>
            </w:r>
          </w:p>
        </w:tc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Конкурентная ставка, простые процессы</w:t>
            </w:r>
          </w:p>
        </w:tc>
      </w:tr>
      <w:tr>
        <w:tc>
          <w:tcPr>
            <w:tcW w:type="dxa" w:w="2880"/>
          </w:tcPr>
          <w:p>
            <w:r>
              <w:t>Провал по FHRS</w:t>
            </w:r>
          </w:p>
        </w:tc>
        <w:tc>
          <w:tcPr>
            <w:tcW w:type="dxa" w:w="2880"/>
          </w:tcPr>
          <w:p>
            <w:r>
              <w:t>Высокое</w:t>
            </w:r>
          </w:p>
        </w:tc>
        <w:tc>
          <w:tcPr>
            <w:tcW w:type="dxa" w:w="2880"/>
          </w:tcPr>
          <w:p>
            <w:r>
              <w:t>HACCP, обучение, дисциплина</w:t>
            </w:r>
          </w:p>
        </w:tc>
      </w:tr>
      <w:tr>
        <w:tc>
          <w:tcPr>
            <w:tcW w:type="dxa" w:w="2880"/>
          </w:tcPr>
          <w:p>
            <w:r>
              <w:t>Комиссии доставки</w:t>
            </w:r>
          </w:p>
        </w:tc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Доставка — доп. канал; цены с учётом комиссии</w:t>
            </w:r>
          </w:p>
        </w:tc>
      </w:tr>
    </w:tbl>
    <w:p>
      <w:pPr>
        <w:pStyle w:val="Heading1"/>
      </w:pPr>
      <w:r>
        <w:t>11. Дорожная карта запуска</w:t>
      </w:r>
    </w:p>
    <w:p>
      <w:pPr>
        <w:pStyle w:val="ListNumber"/>
      </w:pPr>
      <w:r>
        <w:t>Недели 1–4: регистрация Ltd; бизнес-модель; поиск локации/pitch (заявка на street trading, учёт листа ожидания).</w:t>
      </w:r>
    </w:p>
    <w:p>
      <w:pPr>
        <w:pStyle w:val="ListNumber"/>
      </w:pPr>
      <w:r>
        <w:t>Недели 4–8: регистрация food business (за 28 дней до открытия); заказ киоска и оборудования; поставщики; рецептуры и себестоимость.</w:t>
      </w:r>
    </w:p>
    <w:p>
      <w:pPr>
        <w:pStyle w:val="ListNumber"/>
      </w:pPr>
      <w:r>
        <w:t>Недели 8–12: fit-out, брендинг, найм и обучение (Food Safety L2), VAT/payroll, POS/эквайринг.</w:t>
      </w:r>
    </w:p>
    <w:p>
      <w:pPr>
        <w:pStyle w:val="ListNumber"/>
      </w:pPr>
      <w:r>
        <w:t>Неделя 12: тестовый запуск (soft opening), инспекция FHRS.</w:t>
      </w:r>
    </w:p>
    <w:p>
      <w:pPr>
        <w:pStyle w:val="ListNumber"/>
      </w:pPr>
      <w:r>
        <w:t>После запуска: сбор данных о реальном трафике/чеке → калибровка модели; масштабирование.</w:t>
      </w:r>
    </w:p>
    <w:p>
      <w:pPr>
        <w:pStyle w:val="Heading1"/>
      </w:pPr>
      <w:r>
        <w:t>12. Источники</w:t>
      </w:r>
    </w:p>
    <w:p>
      <w:r>
        <w:rPr>
          <w:b w:val="0"/>
          <w:i w:val="0"/>
        </w:rPr>
        <w:t>Полный список ссылок с датами обращения — в файле «Источники.md» (HMRC, GOV.UK, The Pensions Regulator, RBKC, поставщики Booker/Bidfood и др.).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