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D4D62" w14:textId="54421916" w:rsidR="00236705" w:rsidRPr="002B21D7" w:rsidRDefault="009B352C" w:rsidP="002B21D7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21D7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2B21D7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HYPERLINK "https://www.otpcapital.com.ua/2023/03/24/kudy-investuyut-moyi-koshty-struktura-npf-otp-pensiya/" \t "_blank" </w:instrText>
      </w:r>
      <w:r w:rsidRPr="002B21D7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Pr="002B21D7">
        <w:rPr>
          <w:rStyle w:val="a4"/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Дохідність:</w:t>
      </w:r>
      <w:r w:rsidRPr="002B21D7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="00EB4AC6" w:rsidRPr="002B21D7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F94969F" w14:textId="1D3B4D20" w:rsidR="00EB4AC6" w:rsidRPr="002B21D7" w:rsidRDefault="00EB4AC6" w:rsidP="002B21D7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21D7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Дохідність НПФ “ОТП ПЕНСІЯ” за 2023 рік варіювалася в залежності від терміну погашення облігацій внутрішньої державної позики (ОВДП):</w:t>
      </w:r>
    </w:p>
    <w:p w14:paraId="626334E4" w14:textId="4858CE26" w:rsidR="00EB4AC6" w:rsidRPr="002B21D7" w:rsidRDefault="00EB4AC6" w:rsidP="002B21D7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5" w:tgtFrame="_blank" w:history="1">
        <w:r w:rsidRPr="002B21D7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ОВДП з погашенням до 15 місяців – 17.8%</w:t>
        </w:r>
      </w:hyperlink>
    </w:p>
    <w:p w14:paraId="12F0F495" w14:textId="11E954D6" w:rsidR="00EB4AC6" w:rsidRPr="002B21D7" w:rsidRDefault="00EB4AC6" w:rsidP="002B21D7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6" w:tgtFrame="_blank" w:history="1">
        <w:r w:rsidRPr="002B21D7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ОВДП з погашенням від 17 до 26 місяців – 18.3%</w:t>
        </w:r>
      </w:hyperlink>
    </w:p>
    <w:p w14:paraId="3916BBCE" w14:textId="547ABF65" w:rsidR="00EB4AC6" w:rsidRPr="002B21D7" w:rsidRDefault="00EB4AC6" w:rsidP="002B21D7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7" w:history="1">
        <w:r w:rsidRPr="002B21D7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ОВДП з погашенням 36 місяців – 19.21%</w:t>
        </w:r>
      </w:hyperlink>
    </w:p>
    <w:p w14:paraId="4CB7884C" w14:textId="03B1862A" w:rsidR="00236705" w:rsidRPr="002B21D7" w:rsidRDefault="00236705" w:rsidP="002B21D7">
      <w:pPr>
        <w:rPr>
          <w:rFonts w:ascii="Times New Roman" w:hAnsi="Times New Roman" w:cs="Times New Roman"/>
          <w:sz w:val="28"/>
          <w:szCs w:val="28"/>
        </w:rPr>
      </w:pPr>
      <w:r w:rsidRPr="002B21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E2ACBF" wp14:editId="7FC798E2">
            <wp:extent cx="6120765" cy="35852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A05F" w14:textId="6DF84655" w:rsidR="00236705" w:rsidRPr="002B21D7" w:rsidRDefault="00236705" w:rsidP="002B21D7">
      <w:pPr>
        <w:rPr>
          <w:rFonts w:ascii="Times New Roman" w:hAnsi="Times New Roman" w:cs="Times New Roman"/>
          <w:sz w:val="28"/>
          <w:szCs w:val="28"/>
        </w:rPr>
      </w:pPr>
      <w:r w:rsidRPr="002B21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AF0F21" wp14:editId="550AC19D">
            <wp:extent cx="6120765" cy="380873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D2AAA" w14:textId="4D7BCBD0" w:rsidR="006B2C9F" w:rsidRPr="002B21D7" w:rsidRDefault="006B2C9F" w:rsidP="002B21D7">
      <w:pPr>
        <w:rPr>
          <w:rFonts w:ascii="Times New Roman" w:hAnsi="Times New Roman" w:cs="Times New Roman"/>
          <w:sz w:val="28"/>
          <w:szCs w:val="28"/>
        </w:rPr>
      </w:pPr>
    </w:p>
    <w:p w14:paraId="5A18CEE2" w14:textId="77777777" w:rsidR="00236705" w:rsidRPr="002B21D7" w:rsidRDefault="00236705" w:rsidP="002B21D7">
      <w:pPr>
        <w:rPr>
          <w:rFonts w:ascii="Times New Roman" w:hAnsi="Times New Roman" w:cs="Times New Roman"/>
          <w:sz w:val="28"/>
          <w:szCs w:val="28"/>
        </w:rPr>
      </w:pPr>
    </w:p>
    <w:p w14:paraId="088D12C3" w14:textId="77777777" w:rsidR="00236705" w:rsidRPr="002B21D7" w:rsidRDefault="009B352C" w:rsidP="002B21D7">
      <w:pPr>
        <w:rPr>
          <w:rFonts w:ascii="Times New Roman" w:hAnsi="Times New Roman" w:cs="Times New Roman"/>
          <w:sz w:val="28"/>
          <w:szCs w:val="28"/>
        </w:rPr>
      </w:pPr>
      <w:r w:rsidRPr="002B21D7">
        <w:rPr>
          <w:rFonts w:ascii="Times New Roman" w:hAnsi="Times New Roman" w:cs="Times New Roman"/>
          <w:sz w:val="28"/>
          <w:szCs w:val="28"/>
        </w:rPr>
        <w:t xml:space="preserve">Репутація та кінцевий </w:t>
      </w:r>
      <w:proofErr w:type="spellStart"/>
      <w:r w:rsidRPr="002B21D7">
        <w:rPr>
          <w:rFonts w:ascii="Times New Roman" w:hAnsi="Times New Roman" w:cs="Times New Roman"/>
          <w:sz w:val="28"/>
          <w:szCs w:val="28"/>
        </w:rPr>
        <w:t>бенефіціар</w:t>
      </w:r>
      <w:proofErr w:type="spellEnd"/>
      <w:r w:rsidRPr="002B21D7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7291520" w14:textId="13F9CA7C" w:rsidR="00236705" w:rsidRPr="002B21D7" w:rsidRDefault="00236705" w:rsidP="002B21D7">
      <w:pPr>
        <w:rPr>
          <w:rFonts w:ascii="Times New Roman" w:hAnsi="Times New Roman" w:cs="Times New Roman"/>
          <w:sz w:val="28"/>
          <w:szCs w:val="28"/>
        </w:rPr>
      </w:pPr>
      <w:r w:rsidRPr="002B21D7">
        <w:rPr>
          <w:rFonts w:ascii="Times New Roman" w:hAnsi="Times New Roman" w:cs="Times New Roman"/>
          <w:sz w:val="28"/>
          <w:szCs w:val="28"/>
        </w:rPr>
        <w:t>Фонд «ОТП Пенсія» – найбільший за обсягом активів відкритий недержавний пенсійний фонд України. Засновником фонду є компанія з управління активами «ОТП Капітал», що є частиною міжнародної ОТП Групи. Приналежність фонду «ОТП Пенсія» до ОТП Групи – це не просто можливість бути частиною відомого бренду, це і європейські стандарти менеджменту, додаткові гарантії виваженої інвестиційної політики, а також підтримка ОТП Банку в Україні.</w:t>
      </w:r>
    </w:p>
    <w:p w14:paraId="5E90684B" w14:textId="17865FD7" w:rsidR="009B352C" w:rsidRPr="002B21D7" w:rsidRDefault="00837035" w:rsidP="002B21D7">
      <w:pPr>
        <w:rPr>
          <w:rFonts w:ascii="Times New Roman" w:hAnsi="Times New Roman" w:cs="Times New Roman"/>
          <w:sz w:val="28"/>
          <w:szCs w:val="28"/>
        </w:rPr>
      </w:pPr>
      <w:r w:rsidRPr="002B21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178271" wp14:editId="35F3D988">
            <wp:extent cx="5654530" cy="4671465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6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19B02" w14:textId="77777777" w:rsidR="00D43CED" w:rsidRPr="002B21D7" w:rsidRDefault="00D43CED" w:rsidP="002B21D7">
      <w:pPr>
        <w:rPr>
          <w:rFonts w:ascii="Times New Roman" w:hAnsi="Times New Roman" w:cs="Times New Roman"/>
          <w:sz w:val="28"/>
          <w:szCs w:val="28"/>
        </w:rPr>
      </w:pPr>
    </w:p>
    <w:p w14:paraId="07B56EC8" w14:textId="1D3F8961" w:rsidR="002B21D7" w:rsidRDefault="002B21D7" w:rsidP="002B21D7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Ризиковість:</w:t>
      </w:r>
    </w:p>
    <w:p w14:paraId="426B059C" w14:textId="368AD5E1" w:rsidR="002B21D7" w:rsidRPr="002B21D7" w:rsidRDefault="002B21D7" w:rsidP="002B21D7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21D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73BE6D1" wp14:editId="20129DBE">
            <wp:extent cx="5730240" cy="336042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2218"/>
                    <a:stretch/>
                  </pic:blipFill>
                  <pic:spPr bwMode="auto">
                    <a:xfrm>
                      <a:off x="0" y="0"/>
                      <a:ext cx="5730737" cy="3360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5997C6" w14:textId="000A9EF9" w:rsidR="002B21D7" w:rsidRDefault="002B21D7" w:rsidP="002B21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Фонд </w:t>
      </w:r>
      <w:r w:rsidRPr="002B21D7">
        <w:rPr>
          <w:rFonts w:ascii="Times New Roman" w:hAnsi="Times New Roman" w:cs="Times New Roman"/>
          <w:sz w:val="28"/>
          <w:szCs w:val="28"/>
        </w:rPr>
        <w:t>«ОТП Пенсія»</w:t>
      </w:r>
      <w:r>
        <w:rPr>
          <w:rFonts w:ascii="Times New Roman" w:hAnsi="Times New Roman" w:cs="Times New Roman"/>
          <w:sz w:val="28"/>
          <w:szCs w:val="28"/>
        </w:rPr>
        <w:t xml:space="preserve"> дотримується виваженої збалансованої стратегії в інвестиційній діяльності.</w:t>
      </w:r>
    </w:p>
    <w:p w14:paraId="314D8613" w14:textId="03775737" w:rsidR="00DE69E7" w:rsidRPr="002B21D7" w:rsidRDefault="00DE69E7" w:rsidP="002B21D7">
      <w:pPr>
        <w:rPr>
          <w:rFonts w:ascii="Times New Roman" w:hAnsi="Times New Roman" w:cs="Times New Roman"/>
          <w:sz w:val="28"/>
          <w:szCs w:val="28"/>
        </w:rPr>
      </w:pPr>
      <w:r w:rsidRPr="002B21D7">
        <w:rPr>
          <w:rFonts w:ascii="Times New Roman" w:hAnsi="Times New Roman" w:cs="Times New Roman"/>
          <w:sz w:val="28"/>
          <w:szCs w:val="28"/>
        </w:rPr>
        <w:t xml:space="preserve">В основі інвестиційної стратегії лежить принцип диверсифікації активів. Даний принцип ґрунтується не лише на бажаннях управляючої компанії нівелювати інвестиційні ризики, але й на законодавчо закріпленій </w:t>
      </w:r>
      <w:proofErr w:type="spellStart"/>
      <w:r w:rsidRPr="002B21D7">
        <w:rPr>
          <w:rFonts w:ascii="Times New Roman" w:hAnsi="Times New Roman" w:cs="Times New Roman"/>
          <w:sz w:val="28"/>
          <w:szCs w:val="28"/>
        </w:rPr>
        <w:t>вимозі</w:t>
      </w:r>
      <w:proofErr w:type="spellEnd"/>
      <w:r w:rsidRPr="002B21D7">
        <w:rPr>
          <w:rFonts w:ascii="Times New Roman" w:hAnsi="Times New Roman" w:cs="Times New Roman"/>
          <w:sz w:val="28"/>
          <w:szCs w:val="28"/>
        </w:rPr>
        <w:t xml:space="preserve"> щодо переліку активів для інвестицій та їхній пропорції у портфелі фонду.</w:t>
      </w:r>
    </w:p>
    <w:p w14:paraId="061D4C71" w14:textId="110C49E8" w:rsidR="00DE69E7" w:rsidRPr="002B21D7" w:rsidRDefault="00DE69E7" w:rsidP="002B21D7">
      <w:pPr>
        <w:rPr>
          <w:rFonts w:ascii="Times New Roman" w:hAnsi="Times New Roman" w:cs="Times New Roman"/>
          <w:sz w:val="28"/>
          <w:szCs w:val="28"/>
        </w:rPr>
      </w:pPr>
      <w:r w:rsidRPr="002B21D7">
        <w:rPr>
          <w:rFonts w:ascii="Times New Roman" w:hAnsi="Times New Roman" w:cs="Times New Roman"/>
          <w:sz w:val="28"/>
          <w:szCs w:val="28"/>
        </w:rPr>
        <w:t>Поточною інвестиційною стратегією фонду «ОТП Пенсія» передбачено портфель, який складається з ОВДП, депозитів, акцій. Станом на 28 лютого 2023 року портфель фонду має наступний вигляд:</w:t>
      </w:r>
    </w:p>
    <w:p w14:paraId="1F7C0261" w14:textId="58F1BD58" w:rsidR="00DE69E7" w:rsidRPr="002B21D7" w:rsidRDefault="00DE69E7" w:rsidP="002B21D7">
      <w:pPr>
        <w:rPr>
          <w:rFonts w:ascii="Times New Roman" w:hAnsi="Times New Roman" w:cs="Times New Roman"/>
          <w:sz w:val="28"/>
          <w:szCs w:val="28"/>
        </w:rPr>
      </w:pPr>
      <w:r w:rsidRPr="002B21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F9B6EE" wp14:editId="050ED7FE">
            <wp:extent cx="6120765" cy="243205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DE5AD" w14:textId="7F51B785" w:rsidR="009B352C" w:rsidRPr="002B21D7" w:rsidRDefault="009B352C" w:rsidP="002B21D7">
      <w:pPr>
        <w:rPr>
          <w:rFonts w:ascii="Times New Roman" w:hAnsi="Times New Roman" w:cs="Times New Roman"/>
          <w:sz w:val="28"/>
          <w:szCs w:val="28"/>
        </w:rPr>
      </w:pPr>
    </w:p>
    <w:p w14:paraId="7B611548" w14:textId="4CFBEFA9" w:rsidR="009B352C" w:rsidRPr="002B21D7" w:rsidRDefault="002B21D7" w:rsidP="002B21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Ліквідність:</w:t>
      </w:r>
    </w:p>
    <w:p w14:paraId="014CA741" w14:textId="3E9DF87D" w:rsidR="002766F0" w:rsidRPr="002B21D7" w:rsidRDefault="002766F0" w:rsidP="002B21D7">
      <w:pPr>
        <w:rPr>
          <w:rFonts w:ascii="Times New Roman" w:hAnsi="Times New Roman" w:cs="Times New Roman"/>
          <w:sz w:val="28"/>
          <w:szCs w:val="28"/>
        </w:rPr>
      </w:pPr>
      <w:r w:rsidRPr="002B21D7">
        <w:rPr>
          <w:rFonts w:ascii="Times New Roman" w:hAnsi="Times New Roman" w:cs="Times New Roman"/>
          <w:sz w:val="28"/>
          <w:szCs w:val="28"/>
        </w:rPr>
        <w:t>Рівень ліквідності НПФ “ОТП ПЕНСІЯ” є високим, цей висновок можна зробити</w:t>
      </w:r>
      <w:r w:rsidR="00BE7F90" w:rsidRPr="002B21D7">
        <w:rPr>
          <w:rFonts w:ascii="Times New Roman" w:hAnsi="Times New Roman" w:cs="Times New Roman"/>
          <w:sz w:val="28"/>
          <w:szCs w:val="28"/>
        </w:rPr>
        <w:t xml:space="preserve"> на основі таких показників:</w:t>
      </w:r>
    </w:p>
    <w:p w14:paraId="1B1F5BB9" w14:textId="77777777" w:rsidR="002766F0" w:rsidRPr="002B21D7" w:rsidRDefault="002766F0" w:rsidP="002B21D7">
      <w:pPr>
        <w:rPr>
          <w:rFonts w:ascii="Times New Roman" w:hAnsi="Times New Roman" w:cs="Times New Roman"/>
          <w:sz w:val="28"/>
          <w:szCs w:val="28"/>
        </w:rPr>
      </w:pPr>
      <w:r w:rsidRPr="002B21D7">
        <w:rPr>
          <w:rFonts w:ascii="Times New Roman" w:hAnsi="Times New Roman" w:cs="Times New Roman"/>
          <w:sz w:val="28"/>
          <w:szCs w:val="28"/>
        </w:rPr>
        <w:lastRenderedPageBreak/>
        <w:t>Структура активів: Фонд розподіляє свої інвестиції між різними активами, що допомагає зменшити ризик і забезпечує ліквідність. Зокрема, 49,4% активів фонду складають облігації внутрішньої державної позики (ОВДП), які є високоліквідними активами.</w:t>
      </w:r>
    </w:p>
    <w:p w14:paraId="1D0E95FC" w14:textId="77777777" w:rsidR="002766F0" w:rsidRPr="002B21D7" w:rsidRDefault="002766F0" w:rsidP="002B21D7">
      <w:pPr>
        <w:rPr>
          <w:rFonts w:ascii="Times New Roman" w:hAnsi="Times New Roman" w:cs="Times New Roman"/>
          <w:sz w:val="28"/>
          <w:szCs w:val="28"/>
        </w:rPr>
      </w:pPr>
      <w:r w:rsidRPr="002B21D7">
        <w:rPr>
          <w:rFonts w:ascii="Times New Roman" w:hAnsi="Times New Roman" w:cs="Times New Roman"/>
          <w:sz w:val="28"/>
          <w:szCs w:val="28"/>
        </w:rPr>
        <w:t>Депозити: 47,4% активів фонду складають депозити. Це також високоліквідні активи, які можуть бути швидко перетворені на готівку.</w:t>
      </w:r>
    </w:p>
    <w:p w14:paraId="539CACDA" w14:textId="77777777" w:rsidR="002766F0" w:rsidRPr="002B21D7" w:rsidRDefault="002766F0" w:rsidP="002B21D7">
      <w:pPr>
        <w:rPr>
          <w:rFonts w:ascii="Times New Roman" w:hAnsi="Times New Roman" w:cs="Times New Roman"/>
          <w:sz w:val="28"/>
          <w:szCs w:val="28"/>
        </w:rPr>
      </w:pPr>
      <w:r w:rsidRPr="002B21D7">
        <w:rPr>
          <w:rFonts w:ascii="Times New Roman" w:hAnsi="Times New Roman" w:cs="Times New Roman"/>
          <w:sz w:val="28"/>
          <w:szCs w:val="28"/>
        </w:rPr>
        <w:t xml:space="preserve">Загальна чиста </w:t>
      </w:r>
      <w:proofErr w:type="spellStart"/>
      <w:r w:rsidRPr="002B21D7">
        <w:rPr>
          <w:rFonts w:ascii="Times New Roman" w:hAnsi="Times New Roman" w:cs="Times New Roman"/>
          <w:sz w:val="28"/>
          <w:szCs w:val="28"/>
        </w:rPr>
        <w:t>вартiсть</w:t>
      </w:r>
      <w:proofErr w:type="spellEnd"/>
      <w:r w:rsidRPr="002B21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21D7">
        <w:rPr>
          <w:rFonts w:ascii="Times New Roman" w:hAnsi="Times New Roman" w:cs="Times New Roman"/>
          <w:sz w:val="28"/>
          <w:szCs w:val="28"/>
        </w:rPr>
        <w:t>активiв</w:t>
      </w:r>
      <w:proofErr w:type="spellEnd"/>
      <w:r w:rsidRPr="002B21D7">
        <w:rPr>
          <w:rFonts w:ascii="Times New Roman" w:hAnsi="Times New Roman" w:cs="Times New Roman"/>
          <w:sz w:val="28"/>
          <w:szCs w:val="28"/>
        </w:rPr>
        <w:t xml:space="preserve">: Загальна чиста </w:t>
      </w:r>
      <w:proofErr w:type="spellStart"/>
      <w:r w:rsidRPr="002B21D7">
        <w:rPr>
          <w:rFonts w:ascii="Times New Roman" w:hAnsi="Times New Roman" w:cs="Times New Roman"/>
          <w:sz w:val="28"/>
          <w:szCs w:val="28"/>
        </w:rPr>
        <w:t>вартiсть</w:t>
      </w:r>
      <w:proofErr w:type="spellEnd"/>
      <w:r w:rsidRPr="002B21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21D7">
        <w:rPr>
          <w:rFonts w:ascii="Times New Roman" w:hAnsi="Times New Roman" w:cs="Times New Roman"/>
          <w:sz w:val="28"/>
          <w:szCs w:val="28"/>
        </w:rPr>
        <w:t>активiв</w:t>
      </w:r>
      <w:proofErr w:type="spellEnd"/>
      <w:r w:rsidRPr="002B21D7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2B21D7">
        <w:rPr>
          <w:rFonts w:ascii="Times New Roman" w:hAnsi="Times New Roman" w:cs="Times New Roman"/>
          <w:sz w:val="28"/>
          <w:szCs w:val="28"/>
        </w:rPr>
        <w:t>кiнець</w:t>
      </w:r>
      <w:proofErr w:type="spellEnd"/>
      <w:r w:rsidRPr="002B21D7">
        <w:rPr>
          <w:rFonts w:ascii="Times New Roman" w:hAnsi="Times New Roman" w:cs="Times New Roman"/>
          <w:sz w:val="28"/>
          <w:szCs w:val="28"/>
        </w:rPr>
        <w:t xml:space="preserve"> вересня складала 456 371 998 грн. Це показник загальної </w:t>
      </w:r>
      <w:proofErr w:type="spellStart"/>
      <w:r w:rsidRPr="002B21D7">
        <w:rPr>
          <w:rFonts w:ascii="Times New Roman" w:hAnsi="Times New Roman" w:cs="Times New Roman"/>
          <w:sz w:val="28"/>
          <w:szCs w:val="28"/>
        </w:rPr>
        <w:t>вартостi</w:t>
      </w:r>
      <w:proofErr w:type="spellEnd"/>
      <w:r w:rsidRPr="002B21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21D7">
        <w:rPr>
          <w:rFonts w:ascii="Times New Roman" w:hAnsi="Times New Roman" w:cs="Times New Roman"/>
          <w:sz w:val="28"/>
          <w:szCs w:val="28"/>
        </w:rPr>
        <w:t>активiв</w:t>
      </w:r>
      <w:proofErr w:type="spellEnd"/>
      <w:r w:rsidRPr="002B21D7">
        <w:rPr>
          <w:rFonts w:ascii="Times New Roman" w:hAnsi="Times New Roman" w:cs="Times New Roman"/>
          <w:sz w:val="28"/>
          <w:szCs w:val="28"/>
        </w:rPr>
        <w:t xml:space="preserve"> фонду, </w:t>
      </w:r>
      <w:proofErr w:type="spellStart"/>
      <w:r w:rsidRPr="002B21D7">
        <w:rPr>
          <w:rFonts w:ascii="Times New Roman" w:hAnsi="Times New Roman" w:cs="Times New Roman"/>
          <w:sz w:val="28"/>
          <w:szCs w:val="28"/>
        </w:rPr>
        <w:t>якi</w:t>
      </w:r>
      <w:proofErr w:type="spellEnd"/>
      <w:r w:rsidRPr="002B21D7">
        <w:rPr>
          <w:rFonts w:ascii="Times New Roman" w:hAnsi="Times New Roman" w:cs="Times New Roman"/>
          <w:sz w:val="28"/>
          <w:szCs w:val="28"/>
        </w:rPr>
        <w:t xml:space="preserve"> можуть бути </w:t>
      </w:r>
      <w:proofErr w:type="spellStart"/>
      <w:r w:rsidRPr="002B21D7">
        <w:rPr>
          <w:rFonts w:ascii="Times New Roman" w:hAnsi="Times New Roman" w:cs="Times New Roman"/>
          <w:sz w:val="28"/>
          <w:szCs w:val="28"/>
        </w:rPr>
        <w:t>використанi</w:t>
      </w:r>
      <w:proofErr w:type="spellEnd"/>
      <w:r w:rsidRPr="002B21D7">
        <w:rPr>
          <w:rFonts w:ascii="Times New Roman" w:hAnsi="Times New Roman" w:cs="Times New Roman"/>
          <w:sz w:val="28"/>
          <w:szCs w:val="28"/>
        </w:rPr>
        <w:t xml:space="preserve"> для виплати </w:t>
      </w:r>
      <w:proofErr w:type="spellStart"/>
      <w:r w:rsidRPr="002B21D7">
        <w:rPr>
          <w:rFonts w:ascii="Times New Roman" w:hAnsi="Times New Roman" w:cs="Times New Roman"/>
          <w:sz w:val="28"/>
          <w:szCs w:val="28"/>
        </w:rPr>
        <w:t>пенсiй</w:t>
      </w:r>
      <w:proofErr w:type="spellEnd"/>
      <w:r w:rsidRPr="002B21D7">
        <w:rPr>
          <w:rFonts w:ascii="Times New Roman" w:hAnsi="Times New Roman" w:cs="Times New Roman"/>
          <w:sz w:val="28"/>
          <w:szCs w:val="28"/>
        </w:rPr>
        <w:t>.</w:t>
      </w:r>
    </w:p>
    <w:p w14:paraId="61AF011C" w14:textId="3AC3A642" w:rsidR="00D43CED" w:rsidRPr="002B21D7" w:rsidRDefault="002B21D7" w:rsidP="002B21D7">
      <w:pPr>
        <w:rPr>
          <w:rFonts w:ascii="Times New Roman" w:hAnsi="Times New Roman" w:cs="Times New Roman"/>
          <w:sz w:val="28"/>
          <w:szCs w:val="28"/>
        </w:rPr>
      </w:pPr>
      <w:r w:rsidRPr="002B21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CE116F" wp14:editId="67528DE4">
            <wp:extent cx="6120765" cy="32207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EE018" w14:textId="77777777" w:rsidR="00236705" w:rsidRPr="002B21D7" w:rsidRDefault="009B352C" w:rsidP="002B21D7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14" w:tgtFrame="_blank" w:history="1">
        <w:r w:rsidRPr="002B21D7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Кількість учасників і тривалість роботи на ринку (</w:t>
        </w:r>
        <w:proofErr w:type="spellStart"/>
        <w:r w:rsidRPr="002B21D7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надiйнiсть</w:t>
        </w:r>
        <w:proofErr w:type="spellEnd"/>
        <w:r w:rsidRPr="002B21D7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 xml:space="preserve">): </w:t>
        </w:r>
      </w:hyperlink>
    </w:p>
    <w:p w14:paraId="567A5986" w14:textId="7CF69EF4" w:rsidR="009B352C" w:rsidRDefault="00D43CED" w:rsidP="002B21D7">
      <w:pPr>
        <w:rPr>
          <w:rFonts w:ascii="Times New Roman" w:hAnsi="Times New Roman" w:cs="Times New Roman"/>
          <w:sz w:val="28"/>
          <w:szCs w:val="28"/>
        </w:rPr>
      </w:pPr>
      <w:r w:rsidRPr="002B21D7">
        <w:rPr>
          <w:rFonts w:ascii="Times New Roman" w:hAnsi="Times New Roman" w:cs="Times New Roman"/>
          <w:sz w:val="28"/>
          <w:szCs w:val="28"/>
        </w:rPr>
        <w:t>«ОТП Пенсія»</w:t>
      </w:r>
      <w:r w:rsidR="00236705" w:rsidRPr="002B21D7">
        <w:rPr>
          <w:rFonts w:ascii="Times New Roman" w:hAnsi="Times New Roman" w:cs="Times New Roman"/>
          <w:sz w:val="28"/>
          <w:szCs w:val="28"/>
        </w:rPr>
        <w:t xml:space="preserve"> </w:t>
      </w:r>
      <w:r w:rsidRPr="002B21D7">
        <w:rPr>
          <w:rFonts w:ascii="Times New Roman" w:hAnsi="Times New Roman" w:cs="Times New Roman"/>
          <w:sz w:val="28"/>
          <w:szCs w:val="28"/>
        </w:rPr>
        <w:t>має більш ніж 10-річну історію успіху. За період своєї діяльності фонд пройшов шлях від початківця до провідного учасника ринку недержавного пенсійного забезпечення. У інвестиційній діяльності фонд дотримується виваженої збалансованої стратегії. Активно працює як з фізичними, так і з юридичними особами. Наразі «ОТП Пенсія» є одним з найдинамічніше зростаючих недержавних пенсійних фондів.</w:t>
      </w:r>
    </w:p>
    <w:p w14:paraId="1C3CEC95" w14:textId="3184AC66" w:rsidR="002B21D7" w:rsidRPr="002B21D7" w:rsidRDefault="002B21D7" w:rsidP="002B21D7">
      <w:pPr>
        <w:rPr>
          <w:rFonts w:ascii="Times New Roman" w:hAnsi="Times New Roman" w:cs="Times New Roman"/>
          <w:sz w:val="28"/>
          <w:szCs w:val="28"/>
        </w:rPr>
      </w:pPr>
    </w:p>
    <w:p w14:paraId="6821531C" w14:textId="5C494E95" w:rsidR="00D43CED" w:rsidRDefault="002B21D7" w:rsidP="002B21D7">
      <w:pPr>
        <w:rPr>
          <w:rFonts w:ascii="Times New Roman" w:hAnsi="Times New Roman" w:cs="Times New Roman"/>
          <w:sz w:val="28"/>
          <w:szCs w:val="28"/>
        </w:rPr>
      </w:pPr>
      <w:r w:rsidRPr="002B21D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A27983C" wp14:editId="51B40BF6">
            <wp:extent cx="6120765" cy="192786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88193" w14:textId="1A740FF3" w:rsidR="002B21D7" w:rsidRPr="002B21D7" w:rsidRDefault="002B21D7" w:rsidP="002B21D7">
      <w:pPr>
        <w:rPr>
          <w:rFonts w:ascii="Times New Roman" w:hAnsi="Times New Roman" w:cs="Times New Roman"/>
          <w:sz w:val="28"/>
          <w:szCs w:val="28"/>
        </w:rPr>
      </w:pPr>
      <w:r w:rsidRPr="002B21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9499F7" wp14:editId="6CE39DE0">
            <wp:extent cx="4343776" cy="173751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958F3" w14:textId="7AAD7BD1" w:rsidR="009B352C" w:rsidRPr="002B21D7" w:rsidRDefault="009B352C" w:rsidP="002B21D7">
      <w:pPr>
        <w:rPr>
          <w:rFonts w:ascii="Times New Roman" w:hAnsi="Times New Roman" w:cs="Times New Roman"/>
          <w:sz w:val="28"/>
          <w:szCs w:val="28"/>
        </w:rPr>
      </w:pPr>
      <w:hyperlink r:id="rId17" w:history="1">
        <w:r w:rsidRPr="002B21D7">
          <w:rPr>
            <w:rStyle w:val="a4"/>
            <w:rFonts w:ascii="Times New Roman" w:hAnsi="Times New Roman" w:cs="Times New Roman"/>
            <w:sz w:val="28"/>
            <w:szCs w:val="28"/>
          </w:rPr>
          <w:t xml:space="preserve">Чиста </w:t>
        </w:r>
        <w:proofErr w:type="spellStart"/>
        <w:r w:rsidRPr="002B21D7">
          <w:rPr>
            <w:rStyle w:val="a4"/>
            <w:rFonts w:ascii="Times New Roman" w:hAnsi="Times New Roman" w:cs="Times New Roman"/>
            <w:sz w:val="28"/>
            <w:szCs w:val="28"/>
          </w:rPr>
          <w:t>вартiсть</w:t>
        </w:r>
        <w:proofErr w:type="spellEnd"/>
        <w:r w:rsidRPr="002B21D7">
          <w:rPr>
            <w:rStyle w:val="a4"/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B21D7">
          <w:rPr>
            <w:rStyle w:val="a4"/>
            <w:rFonts w:ascii="Times New Roman" w:hAnsi="Times New Roman" w:cs="Times New Roman"/>
            <w:sz w:val="28"/>
            <w:szCs w:val="28"/>
          </w:rPr>
          <w:t>активiв</w:t>
        </w:r>
        <w:proofErr w:type="spellEnd"/>
        <w:r w:rsidRPr="002B21D7">
          <w:rPr>
            <w:rStyle w:val="a4"/>
            <w:rFonts w:ascii="Times New Roman" w:hAnsi="Times New Roman" w:cs="Times New Roman"/>
            <w:sz w:val="28"/>
            <w:szCs w:val="28"/>
          </w:rPr>
          <w:t xml:space="preserve">: </w:t>
        </w:r>
      </w:hyperlink>
      <w:r w:rsidR="00BE7F90" w:rsidRPr="002B21D7">
        <w:rPr>
          <w:rFonts w:ascii="Times New Roman" w:hAnsi="Times New Roman" w:cs="Times New Roman"/>
          <w:sz w:val="28"/>
          <w:szCs w:val="28"/>
        </w:rPr>
        <w:t xml:space="preserve"> Загальна чиста </w:t>
      </w:r>
      <w:proofErr w:type="spellStart"/>
      <w:r w:rsidR="00BE7F90" w:rsidRPr="002B21D7">
        <w:rPr>
          <w:rFonts w:ascii="Times New Roman" w:hAnsi="Times New Roman" w:cs="Times New Roman"/>
          <w:sz w:val="28"/>
          <w:szCs w:val="28"/>
        </w:rPr>
        <w:t>вартiсть</w:t>
      </w:r>
      <w:proofErr w:type="spellEnd"/>
      <w:r w:rsidR="00BE7F90" w:rsidRPr="002B21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7F90" w:rsidRPr="002B21D7">
        <w:rPr>
          <w:rFonts w:ascii="Times New Roman" w:hAnsi="Times New Roman" w:cs="Times New Roman"/>
          <w:sz w:val="28"/>
          <w:szCs w:val="28"/>
        </w:rPr>
        <w:t>активiв</w:t>
      </w:r>
      <w:proofErr w:type="spellEnd"/>
      <w:r w:rsidR="00BE7F90" w:rsidRPr="002B21D7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="00BE7F90" w:rsidRPr="002B21D7">
        <w:rPr>
          <w:rFonts w:ascii="Times New Roman" w:hAnsi="Times New Roman" w:cs="Times New Roman"/>
          <w:sz w:val="28"/>
          <w:szCs w:val="28"/>
        </w:rPr>
        <w:t>кiнець</w:t>
      </w:r>
      <w:proofErr w:type="spellEnd"/>
      <w:r w:rsidR="00BE7F90" w:rsidRPr="002B21D7">
        <w:rPr>
          <w:rFonts w:ascii="Times New Roman" w:hAnsi="Times New Roman" w:cs="Times New Roman"/>
          <w:sz w:val="28"/>
          <w:szCs w:val="28"/>
        </w:rPr>
        <w:t xml:space="preserve"> вересня складала 456 371 998 грн. Це показник загальної </w:t>
      </w:r>
      <w:proofErr w:type="spellStart"/>
      <w:r w:rsidR="00BE7F90" w:rsidRPr="002B21D7">
        <w:rPr>
          <w:rFonts w:ascii="Times New Roman" w:hAnsi="Times New Roman" w:cs="Times New Roman"/>
          <w:sz w:val="28"/>
          <w:szCs w:val="28"/>
        </w:rPr>
        <w:t>вартостi</w:t>
      </w:r>
      <w:proofErr w:type="spellEnd"/>
      <w:r w:rsidR="00BE7F90" w:rsidRPr="002B21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7F90" w:rsidRPr="002B21D7">
        <w:rPr>
          <w:rFonts w:ascii="Times New Roman" w:hAnsi="Times New Roman" w:cs="Times New Roman"/>
          <w:sz w:val="28"/>
          <w:szCs w:val="28"/>
        </w:rPr>
        <w:t>активiв</w:t>
      </w:r>
      <w:proofErr w:type="spellEnd"/>
      <w:r w:rsidR="00BE7F90" w:rsidRPr="002B21D7">
        <w:rPr>
          <w:rFonts w:ascii="Times New Roman" w:hAnsi="Times New Roman" w:cs="Times New Roman"/>
          <w:sz w:val="28"/>
          <w:szCs w:val="28"/>
        </w:rPr>
        <w:t xml:space="preserve"> фонду, </w:t>
      </w:r>
      <w:proofErr w:type="spellStart"/>
      <w:r w:rsidR="00BE7F90" w:rsidRPr="002B21D7">
        <w:rPr>
          <w:rFonts w:ascii="Times New Roman" w:hAnsi="Times New Roman" w:cs="Times New Roman"/>
          <w:sz w:val="28"/>
          <w:szCs w:val="28"/>
        </w:rPr>
        <w:t>якi</w:t>
      </w:r>
      <w:proofErr w:type="spellEnd"/>
      <w:r w:rsidR="00BE7F90" w:rsidRPr="002B21D7">
        <w:rPr>
          <w:rFonts w:ascii="Times New Roman" w:hAnsi="Times New Roman" w:cs="Times New Roman"/>
          <w:sz w:val="28"/>
          <w:szCs w:val="28"/>
        </w:rPr>
        <w:t xml:space="preserve"> можуть бути </w:t>
      </w:r>
      <w:proofErr w:type="spellStart"/>
      <w:r w:rsidR="00BE7F90" w:rsidRPr="002B21D7">
        <w:rPr>
          <w:rFonts w:ascii="Times New Roman" w:hAnsi="Times New Roman" w:cs="Times New Roman"/>
          <w:sz w:val="28"/>
          <w:szCs w:val="28"/>
        </w:rPr>
        <w:t>використанi</w:t>
      </w:r>
      <w:proofErr w:type="spellEnd"/>
      <w:r w:rsidR="00BE7F90" w:rsidRPr="002B21D7">
        <w:rPr>
          <w:rFonts w:ascii="Times New Roman" w:hAnsi="Times New Roman" w:cs="Times New Roman"/>
          <w:sz w:val="28"/>
          <w:szCs w:val="28"/>
        </w:rPr>
        <w:t xml:space="preserve"> для виплати </w:t>
      </w:r>
      <w:proofErr w:type="spellStart"/>
      <w:r w:rsidR="00BE7F90" w:rsidRPr="002B21D7">
        <w:rPr>
          <w:rFonts w:ascii="Times New Roman" w:hAnsi="Times New Roman" w:cs="Times New Roman"/>
          <w:sz w:val="28"/>
          <w:szCs w:val="28"/>
        </w:rPr>
        <w:t>пенсiй</w:t>
      </w:r>
      <w:proofErr w:type="spellEnd"/>
      <w:r w:rsidR="00BE7F90" w:rsidRPr="002B21D7">
        <w:rPr>
          <w:rFonts w:ascii="Times New Roman" w:hAnsi="Times New Roman" w:cs="Times New Roman"/>
          <w:sz w:val="28"/>
          <w:szCs w:val="28"/>
        </w:rPr>
        <w:t>.</w:t>
      </w:r>
    </w:p>
    <w:p w14:paraId="27677792" w14:textId="77777777" w:rsidR="00D43CED" w:rsidRPr="002B21D7" w:rsidRDefault="00D43CED" w:rsidP="002B21D7">
      <w:pPr>
        <w:rPr>
          <w:rFonts w:ascii="Times New Roman" w:hAnsi="Times New Roman" w:cs="Times New Roman"/>
          <w:sz w:val="28"/>
          <w:szCs w:val="28"/>
        </w:rPr>
      </w:pPr>
    </w:p>
    <w:p w14:paraId="48C1821C" w14:textId="77777777" w:rsidR="00D43CED" w:rsidRPr="002B21D7" w:rsidRDefault="00D43CED" w:rsidP="002B21D7">
      <w:pPr>
        <w:rPr>
          <w:rFonts w:ascii="Times New Roman" w:hAnsi="Times New Roman" w:cs="Times New Roman"/>
          <w:sz w:val="28"/>
          <w:szCs w:val="28"/>
        </w:rPr>
      </w:pPr>
    </w:p>
    <w:p w14:paraId="54990E07" w14:textId="7AB60191" w:rsidR="009B352C" w:rsidRPr="002B21D7" w:rsidRDefault="009B352C" w:rsidP="002B21D7">
      <w:pPr>
        <w:rPr>
          <w:rFonts w:ascii="Times New Roman" w:hAnsi="Times New Roman" w:cs="Times New Roman"/>
          <w:sz w:val="28"/>
          <w:szCs w:val="28"/>
        </w:rPr>
      </w:pPr>
      <w:r w:rsidRPr="002B21D7">
        <w:rPr>
          <w:rFonts w:ascii="Times New Roman" w:hAnsi="Times New Roman" w:cs="Times New Roman"/>
          <w:sz w:val="28"/>
          <w:szCs w:val="28"/>
        </w:rPr>
        <w:t xml:space="preserve">Сума прибутку (збитку) </w:t>
      </w:r>
      <w:proofErr w:type="spellStart"/>
      <w:r w:rsidRPr="002B21D7">
        <w:rPr>
          <w:rFonts w:ascii="Times New Roman" w:hAnsi="Times New Roman" w:cs="Times New Roman"/>
          <w:sz w:val="28"/>
          <w:szCs w:val="28"/>
        </w:rPr>
        <w:t>вiд</w:t>
      </w:r>
      <w:proofErr w:type="spellEnd"/>
      <w:r w:rsidRPr="002B21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21D7">
        <w:rPr>
          <w:rFonts w:ascii="Times New Roman" w:hAnsi="Times New Roman" w:cs="Times New Roman"/>
          <w:sz w:val="28"/>
          <w:szCs w:val="28"/>
        </w:rPr>
        <w:t>iнвестування</w:t>
      </w:r>
      <w:proofErr w:type="spellEnd"/>
      <w:r w:rsidRPr="002B21D7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7F1BB43" w14:textId="052E9424" w:rsidR="00C52A5F" w:rsidRPr="002B21D7" w:rsidRDefault="00BE7F90" w:rsidP="002B21D7">
      <w:pPr>
        <w:rPr>
          <w:rFonts w:ascii="Times New Roman" w:hAnsi="Times New Roman" w:cs="Times New Roman"/>
          <w:sz w:val="28"/>
          <w:szCs w:val="28"/>
        </w:rPr>
      </w:pPr>
      <w:r w:rsidRPr="002B21D7">
        <w:rPr>
          <w:rFonts w:ascii="Times New Roman" w:hAnsi="Times New Roman" w:cs="Times New Roman"/>
          <w:sz w:val="28"/>
          <w:szCs w:val="28"/>
        </w:rPr>
        <w:t>Сума прибутку (збитку) станом на початку періоду: 160 196 422.16</w:t>
      </w:r>
    </w:p>
    <w:p w14:paraId="4B8983BD" w14:textId="1C5A8BFD" w:rsidR="00BE7F90" w:rsidRPr="002B21D7" w:rsidRDefault="00BE7F90" w:rsidP="002B21D7">
      <w:pPr>
        <w:rPr>
          <w:rFonts w:ascii="Times New Roman" w:hAnsi="Times New Roman" w:cs="Times New Roman"/>
          <w:sz w:val="28"/>
          <w:szCs w:val="28"/>
        </w:rPr>
      </w:pPr>
      <w:r w:rsidRPr="002B21D7">
        <w:rPr>
          <w:rFonts w:ascii="Times New Roman" w:hAnsi="Times New Roman" w:cs="Times New Roman"/>
          <w:sz w:val="28"/>
          <w:szCs w:val="28"/>
        </w:rPr>
        <w:t>Сума прибутку (збитку) станом на кінець періоду: 179 285 038.41</w:t>
      </w:r>
    </w:p>
    <w:p w14:paraId="1E0C8C0C" w14:textId="626563DA" w:rsidR="00BE7F90" w:rsidRPr="002B21D7" w:rsidRDefault="00BE7F90" w:rsidP="002B21D7">
      <w:pPr>
        <w:rPr>
          <w:rFonts w:ascii="Times New Roman" w:hAnsi="Times New Roman" w:cs="Times New Roman"/>
          <w:sz w:val="28"/>
          <w:szCs w:val="28"/>
        </w:rPr>
      </w:pPr>
      <w:r w:rsidRPr="002B21D7">
        <w:rPr>
          <w:rFonts w:ascii="Times New Roman" w:hAnsi="Times New Roman" w:cs="Times New Roman"/>
          <w:sz w:val="28"/>
          <w:szCs w:val="28"/>
        </w:rPr>
        <w:t>Тобто зміна суми прибутку(збитку): 19 088 616.25</w:t>
      </w:r>
    </w:p>
    <w:p w14:paraId="58B93569" w14:textId="0AFAED7C" w:rsidR="00BE7F90" w:rsidRPr="002B21D7" w:rsidRDefault="00BE7F90" w:rsidP="002B21D7">
      <w:pPr>
        <w:rPr>
          <w:rFonts w:ascii="Times New Roman" w:hAnsi="Times New Roman" w:cs="Times New Roman"/>
          <w:sz w:val="28"/>
          <w:szCs w:val="28"/>
        </w:rPr>
      </w:pPr>
    </w:p>
    <w:p w14:paraId="5F26CD3F" w14:textId="77777777" w:rsidR="00BE7F90" w:rsidRPr="002B21D7" w:rsidRDefault="00BE7F90" w:rsidP="002B21D7">
      <w:pPr>
        <w:rPr>
          <w:rFonts w:ascii="Times New Roman" w:hAnsi="Times New Roman" w:cs="Times New Roman"/>
          <w:sz w:val="28"/>
          <w:szCs w:val="28"/>
        </w:rPr>
      </w:pPr>
    </w:p>
    <w:sectPr w:rsidR="00BE7F90" w:rsidRPr="002B21D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7530D"/>
    <w:multiLevelType w:val="hybridMultilevel"/>
    <w:tmpl w:val="A01E514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480106"/>
    <w:multiLevelType w:val="hybridMultilevel"/>
    <w:tmpl w:val="E604AEC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8C33A9"/>
    <w:multiLevelType w:val="hybridMultilevel"/>
    <w:tmpl w:val="35E4CEB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E15485"/>
    <w:multiLevelType w:val="multilevel"/>
    <w:tmpl w:val="5308CC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3E78EE"/>
    <w:multiLevelType w:val="hybridMultilevel"/>
    <w:tmpl w:val="9CC824D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8B33A1"/>
    <w:multiLevelType w:val="multilevel"/>
    <w:tmpl w:val="A69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E741E6"/>
    <w:multiLevelType w:val="hybridMultilevel"/>
    <w:tmpl w:val="D03ABAD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4F07F0"/>
    <w:multiLevelType w:val="multilevel"/>
    <w:tmpl w:val="55FAE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5"/>
  </w:num>
  <w:num w:numId="5">
    <w:abstractNumId w:val="0"/>
  </w:num>
  <w:num w:numId="6">
    <w:abstractNumId w:val="7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5E4"/>
    <w:rsid w:val="0013037F"/>
    <w:rsid w:val="00236705"/>
    <w:rsid w:val="002766F0"/>
    <w:rsid w:val="002B21D7"/>
    <w:rsid w:val="006B2C9F"/>
    <w:rsid w:val="00837035"/>
    <w:rsid w:val="009B352C"/>
    <w:rsid w:val="00A975E4"/>
    <w:rsid w:val="00BE7F90"/>
    <w:rsid w:val="00C52A5F"/>
    <w:rsid w:val="00D43CED"/>
    <w:rsid w:val="00DE69E7"/>
    <w:rsid w:val="00EB4AC6"/>
    <w:rsid w:val="00F2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EC9BB"/>
  <w15:chartTrackingRefBased/>
  <w15:docId w15:val="{06FC3099-3DCA-4A56-8305-943E36FFF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B35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Hyperlink"/>
    <w:basedOn w:val="a0"/>
    <w:uiPriority w:val="99"/>
    <w:unhideWhenUsed/>
    <w:rsid w:val="009B352C"/>
    <w:rPr>
      <w:color w:val="0000FF"/>
      <w:u w:val="single"/>
    </w:rPr>
  </w:style>
  <w:style w:type="character" w:styleId="a5">
    <w:name w:val="Strong"/>
    <w:basedOn w:val="a0"/>
    <w:uiPriority w:val="22"/>
    <w:qFormat/>
    <w:rsid w:val="009B352C"/>
    <w:rPr>
      <w:b/>
      <w:bCs/>
    </w:rPr>
  </w:style>
  <w:style w:type="paragraph" w:styleId="a6">
    <w:name w:val="List Paragraph"/>
    <w:basedOn w:val="a"/>
    <w:uiPriority w:val="34"/>
    <w:qFormat/>
    <w:rsid w:val="00D43CED"/>
    <w:pPr>
      <w:ind w:left="720"/>
      <w:contextualSpacing/>
    </w:pPr>
  </w:style>
  <w:style w:type="character" w:styleId="a7">
    <w:name w:val="FollowedHyperlink"/>
    <w:basedOn w:val="a0"/>
    <w:uiPriority w:val="99"/>
    <w:semiHidden/>
    <w:unhideWhenUsed/>
    <w:rsid w:val="00BE7F9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1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62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256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80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47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126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otpcapital.com.ua/2023/10/04/aktyvy-npf-otp-pensiya-ta-friflajt-podiyi-veresnya-2023-roku/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www.otpcapital.com.ua/2023/03/24/kudy-investuyut-moyi-koshty-struktura-npf-otp-pensiya/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https://www.otpcapital.com.ua/2023/10/04/aktyvy-npf-otp-pensiya-ta-friflajt-podiyi-veresnya-2023-roku/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www.otpcapital.com.ua/2023/10/04/aktyvy-npf-otp-pensiya-ta-friflajt-podiyi-veresnya-2023-roku/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www.otpcapital.com.ua/pension-funds_2/fund-otp-pension/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5</Pages>
  <Words>2310</Words>
  <Characters>1317</Characters>
  <Application>Microsoft Office Word</Application>
  <DocSecurity>0</DocSecurity>
  <Lines>10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3</cp:revision>
  <dcterms:created xsi:type="dcterms:W3CDTF">2023-10-30T14:29:00Z</dcterms:created>
  <dcterms:modified xsi:type="dcterms:W3CDTF">2023-10-30T17:29:00Z</dcterms:modified>
</cp:coreProperties>
</file>