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75A"/>
          <w:sz w:val="34"/>
        </w:rPr>
        <w:t>ЛАБОРАТОРНА РОБОТА</w:t>
        <w:br/>
      </w:r>
      <w:r>
        <w:rPr>
          <w:b/>
          <w:sz w:val="30"/>
        </w:rPr>
        <w:t>Варіант 52. Нечіткі відношення</w:t>
      </w:r>
    </w:p>
    <w:p>
      <w:pPr>
        <w:spacing w:after="160"/>
        <w:jc w:val="center"/>
      </w:pPr>
      <w:r>
        <w:rPr>
          <w:i/>
        </w:rPr>
        <w:t>Завдання 1: програмна реалізація та результати. Завдання 2: короткий теоретичний конспект.</w:t>
      </w:r>
    </w:p>
    <w:p>
      <w:pPr>
        <w:pStyle w:val="Heading1"/>
      </w:pPr>
      <w:r>
        <w:t>1. Початкові дані</w:t>
      </w:r>
    </w:p>
    <w:p>
      <w:r>
        <w:t>Нехай задано нечіткі відношення R1 та R2 на множині X = {x1, x2, x3, x4, x5}.</w:t>
      </w:r>
    </w:p>
    <w:p>
      <w:pPr>
        <w:spacing w:before="40" w:after="40"/>
      </w:pPr>
      <w:r>
        <w:rPr>
          <w:b/>
        </w:rPr>
        <w:t>Матриця R1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A6A6A6"/>
          <w:left w:val="single" w:sz="8" w:color="A6A6A6"/>
          <w:bottom w:val="single" w:sz="8" w:color="A6A6A6"/>
          <w:right w:val="single" w:sz="8" w:color="A6A6A6"/>
          <w:insideH w:val="single" w:sz="8" w:color="A6A6A6"/>
          <w:insideV w:val="single" w:sz="8" w:color="A6A6A6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</w:tbl>
    <w:p>
      <w:pPr>
        <w:spacing w:after="20"/>
      </w:pPr>
    </w:p>
    <w:p>
      <w:pPr>
        <w:spacing w:before="40" w:after="40"/>
      </w:pPr>
      <w:r>
        <w:rPr>
          <w:b/>
        </w:rPr>
        <w:t>Матриця R2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A6A6A6"/>
          <w:left w:val="single" w:sz="8" w:color="A6A6A6"/>
          <w:bottom w:val="single" w:sz="8" w:color="A6A6A6"/>
          <w:right w:val="single" w:sz="8" w:color="A6A6A6"/>
          <w:insideH w:val="single" w:sz="8" w:color="A6A6A6"/>
          <w:insideV w:val="single" w:sz="8" w:color="A6A6A6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</w:tbl>
    <w:p>
      <w:pPr>
        <w:spacing w:after="20"/>
      </w:pPr>
    </w:p>
    <w:p>
      <w:pPr>
        <w:pStyle w:val="Heading1"/>
      </w:pPr>
      <w:r>
        <w:t>2. Формули, що використовуються</w:t>
      </w:r>
    </w:p>
    <w:p>
      <w:pPr>
        <w:pStyle w:val="ListBullet"/>
        <w:spacing w:after="0"/>
      </w:pPr>
      <w:r>
        <w:t>Об’єднання: μ(R1 ∪ R2) = max(μR1, μR2).</w:t>
      </w:r>
    </w:p>
    <w:p>
      <w:pPr>
        <w:pStyle w:val="ListBullet"/>
        <w:spacing w:after="0"/>
      </w:pPr>
      <w:r>
        <w:t>Перетин: μ(R1 ∩ R2) = min(μR1, μR2).</w:t>
      </w:r>
    </w:p>
    <w:p>
      <w:pPr>
        <w:pStyle w:val="ListBullet"/>
        <w:spacing w:after="0"/>
      </w:pPr>
      <w:r>
        <w:t>Доповнення: μ(¬R1) = 1 - μR1.</w:t>
      </w:r>
    </w:p>
    <w:p>
      <w:pPr>
        <w:pStyle w:val="ListBullet"/>
        <w:spacing w:after="0"/>
      </w:pPr>
      <w:r>
        <w:t>Різниця: R1 \ R2 = R1 ∩ ¬R2, тобто μ(R1 \ R2) = min(μR1, 1 - μR2).</w:t>
      </w:r>
    </w:p>
    <w:p>
      <w:pPr>
        <w:pStyle w:val="ListBullet"/>
        <w:spacing w:after="0"/>
      </w:pPr>
      <w:r>
        <w:t>Симетрична різниця: (R1 \ R2) ∪ (R2 \ R1).</w:t>
      </w:r>
    </w:p>
    <w:p>
      <w:pPr>
        <w:pStyle w:val="ListBullet"/>
        <w:spacing w:after="0"/>
      </w:pPr>
      <w:r>
        <w:t>Композиція max-min: μ(R1∘R2)(xi,xj) = maxk min(μR1(xi,xk), μR2(xk,xj)).</w:t>
      </w:r>
    </w:p>
    <w:p>
      <w:pPr>
        <w:pStyle w:val="ListBullet"/>
        <w:spacing w:after="0"/>
      </w:pPr>
      <w:r>
        <w:t>Композиція max-prod: μ(R1∘R2)(xi,xj) = maxk (μR1(xi,xk) · μR2(xk,xj)).</w:t>
      </w:r>
    </w:p>
    <w:p>
      <w:pPr>
        <w:pStyle w:val="Heading1"/>
      </w:pPr>
      <w:r>
        <w:t>3. Результати обчислень</w:t>
      </w:r>
    </w:p>
    <w:p>
      <w:pPr>
        <w:spacing w:before="40" w:after="40"/>
      </w:pPr>
      <w:r>
        <w:rPr>
          <w:b/>
        </w:rPr>
        <w:t>R1 ∪ R2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A6A6A6"/>
          <w:left w:val="single" w:sz="8" w:color="A6A6A6"/>
          <w:bottom w:val="single" w:sz="8" w:color="A6A6A6"/>
          <w:right w:val="single" w:sz="8" w:color="A6A6A6"/>
          <w:insideH w:val="single" w:sz="8" w:color="A6A6A6"/>
          <w:insideV w:val="single" w:sz="8" w:color="A6A6A6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</w:tbl>
    <w:p>
      <w:pPr>
        <w:spacing w:after="20"/>
      </w:pPr>
    </w:p>
    <w:p>
      <w:pPr>
        <w:spacing w:before="40" w:after="40"/>
      </w:pPr>
      <w:r>
        <w:rPr>
          <w:b/>
        </w:rPr>
        <w:t>R1 ∩ R2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A6A6A6"/>
          <w:left w:val="single" w:sz="8" w:color="A6A6A6"/>
          <w:bottom w:val="single" w:sz="8" w:color="A6A6A6"/>
          <w:right w:val="single" w:sz="8" w:color="A6A6A6"/>
          <w:insideH w:val="single" w:sz="8" w:color="A6A6A6"/>
          <w:insideV w:val="single" w:sz="8" w:color="A6A6A6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</w:tbl>
    <w:p>
      <w:pPr>
        <w:spacing w:after="20"/>
      </w:pPr>
    </w:p>
    <w:p>
      <w:pPr>
        <w:spacing w:before="40" w:after="40"/>
      </w:pPr>
      <w:r>
        <w:rPr>
          <w:b/>
        </w:rPr>
        <w:t>R1 \ R2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A6A6A6"/>
          <w:left w:val="single" w:sz="8" w:color="A6A6A6"/>
          <w:bottom w:val="single" w:sz="8" w:color="A6A6A6"/>
          <w:right w:val="single" w:sz="8" w:color="A6A6A6"/>
          <w:insideH w:val="single" w:sz="8" w:color="A6A6A6"/>
          <w:insideV w:val="single" w:sz="8" w:color="A6A6A6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</w:tbl>
    <w:p>
      <w:pPr>
        <w:spacing w:after="20"/>
      </w:pPr>
    </w:p>
    <w:p>
      <w:pPr>
        <w:spacing w:before="40" w:after="40"/>
      </w:pPr>
      <w:r>
        <w:rPr>
          <w:b/>
        </w:rPr>
        <w:t>R1 Δ R2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A6A6A6"/>
          <w:left w:val="single" w:sz="8" w:color="A6A6A6"/>
          <w:bottom w:val="single" w:sz="8" w:color="A6A6A6"/>
          <w:right w:val="single" w:sz="8" w:color="A6A6A6"/>
          <w:insideH w:val="single" w:sz="8" w:color="A6A6A6"/>
          <w:insideV w:val="single" w:sz="8" w:color="A6A6A6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</w:tbl>
    <w:p>
      <w:pPr>
        <w:spacing w:after="20"/>
      </w:pPr>
    </w:p>
    <w:p>
      <w:pPr>
        <w:spacing w:before="40" w:after="40"/>
      </w:pPr>
      <w:r>
        <w:rPr>
          <w:b/>
        </w:rPr>
        <w:t>R1 ∘ R2 (max-min)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A6A6A6"/>
          <w:left w:val="single" w:sz="8" w:color="A6A6A6"/>
          <w:bottom w:val="single" w:sz="8" w:color="A6A6A6"/>
          <w:right w:val="single" w:sz="8" w:color="A6A6A6"/>
          <w:insideH w:val="single" w:sz="8" w:color="A6A6A6"/>
          <w:insideV w:val="single" w:sz="8" w:color="A6A6A6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</w:tr>
    </w:tbl>
    <w:p>
      <w:pPr>
        <w:spacing w:after="20"/>
      </w:pPr>
    </w:p>
    <w:p>
      <w:pPr>
        <w:spacing w:before="40" w:after="40"/>
      </w:pPr>
      <w:r>
        <w:rPr>
          <w:b/>
        </w:rPr>
        <w:t>R1 ∘ R2 (max-prod)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A6A6A6"/>
          <w:left w:val="single" w:sz="8" w:color="A6A6A6"/>
          <w:bottom w:val="single" w:sz="8" w:color="A6A6A6"/>
          <w:right w:val="single" w:sz="8" w:color="A6A6A6"/>
          <w:insideH w:val="single" w:sz="8" w:color="A6A6A6"/>
          <w:insideV w:val="single" w:sz="8" w:color="A6A6A6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0.3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</w:tr>
    </w:tbl>
    <w:p>
      <w:pPr>
        <w:spacing w:after="20"/>
      </w:pPr>
    </w:p>
    <w:p>
      <w:pPr>
        <w:spacing w:before="40" w:after="40"/>
      </w:pPr>
      <w:r>
        <w:rPr>
          <w:b/>
        </w:rPr>
        <w:t>¬R1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A6A6A6"/>
          <w:left w:val="single" w:sz="8" w:color="A6A6A6"/>
          <w:bottom w:val="single" w:sz="8" w:color="A6A6A6"/>
          <w:right w:val="single" w:sz="8" w:color="A6A6A6"/>
          <w:insideH w:val="single" w:sz="8" w:color="A6A6A6"/>
          <w:insideV w:val="single" w:sz="8" w:color="A6A6A6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0.9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</w:tbl>
    <w:p>
      <w:pPr>
        <w:spacing w:after="20"/>
      </w:pPr>
    </w:p>
    <w:p>
      <w:pPr>
        <w:pStyle w:val="Heading1"/>
      </w:pPr>
      <w:r>
        <w:t>4. Перевірка властивостей відношення R1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A6A6A6"/>
          <w:left w:val="single" w:sz="8" w:color="A6A6A6"/>
          <w:bottom w:val="single" w:sz="8" w:color="A6A6A6"/>
          <w:right w:val="single" w:sz="8" w:color="A6A6A6"/>
          <w:insideH w:val="single" w:sz="8" w:color="A6A6A6"/>
          <w:insideV w:val="single" w:sz="8" w:color="A6A6A6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Властивість</w:t>
            </w:r>
          </w:p>
        </w:tc>
        <w:tc>
          <w:tcPr>
            <w:tcW w:type="dxa" w:w="3513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Результат</w:t>
            </w:r>
          </w:p>
        </w:tc>
        <w:tc>
          <w:tcPr>
            <w:tcW w:type="dxa" w:w="3513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Пояснення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Рефлексивність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Ні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На головній діагоналі маємо 0, а для рефлексивності всі діагональні елементи повинні дорівнювати 1.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Іррефлексивність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Так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Усі елементи головної діагоналі дорівнюють 0.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Симетричність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Ні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Наприклад, r14 = 0.5, а r41 = 0; r24 = 0.3, а r42 = 0.6.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Антисиметричність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Ні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Для x2 і x5 маємо r25 = 0.5 та r52 = 0.5, тобто одночасно ненульові значення в обох напрямах.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Асиметричність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Ні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Хоча діагональ нульова, існують пари з ненульовими значеннями в обох напрямах, наприклад (x2, x5).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Транзитивність (за max-min)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Ні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R1∘R1 містить елементи, які перевищують відповідні елементи R1, наприклад (1,2): 0.5 &gt; 0.1.</w:t>
            </w:r>
          </w:p>
        </w:tc>
      </w:tr>
    </w:tbl>
    <w:p>
      <w:pPr>
        <w:spacing w:after="40"/>
      </w:pPr>
      <w:r>
        <w:t>Для перевірки транзитивності було обчислено композицію R1∘R1 за правилом max-min.</w:t>
      </w:r>
    </w:p>
    <w:p>
      <w:pPr>
        <w:spacing w:before="40" w:after="40"/>
      </w:pPr>
      <w:r>
        <w:rPr>
          <w:b/>
        </w:rPr>
        <w:t>R1 ∘ R1 (max-min)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A6A6A6"/>
          <w:left w:val="single" w:sz="8" w:color="A6A6A6"/>
          <w:bottom w:val="single" w:sz="8" w:color="A6A6A6"/>
          <w:right w:val="single" w:sz="8" w:color="A6A6A6"/>
          <w:insideH w:val="single" w:sz="8" w:color="A6A6A6"/>
          <w:insideV w:val="single" w:sz="8" w:color="A6A6A6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</w:tr>
      <w:tr>
        <w:tc>
          <w:tcPr>
            <w:tcW w:type="dxa" w:w="1757"/>
            <w:shd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x5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0.5</w:t>
            </w:r>
          </w:p>
        </w:tc>
      </w:tr>
    </w:tbl>
    <w:p>
      <w:pPr>
        <w:spacing w:after="20"/>
      </w:pPr>
    </w:p>
    <w:p>
      <w:pPr>
        <w:pStyle w:val="Heading1"/>
      </w:pPr>
      <w:r>
        <w:t>5. Короткий висновок до завдання 1</w:t>
      </w:r>
    </w:p>
    <w:p>
      <w:r>
        <w:t>Для варіанта 52 виконано всі потрібні операції над нечіткими відношеннями та досліджено властивості відношення R1. Відношення R1 є іррефлексивним, але не є рефлексивним, симетричним, антисиметричним, асиметричним і транзитивним.</w:t>
      </w:r>
    </w:p>
    <w:p>
      <w:pPr>
        <w:pStyle w:val="Heading1"/>
      </w:pPr>
      <w:r>
        <w:t>6. Теоретичні відомості до завдання 2</w:t>
      </w:r>
    </w:p>
    <w:p>
      <w:pPr>
        <w:spacing w:after="20"/>
      </w:pPr>
      <w:r>
        <w:rPr>
          <w:b/>
        </w:rPr>
        <w:t xml:space="preserve">Нечітка змінна - </w:t>
      </w:r>
      <w:r>
        <w:t>це змінна, значення якої задаються нечіткими множинами на деякій універсальній множині. Кожному елементу універсуму ставиться у відповідність ступінь належності з інтервалу [0;1].</w:t>
      </w:r>
    </w:p>
    <w:p>
      <w:pPr>
        <w:spacing w:after="20"/>
      </w:pPr>
      <w:r>
        <w:rPr>
          <w:b/>
        </w:rPr>
        <w:t xml:space="preserve">Лінгвістична змінна - </w:t>
      </w:r>
      <w:r>
        <w:t>це змінна, значеннями якої є слова або словосполучення природної мови, наприклад: «низька температура», «середня температура», «висока температура». Кожне таке значення задається нечіткою множиною.</w:t>
      </w:r>
    </w:p>
    <w:p>
      <w:pPr>
        <w:spacing w:after="20"/>
      </w:pPr>
      <w:r>
        <w:rPr>
          <w:b/>
        </w:rPr>
        <w:t xml:space="preserve">Нечітка величина - </w:t>
      </w:r>
      <w:r>
        <w:t>це кількісна характеристика, описана нечіткою множиною. Вона використовується тоді, коли точне числове значення задане неточно або приблизно.</w:t>
      </w:r>
    </w:p>
    <w:p>
      <w:pPr>
        <w:spacing w:after="20"/>
      </w:pPr>
      <w:r>
        <w:rPr>
          <w:b/>
        </w:rPr>
        <w:t xml:space="preserve">Нечітке число - </w:t>
      </w:r>
      <w:r>
        <w:t>це нормальна та опукла нечітка множина на числовій осі, яка зазвичай має одну вершину з належністю 1.</w:t>
      </w:r>
    </w:p>
    <w:p>
      <w:pPr>
        <w:spacing w:after="20"/>
      </w:pPr>
      <w:r>
        <w:rPr>
          <w:b/>
        </w:rPr>
        <w:t xml:space="preserve">Нечіткий інтервал - </w:t>
      </w:r>
      <w:r>
        <w:t>це нечітка множина на числовій осі, яка описує приблизний діапазон значень, а не одну точку.</w:t>
      </w:r>
    </w:p>
    <w:p>
      <w:pPr>
        <w:spacing w:after="20"/>
      </w:pPr>
      <w:r>
        <w:rPr>
          <w:b/>
        </w:rPr>
        <w:t xml:space="preserve">Операції над нечіткими числами та інтервалами - </w:t>
      </w:r>
      <w:r>
        <w:t>виконують за принципом розширення або для спеціальних класів чисел - за спрощеними формулами. Найчастіше розглядають додавання, віднімання, множення та ділення.</w:t>
      </w:r>
    </w:p>
    <w:p>
      <w:pPr>
        <w:spacing w:after="20"/>
      </w:pPr>
      <w:r>
        <w:rPr>
          <w:b/>
        </w:rPr>
        <w:t xml:space="preserve">(L-R)-функції - </w:t>
      </w:r>
      <w:r>
        <w:t>це спосіб подання нечітких чисел через ліву та праву форми спадання функції належності. Такий запис зручний для аналітичних перетворень.</w:t>
      </w:r>
    </w:p>
    <w:p>
      <w:pPr>
        <w:spacing w:after="20"/>
      </w:pPr>
      <w:r>
        <w:rPr>
          <w:b/>
        </w:rPr>
        <w:t xml:space="preserve">Трикутне нечітке число - </w:t>
      </w:r>
      <w:r>
        <w:t>задається трьома параметрами (a, b, c), де a - ліва межа, b - вершина, c - права межа. Функція належності лінійно зростає на [a,b] і лінійно спадає на [b,c].</w:t>
      </w:r>
    </w:p>
    <w:p>
      <w:pPr>
        <w:spacing w:after="20"/>
      </w:pPr>
      <w:r>
        <w:rPr>
          <w:b/>
        </w:rPr>
        <w:t xml:space="preserve">Трапецієвидний нечіткий інтервал - </w:t>
      </w:r>
      <w:r>
        <w:t>задається чотирма параметрами (a, b, c, d). На відрізку [b,c] належність дорівнює 1, а на [a,b] та [c,d] змінюється лінійно.</w:t>
      </w:r>
    </w:p>
    <w:p>
      <w:pPr>
        <w:pStyle w:val="Heading1"/>
      </w:pPr>
      <w:r>
        <w:t>7. Висновок до завдання 2</w:t>
      </w:r>
    </w:p>
    <w:p>
      <w:r>
        <w:t>Нечіткі та лінгвістичні змінні дають змогу формалізувати неточні знання природної мови. Нечіткі числа та інтервали використовують для моделювання приблизних значень, а трикутні й трапецієвидні форми є найзручнішими для практичних обчислень.</w:t>
      </w:r>
    </w:p>
    <w:p>
      <w:pPr>
        <w:pStyle w:val="Heading1"/>
      </w:pPr>
      <w:r>
        <w:t>8. Додаток. Програмна реалізація</w:t>
      </w:r>
    </w:p>
    <w:p>
      <w:r>
        <w:t>Окремим файлом додається програма Python, яка виконує всі обчислення та виводить результати у консоль. Назва файлу: lab52_fuzzy_relations.py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437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3232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4375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