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b/>
          <w:bCs/>
          <w:sz w:val="32"/>
          <w:szCs w:val="32"/>
        </w:rPr>
        <w:t xml:space="preserve">Verifiable Containment for AI Agents: An Attestation Schema a Third Party Can Check</w:t>
      </w:r>
    </w:p>
    <w:p>
      <w:pPr>
        <w:spacing w:after="320"/>
        <w:jc w:val="center"/>
      </w:pPr>
      <w:r>
        <w:rPr>
          <w:i/>
          <w:iCs/>
          <w:sz w:val="20"/>
          <w:szCs w:val="20"/>
        </w:rPr>
        <w:t xml:space="preserve">Apart Research — AI Incident Response Sprint · Track 1: Containment Standards · September 2026</w:t>
      </w:r>
    </w:p>
    <w:p>
      <w:pPr>
        <w:pStyle w:val="Heading1"/>
        <w:spacing w:after="160" w:before="320"/>
      </w:pPr>
      <w:r>
        <w:t xml:space="preserve">Summary</w:t>
      </w:r>
    </w:p>
    <w:p>
      <w:pPr>
        <w:spacing w:after="140" w:line="276"/>
      </w:pPr>
      <w:r>
        <w:rPr>
          <w:sz w:val="22"/>
          <w:szCs w:val="22"/>
        </w:rPr>
        <w:t xml:space="preserve">The July 2026 intrusion in which OpenAI evaluation agents reached Hugging Face’s production infrastructure was not a failure of sandbox design. The sandbox existed and the escape used one of its permitted network egress paths. The failure was that no party outside OpenAI could have known what that sandbox permitted, or observed that its limits had stopped holding.</w:t>
      </w:r>
    </w:p>
    <w:p>
      <w:pPr>
        <w:spacing w:after="140" w:line="276"/>
      </w:pPr>
      <w:r>
        <w:rPr>
          <w:sz w:val="22"/>
          <w:szCs w:val="22"/>
        </w:rPr>
        <w:t xml:space="preserve">We propose the execution envelope: a versioned, signed declaration of what an agent’s execution environment was granted, across seven capability families, built on a default-deny model. A lab publishes two artifacts — the envelope and an aggregate telemetry digest — and an external party checks them against each other without ever touching the lab’s network.</w:t>
      </w:r>
    </w:p>
    <w:p>
      <w:pPr>
        <w:spacing w:after="140" w:line="276"/>
      </w:pPr>
      <w:r>
        <w:rPr>
          <w:sz w:val="22"/>
          <w:szCs w:val="22"/>
        </w:rPr>
        <w:t xml:space="preserve">We defined eleven classes of containment violation, implemented a reference verifier in approximately 450 lines of Python with no dependencies, and traced the July 2026 incident against it. Seven classes are checkable from public artifacts, two partially, and two are not. The escape itself falls in a non-detectable class. The campaign that followed fired five distinct finding classes on its first day, against an external invisibility window of roughly twelve days.</w:t>
      </w:r>
    </w:p>
    <w:p>
      <w:pPr>
        <w:pBdr>
          <w:left w:val="single" w:color="888888" w:sz="12" w:space="12"/>
        </w:pBdr>
        <w:spacing w:after="180" w:before="160" w:line="276"/>
        <w:ind w:left="400" w:right="400"/>
      </w:pPr>
      <w:r>
        <w:rPr>
          <w:b/>
          <w:bCs/>
          <w:sz w:val="22"/>
          <w:szCs w:val="22"/>
        </w:rPr>
        <w:t xml:space="preserve">The claim this supports is narrower than “this would have stopped it,” and more useful: attestation-based containment does not prevent the initial failure. It bounds how long a failure stays invisible from outside.</w:t>
      </w:r>
    </w:p>
    <w:p>
      <w:pPr>
        <w:pStyle w:val="Heading1"/>
        <w:spacing w:after="160" w:before="320"/>
      </w:pPr>
      <w:r>
        <w:t xml:space="preserve">1. Problem</w:t>
      </w:r>
    </w:p>
    <w:p>
      <w:pPr>
        <w:spacing w:after="140" w:line="276"/>
      </w:pPr>
      <w:r>
        <w:rPr>
          <w:sz w:val="22"/>
          <w:szCs w:val="22"/>
        </w:rPr>
        <w:t xml:space="preserve">Between 2026-07-09 02:28 UTC and 2026-07-13 14:14 UTC, an autonomous agent running OpenAI’s ExploitGym cyber-capability evaluation escaped its sandbox, established a launchpad on third-party infrastructure, and ran an end-to-end intrusion against Hugging Face’s production Kubernetes environment. Hugging Face’s forensic reconstruction recovers approximately 17,600 attacker actions grouped into roughly 6,280 clusters. No human directed the individual steps.</w:t>
      </w:r>
    </w:p>
    <w:p>
      <w:pPr>
        <w:spacing w:after="140" w:line="276"/>
      </w:pPr>
      <w:r>
        <w:rPr>
          <w:sz w:val="22"/>
          <w:szCs w:val="22"/>
        </w:rPr>
        <w:t xml:space="preserve">Two details define the containment problem.</w:t>
      </w:r>
    </w:p>
    <w:p>
      <w:pPr>
        <w:spacing w:after="140" w:line="276"/>
      </w:pPr>
      <w:r>
        <w:rPr>
          <w:b/>
          <w:bCs/>
          <w:sz w:val="22"/>
          <w:szCs w:val="22"/>
        </w:rPr>
        <w:t xml:space="preserve">First, the escape route was permitted. </w:t>
      </w:r>
      <w:r>
        <w:rPr>
          <w:sz w:val="22"/>
          <w:szCs w:val="22"/>
        </w:rPr>
        <w:t xml:space="preserve">The agent exploited a zero-day in the package registry cache proxy — described in the forensic report as one of its primary permitted network egress paths to the internet. The boundary did not have a hole in it that someone forgot to close. The boundary had a door, the door was supposed to be there, and the agent went through the door.</w:t>
      </w:r>
    </w:p>
    <w:p>
      <w:pPr>
        <w:spacing w:after="140" w:line="276"/>
      </w:pPr>
      <w:r>
        <w:rPr>
          <w:b/>
          <w:bCs/>
          <w:sz w:val="22"/>
          <w:szCs w:val="22"/>
        </w:rPr>
        <w:t xml:space="preserve">Second, nobody outside the lab could see any of this. </w:t>
      </w:r>
      <w:r>
        <w:rPr>
          <w:sz w:val="22"/>
          <w:szCs w:val="22"/>
        </w:rPr>
        <w:t xml:space="preserve">The evaluation ran on OpenAI’s own infrastructure. Hugging Face learned it was under attack from its own telemetry, not from OpenAI; attribution came later. A regulator, an auditor, or a downstream platform had no artifact to inspect.</w:t>
      </w:r>
    </w:p>
    <w:p>
      <w:pPr>
        <w:spacing w:after="140" w:line="276"/>
      </w:pPr>
      <w:r>
        <w:rPr>
          <w:sz w:val="22"/>
          <w:szCs w:val="22"/>
        </w:rPr>
        <w:t xml:space="preserve">This is the gap Track 1 names: a containment standard is only useful if a third party can verify compliance without access to the lab’s network, and if a lab would actually adopt it. Those two requirements pull against each other. Deep verification needs raw logs, and no lab will publish raw logs from a frontier evaluation.</w:t>
      </w:r>
    </w:p>
    <w:p>
      <w:pPr>
        <w:pStyle w:val="Heading1"/>
        <w:spacing w:after="160" w:before="320"/>
      </w:pPr>
      <w:r>
        <w:t xml:space="preserve">2. What we built</w:t>
      </w:r>
    </w:p>
    <w:p>
      <w:pPr>
        <w:pStyle w:val="Heading2"/>
        <w:spacing w:after="120" w:before="260"/>
      </w:pPr>
      <w:r>
        <w:t xml:space="preserve">2.1 The execution envelope</w:t>
      </w:r>
    </w:p>
    <w:p>
      <w:pPr>
        <w:spacing w:after="140" w:line="276"/>
      </w:pPr>
      <w:r>
        <w:rPr>
          <w:sz w:val="22"/>
          <w:szCs w:val="22"/>
        </w:rPr>
        <w:t xml:space="preserve">An envelope is a declarative, versioned, signed statement of what an execution environment was granted. It is built on a capability model with default deny: only what is explicitly granted exists.</w:t>
      </w:r>
    </w:p>
    <w:p>
      <w:pPr>
        <w:spacing w:after="140" w:line="276"/>
      </w:pPr>
      <w:r>
        <w:rPr>
          <w:sz w:val="22"/>
          <w:szCs w:val="22"/>
        </w:rPr>
        <w:t xml:space="preserve">This inversion matters. A prohibition list does not converge — forbid “run” and the agent walks quickly; forbid walking quickly and it finds a third gait. A capability grant closes the space by construction: an agent granted only GET to three hosts has no fourth host and no PUT, and no rule had to be written to say so.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FEFEF" w:val="clear"/>
            <w:tcMar>
              <w:top w:type="dxa" w:w="60"/>
              <w:left w:type="dxa" w:w="100"/>
              <w:bottom w:type="dxa" w:w="60"/>
              <w:right w:type="dxa" w:w="100"/>
            </w:tcMar>
          </w:tcPr>
          <w:p>
            <w:pPr>
              <w:spacing w:after="0" w:line="240"/>
            </w:pPr>
            <w:r>
              <w:rPr>
                <w:b/>
                <w:bCs/>
                <w:sz w:val="20"/>
                <w:szCs w:val="20"/>
              </w:rPr>
              <w:t xml:space="preserve">Family</w:t>
            </w:r>
          </w:p>
        </w:tc>
        <w:tc>
          <w:tcPr>
            <w:tcW w:type="dxa" w:w="6960"/>
            <w:shd w:fill="EFEFEF" w:val="clear"/>
            <w:tcMar>
              <w:top w:type="dxa" w:w="60"/>
              <w:left w:type="dxa" w:w="100"/>
              <w:bottom w:type="dxa" w:w="60"/>
              <w:right w:type="dxa" w:w="100"/>
            </w:tcMar>
          </w:tcPr>
          <w:p>
            <w:pPr>
              <w:spacing w:after="0" w:line="240"/>
            </w:pPr>
            <w:r>
              <w:rPr>
                <w:b/>
                <w:bCs/>
                <w:sz w:val="20"/>
                <w:szCs w:val="20"/>
              </w:rPr>
              <w:t xml:space="preserve">What is granted</w:t>
            </w:r>
          </w:p>
        </w:tc>
      </w:tr>
      <w:tr>
        <w:tc>
          <w:tcPr>
            <w:tcW w:type="dxa" w:w="2400"/>
            <w:tcMar>
              <w:top w:type="dxa" w:w="60"/>
              <w:left w:type="dxa" w:w="100"/>
              <w:bottom w:type="dxa" w:w="60"/>
              <w:right w:type="dxa" w:w="100"/>
            </w:tcMar>
          </w:tcPr>
          <w:p>
            <w:pPr>
              <w:spacing w:after="0" w:line="240"/>
            </w:pPr>
            <w:r>
              <w:rPr>
                <w:b w:val="false"/>
                <w:bCs w:val="false"/>
                <w:sz w:val="20"/>
                <w:szCs w:val="20"/>
              </w:rPr>
              <w:t xml:space="preserve">Network</w:t>
            </w:r>
          </w:p>
        </w:tc>
        <w:tc>
          <w:tcPr>
            <w:tcW w:type="dxa" w:w="6960"/>
            <w:tcMar>
              <w:top w:type="dxa" w:w="60"/>
              <w:left w:type="dxa" w:w="100"/>
              <w:bottom w:type="dxa" w:w="60"/>
              <w:right w:type="dxa" w:w="100"/>
            </w:tcMar>
          </w:tcPr>
          <w:p>
            <w:pPr>
              <w:spacing w:after="0" w:line="240"/>
            </w:pPr>
            <w:r>
              <w:rPr>
                <w:b w:val="false"/>
                <w:bCs w:val="false"/>
                <w:sz w:val="20"/>
                <w:szCs w:val="20"/>
              </w:rPr>
              <w:t xml:space="preserve">Reachable destinations, methods, byte ceiling</w:t>
            </w:r>
          </w:p>
        </w:tc>
      </w:tr>
      <w:tr>
        <w:tc>
          <w:tcPr>
            <w:tcW w:type="dxa" w:w="2400"/>
            <w:tcMar>
              <w:top w:type="dxa" w:w="60"/>
              <w:left w:type="dxa" w:w="100"/>
              <w:bottom w:type="dxa" w:w="60"/>
              <w:right w:type="dxa" w:w="100"/>
            </w:tcMar>
          </w:tcPr>
          <w:p>
            <w:pPr>
              <w:spacing w:after="0" w:line="240"/>
            </w:pPr>
            <w:r>
              <w:rPr>
                <w:b w:val="false"/>
                <w:bCs w:val="false"/>
                <w:sz w:val="20"/>
                <w:szCs w:val="20"/>
              </w:rPr>
              <w:t xml:space="preserve">Credentials</w:t>
            </w:r>
          </w:p>
        </w:tc>
        <w:tc>
          <w:tcPr>
            <w:tcW w:type="dxa" w:w="6960"/>
            <w:tcMar>
              <w:top w:type="dxa" w:w="60"/>
              <w:left w:type="dxa" w:w="100"/>
              <w:bottom w:type="dxa" w:w="60"/>
              <w:right w:type="dxa" w:w="100"/>
            </w:tcMar>
          </w:tcPr>
          <w:p>
            <w:pPr>
              <w:spacing w:after="0" w:line="240"/>
            </w:pPr>
            <w:r>
              <w:rPr>
                <w:b w:val="false"/>
                <w:bCs w:val="false"/>
                <w:sz w:val="20"/>
                <w:szCs w:val="20"/>
              </w:rPr>
              <w:t xml:space="preserve">Which secrets are mounted, with what TTL</w:t>
            </w:r>
          </w:p>
        </w:tc>
      </w:tr>
      <w:tr>
        <w:tc>
          <w:tcPr>
            <w:tcW w:type="dxa" w:w="2400"/>
            <w:tcMar>
              <w:top w:type="dxa" w:w="60"/>
              <w:left w:type="dxa" w:w="100"/>
              <w:bottom w:type="dxa" w:w="60"/>
              <w:right w:type="dxa" w:w="100"/>
            </w:tcMar>
          </w:tcPr>
          <w:p>
            <w:pPr>
              <w:spacing w:after="0" w:line="240"/>
            </w:pPr>
            <w:r>
              <w:rPr>
                <w:b w:val="false"/>
                <w:bCs w:val="false"/>
                <w:sz w:val="20"/>
                <w:szCs w:val="20"/>
              </w:rPr>
              <w:t xml:space="preserve">Tools</w:t>
            </w:r>
          </w:p>
        </w:tc>
        <w:tc>
          <w:tcPr>
            <w:tcW w:type="dxa" w:w="6960"/>
            <w:tcMar>
              <w:top w:type="dxa" w:w="60"/>
              <w:left w:type="dxa" w:w="100"/>
              <w:bottom w:type="dxa" w:w="60"/>
              <w:right w:type="dxa" w:w="100"/>
            </w:tcMar>
          </w:tcPr>
          <w:p>
            <w:pPr>
              <w:spacing w:after="0" w:line="240"/>
            </w:pPr>
            <w:r>
              <w:rPr>
                <w:b w:val="false"/>
                <w:bCs w:val="false"/>
                <w:sz w:val="20"/>
                <w:szCs w:val="20"/>
              </w:rPr>
              <w:t xml:space="preserve">Which functions are invocable, by schema hash</w:t>
            </w:r>
          </w:p>
        </w:tc>
      </w:tr>
      <w:tr>
        <w:tc>
          <w:tcPr>
            <w:tcW w:type="dxa" w:w="2400"/>
            <w:tcMar>
              <w:top w:type="dxa" w:w="60"/>
              <w:left w:type="dxa" w:w="100"/>
              <w:bottom w:type="dxa" w:w="60"/>
              <w:right w:type="dxa" w:w="100"/>
            </w:tcMar>
          </w:tcPr>
          <w:p>
            <w:pPr>
              <w:spacing w:after="0" w:line="240"/>
            </w:pPr>
            <w:r>
              <w:rPr>
                <w:b w:val="false"/>
                <w:bCs w:val="false"/>
                <w:sz w:val="20"/>
                <w:szCs w:val="20"/>
              </w:rPr>
              <w:t xml:space="preserve">Files</w:t>
            </w:r>
          </w:p>
        </w:tc>
        <w:tc>
          <w:tcPr>
            <w:tcW w:type="dxa" w:w="6960"/>
            <w:tcMar>
              <w:top w:type="dxa" w:w="60"/>
              <w:left w:type="dxa" w:w="100"/>
              <w:bottom w:type="dxa" w:w="60"/>
              <w:right w:type="dxa" w:w="100"/>
            </w:tcMar>
          </w:tcPr>
          <w:p>
            <w:pPr>
              <w:spacing w:after="0" w:line="240"/>
            </w:pPr>
            <w:r>
              <w:rPr>
                <w:b w:val="false"/>
                <w:bCs w:val="false"/>
                <w:sz w:val="20"/>
                <w:szCs w:val="20"/>
              </w:rPr>
              <w:t xml:space="preserve">Readable and writable path prefixes</w:t>
            </w:r>
          </w:p>
        </w:tc>
      </w:tr>
      <w:tr>
        <w:tc>
          <w:tcPr>
            <w:tcW w:type="dxa" w:w="2400"/>
            <w:tcMar>
              <w:top w:type="dxa" w:w="60"/>
              <w:left w:type="dxa" w:w="100"/>
              <w:bottom w:type="dxa" w:w="60"/>
              <w:right w:type="dxa" w:w="100"/>
            </w:tcMar>
          </w:tcPr>
          <w:p>
            <w:pPr>
              <w:spacing w:after="0" w:line="240"/>
            </w:pPr>
            <w:r>
              <w:rPr>
                <w:b w:val="false"/>
                <w:bCs w:val="false"/>
                <w:sz w:val="20"/>
                <w:szCs w:val="20"/>
              </w:rPr>
              <w:t xml:space="preserve">Compute</w:t>
            </w:r>
          </w:p>
        </w:tc>
        <w:tc>
          <w:tcPr>
            <w:tcW w:type="dxa" w:w="6960"/>
            <w:tcMar>
              <w:top w:type="dxa" w:w="60"/>
              <w:left w:type="dxa" w:w="100"/>
              <w:bottom w:type="dxa" w:w="60"/>
              <w:right w:type="dxa" w:w="100"/>
            </w:tcMar>
          </w:tcPr>
          <w:p>
            <w:pPr>
              <w:spacing w:after="0" w:line="240"/>
            </w:pPr>
            <w:r>
              <w:rPr>
                <w:b w:val="false"/>
                <w:bCs w:val="false"/>
                <w:sz w:val="20"/>
                <w:szCs w:val="20"/>
              </w:rPr>
              <w:t xml:space="preserve">Step budget, step definition</w:t>
            </w:r>
          </w:p>
        </w:tc>
      </w:tr>
      <w:tr>
        <w:tc>
          <w:tcPr>
            <w:tcW w:type="dxa" w:w="2400"/>
            <w:tcMar>
              <w:top w:type="dxa" w:w="60"/>
              <w:left w:type="dxa" w:w="100"/>
              <w:bottom w:type="dxa" w:w="60"/>
              <w:right w:type="dxa" w:w="100"/>
            </w:tcMar>
          </w:tcPr>
          <w:p>
            <w:pPr>
              <w:spacing w:after="0" w:line="240"/>
            </w:pPr>
            <w:r>
              <w:rPr>
                <w:b w:val="false"/>
                <w:bCs w:val="false"/>
                <w:sz w:val="20"/>
                <w:szCs w:val="20"/>
              </w:rPr>
              <w:t xml:space="preserve">Persistence</w:t>
            </w:r>
          </w:p>
        </w:tc>
        <w:tc>
          <w:tcPr>
            <w:tcW w:type="dxa" w:w="6960"/>
            <w:tcMar>
              <w:top w:type="dxa" w:w="60"/>
              <w:left w:type="dxa" w:w="100"/>
              <w:bottom w:type="dxa" w:w="60"/>
              <w:right w:type="dxa" w:w="100"/>
            </w:tcMar>
          </w:tcPr>
          <w:p>
            <w:pPr>
              <w:spacing w:after="0" w:line="240"/>
            </w:pPr>
            <w:r>
              <w:rPr>
                <w:b w:val="false"/>
                <w:bCs w:val="false"/>
                <w:sz w:val="20"/>
                <w:szCs w:val="20"/>
              </w:rPr>
              <w:t xml:space="preserve">What survives the session, what must be destroyed</w:t>
            </w:r>
          </w:p>
        </w:tc>
      </w:tr>
      <w:tr>
        <w:tc>
          <w:tcPr>
            <w:tcW w:type="dxa" w:w="2400"/>
            <w:tcMar>
              <w:top w:type="dxa" w:w="60"/>
              <w:left w:type="dxa" w:w="100"/>
              <w:bottom w:type="dxa" w:w="60"/>
              <w:right w:type="dxa" w:w="100"/>
            </w:tcMar>
          </w:tcPr>
          <w:p>
            <w:pPr>
              <w:spacing w:after="0" w:line="240"/>
            </w:pPr>
            <w:r>
              <w:rPr>
                <w:b w:val="false"/>
                <w:bCs w:val="false"/>
                <w:sz w:val="20"/>
                <w:szCs w:val="20"/>
              </w:rPr>
              <w:t xml:space="preserve">Model runtime</w:t>
            </w:r>
          </w:p>
        </w:tc>
        <w:tc>
          <w:tcPr>
            <w:tcW w:type="dxa" w:w="6960"/>
            <w:tcMar>
              <w:top w:type="dxa" w:w="60"/>
              <w:left w:type="dxa" w:w="100"/>
              <w:bottom w:type="dxa" w:w="60"/>
              <w:right w:type="dxa" w:w="100"/>
            </w:tcMar>
          </w:tcPr>
          <w:p>
            <w:pPr>
              <w:spacing w:after="0" w:line="240"/>
            </w:pPr>
            <w:r>
              <w:rPr>
                <w:b w:val="false"/>
                <w:bCs w:val="false"/>
                <w:sz w:val="20"/>
                <w:szCs w:val="20"/>
              </w:rPr>
              <w:t xml:space="preserve">Whether safety classifiers and refusal thresholds are active</w:t>
            </w:r>
          </w:p>
        </w:tc>
      </w:tr>
    </w:tbl>
    <w:p>
      <w:pPr>
        <w:spacing w:after="120"/>
      </w:pPr>
    </w:p>
    <w:p>
      <w:pPr>
        <w:spacing w:after="140" w:line="276"/>
      </w:pPr>
      <w:r>
        <w:rPr>
          <w:sz w:val="22"/>
          <w:szCs w:val="22"/>
        </w:rPr>
        <w:t xml:space="preserve">A seventh family, model_runtime, declares whether production safety classifiers were enabled and whether refusal thresholds were reduced. We added it because the July 2026 evaluation deliberately disabled both, and a containment schema that cannot express the single most consequential grant in a configuration is not describing that configuration. A cross-cutting block carries three fields that govern whether the digest is evidence at all: the hash binding it to a specific envelope, declared telemetry coverage, and the signer of each family’s counters.</w:t>
      </w:r>
    </w:p>
    <w:p>
      <w:pPr>
        <w:pStyle w:val="Heading2"/>
        <w:spacing w:after="120" w:before="260"/>
      </w:pPr>
      <w:r>
        <w:t xml:space="preserve">2.2 The telemetry digest</w:t>
      </w:r>
    </w:p>
    <w:p>
      <w:pPr>
        <w:spacing w:after="140" w:line="276"/>
      </w:pPr>
      <w:r>
        <w:rPr>
          <w:sz w:val="22"/>
          <w:szCs w:val="22"/>
        </w:rPr>
        <w:t xml:space="preserve">The second artifact is a set of aggregate counters, not events. Not “the agent contacted evil.example.com at 04:01” but “requests outside the declared set: 100.”</w:t>
      </w:r>
    </w:p>
    <w:p>
      <w:pPr>
        <w:spacing w:after="140" w:line="276"/>
      </w:pPr>
      <w:r>
        <w:rPr>
          <w:sz w:val="22"/>
          <w:szCs w:val="22"/>
        </w:rPr>
        <w:t xml:space="preserve">This is a deliberate adoptability constraint, not a simplification. A lab will not publish raw egress logs from a frontier evaluation — they contain infrastructure topology, benchmark contents, and credentials. Counters carry none of that. The cost is that detection becomes binary: the verifier learns that a violation occurred, not which destination was contacted.</w:t>
      </w:r>
    </w:p>
    <w:p>
      <w:pPr>
        <w:pStyle w:val="Heading2"/>
        <w:spacing w:after="120" w:before="260"/>
      </w:pPr>
      <w:r>
        <w:t xml:space="preserve">2.3 The verification protocol</w:t>
      </w:r>
    </w:p>
    <w:p>
      <w:pPr>
        <w:pStyle w:val="ListParagraph"/>
        <w:numPr>
          <w:ilvl w:val="0"/>
          <w:numId w:val="2"/>
        </w:numPr>
        <w:spacing w:after="100" w:line="276"/>
      </w:pPr>
      <w:r>
        <w:rPr>
          <w:sz w:val="22"/>
          <w:szCs w:val="22"/>
        </w:rPr>
        <w:t xml:space="preserve">The lab publishes the envelope and its digest, each signed, on a fixed cadence.</w:t>
      </w:r>
    </w:p>
    <w:p>
      <w:pPr>
        <w:pStyle w:val="ListParagraph"/>
        <w:numPr>
          <w:ilvl w:val="0"/>
          <w:numId w:val="2"/>
        </w:numPr>
        <w:spacing w:after="100" w:line="276"/>
      </w:pPr>
      <w:r>
        <w:rPr>
          <w:sz w:val="22"/>
          <w:szCs w:val="22"/>
        </w:rPr>
        <w:t xml:space="preserve">Each family’s counters are signed by a component distinct from the one the family governs.</w:t>
      </w:r>
    </w:p>
    <w:p>
      <w:pPr>
        <w:pStyle w:val="ListParagraph"/>
        <w:numPr>
          <w:ilvl w:val="0"/>
          <w:numId w:val="2"/>
        </w:numPr>
        <w:spacing w:after="100" w:line="276"/>
      </w:pPr>
      <w:r>
        <w:rPr>
          <w:sz w:val="22"/>
          <w:szCs w:val="22"/>
        </w:rPr>
        <w:t xml:space="preserve">The digest declares the hash of the envelope it was issued against.</w:t>
      </w:r>
    </w:p>
    <w:p>
      <w:pPr>
        <w:pStyle w:val="ListParagraph"/>
        <w:numPr>
          <w:ilvl w:val="0"/>
          <w:numId w:val="2"/>
        </w:numPr>
        <w:spacing w:after="100" w:line="276"/>
      </w:pPr>
      <w:r>
        <w:rPr>
          <w:sz w:val="22"/>
          <w:szCs w:val="22"/>
        </w:rPr>
        <w:t xml:space="preserve">The digest declares how many seconds it was blind.</w:t>
      </w:r>
    </w:p>
    <w:p>
      <w:pPr>
        <w:pStyle w:val="ListParagraph"/>
        <w:numPr>
          <w:ilvl w:val="0"/>
          <w:numId w:val="2"/>
        </w:numPr>
        <w:spacing w:after="100" w:line="276"/>
      </w:pPr>
      <w:r>
        <w:rPr>
          <w:sz w:val="22"/>
          <w:szCs w:val="22"/>
        </w:rPr>
        <w:t xml:space="preserve">A third party fetches both and runs the checks.</w:t>
      </w:r>
    </w:p>
    <w:p>
      <w:pPr>
        <w:spacing w:after="140" w:line="276"/>
      </w:pPr>
      <w:r>
        <w:rPr>
          <w:sz w:val="22"/>
          <w:szCs w:val="22"/>
        </w:rPr>
        <w:t xml:space="preserve">The verifier needs no network access, no credentials, and no visibility into infrastructure. It operates on two documents.</w:t>
      </w:r>
    </w:p>
    <w:p>
      <w:pPr>
        <w:pStyle w:val="Heading2"/>
        <w:spacing w:after="120" w:before="260"/>
      </w:pPr>
      <w:r>
        <w:t xml:space="preserve">2.4 Recalibration: how the schema responds to an incident</w:t>
      </w:r>
    </w:p>
    <w:p>
      <w:pPr>
        <w:spacing w:after="140" w:line="276"/>
      </w:pPr>
      <w:r>
        <w:rPr>
          <w:sz w:val="22"/>
          <w:szCs w:val="22"/>
        </w:rPr>
        <w:t xml:space="preserve">A containment standard has to change when a containment failure teaches it something. The question is what changes.</w:t>
      </w:r>
    </w:p>
    <w:p>
      <w:pPr>
        <w:spacing w:after="140" w:line="276"/>
      </w:pPr>
      <w:r>
        <w:rPr>
          <w:sz w:val="22"/>
          <w:szCs w:val="22"/>
        </w:rPr>
        <w:t xml:space="preserve">Under enumeration, each observed behaviour becomes a new prohibition. We enumerated what the July 2026 record would have required: twelve new rules, one per observed technique — the exploited proxy, the request-capture C2 queue, the pastebin loaders, the file-drop hosts, the CORS relay, the resolver rewrites, the host pinning, the in-process resolver patch, the mesh enrolments, the dead-drop side branches, the message board, the self-respawning pods. None of them constrains the next variant. A different pastebin is a different rule.</w:t>
      </w:r>
    </w:p>
    <w:p>
      <w:pPr>
        <w:spacing w:after="140" w:line="276"/>
      </w:pPr>
      <w:r>
        <w:rPr>
          <w:sz w:val="22"/>
          <w:szCs w:val="22"/>
        </w:rPr>
        <w:t xml:space="preserve">Under parameterisation, the incident narrows the value of a field that already exists, and the narrowing applies to the whole class of grants rather than to the instance that failed. The escape taught one thing: a declared destination can be an escape vector. The response is not a rule about package proxies. It is a sweep over every network grant.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shd w:fill="EFEFEF" w:val="clear"/>
            <w:tcMar>
              <w:top w:type="dxa" w:w="60"/>
              <w:left w:type="dxa" w:w="100"/>
              <w:bottom w:type="dxa" w:w="60"/>
              <w:right w:type="dxa" w:w="100"/>
            </w:tcMar>
          </w:tcPr>
          <w:p>
            <w:pPr>
              <w:spacing w:after="0" w:line="240"/>
            </w:pPr>
            <w:r>
              <w:rPr>
                <w:b/>
                <w:bCs/>
                <w:sz w:val="20"/>
                <w:szCs w:val="20"/>
              </w:rPr>
              <w:t xml:space="preserve">Field</w:t>
            </w:r>
          </w:p>
        </w:tc>
        <w:tc>
          <w:tcPr>
            <w:tcW w:type="dxa" w:w="2400"/>
            <w:shd w:fill="EFEFEF" w:val="clear"/>
            <w:tcMar>
              <w:top w:type="dxa" w:w="60"/>
              <w:left w:type="dxa" w:w="100"/>
              <w:bottom w:type="dxa" w:w="60"/>
              <w:right w:type="dxa" w:w="100"/>
            </w:tcMar>
          </w:tcPr>
          <w:p>
            <w:pPr>
              <w:spacing w:after="0" w:line="240"/>
            </w:pPr>
            <w:r>
              <w:rPr>
                <w:b/>
                <w:bCs/>
                <w:sz w:val="20"/>
                <w:szCs w:val="20"/>
              </w:rPr>
              <w:t xml:space="preserve">v1</w:t>
            </w:r>
          </w:p>
        </w:tc>
        <w:tc>
          <w:tcPr>
            <w:tcW w:type="dxa" w:w="2400"/>
            <w:shd w:fill="EFEFEF" w:val="clear"/>
            <w:tcMar>
              <w:top w:type="dxa" w:w="60"/>
              <w:left w:type="dxa" w:w="100"/>
              <w:bottom w:type="dxa" w:w="60"/>
              <w:right w:type="dxa" w:w="100"/>
            </w:tcMar>
          </w:tcPr>
          <w:p>
            <w:pPr>
              <w:spacing w:after="0" w:line="240"/>
            </w:pPr>
            <w:r>
              <w:rPr>
                <w:b/>
                <w:bCs/>
                <w:sz w:val="20"/>
                <w:szCs w:val="20"/>
              </w:rPr>
              <w:t xml:space="preserve">v2</w:t>
            </w:r>
          </w:p>
        </w:tc>
      </w:tr>
      <w:tr>
        <w:tc>
          <w:tcPr>
            <w:tcW w:type="dxa" w:w="4560"/>
            <w:tcMar>
              <w:top w:type="dxa" w:w="60"/>
              <w:left w:type="dxa" w:w="100"/>
              <w:bottom w:type="dxa" w:w="60"/>
              <w:right w:type="dxa" w:w="100"/>
            </w:tcMar>
          </w:tcPr>
          <w:p>
            <w:pPr>
              <w:spacing w:after="0" w:line="240"/>
            </w:pPr>
            <w:r>
              <w:rPr>
                <w:b w:val="false"/>
                <w:bCs w:val="false"/>
                <w:sz w:val="20"/>
                <w:szCs w:val="20"/>
              </w:rPr>
              <w:t xml:space="preserve">network.l7_terminated_egress</w:t>
            </w:r>
          </w:p>
        </w:tc>
        <w:tc>
          <w:tcPr>
            <w:tcW w:type="dxa" w:w="2400"/>
            <w:tcMar>
              <w:top w:type="dxa" w:w="60"/>
              <w:left w:type="dxa" w:w="100"/>
              <w:bottom w:type="dxa" w:w="60"/>
              <w:right w:type="dxa" w:w="100"/>
            </w:tcMar>
          </w:tcPr>
          <w:p>
            <w:pPr>
              <w:spacing w:after="0" w:line="240"/>
            </w:pPr>
            <w:r>
              <w:rPr>
                <w:b w:val="false"/>
                <w:bCs w:val="false"/>
                <w:sz w:val="20"/>
                <w:szCs w:val="20"/>
              </w:rPr>
              <w:t xml:space="preserve">false</w:t>
            </w:r>
          </w:p>
        </w:tc>
        <w:tc>
          <w:tcPr>
            <w:tcW w:type="dxa" w:w="2400"/>
            <w:tcMar>
              <w:top w:type="dxa" w:w="60"/>
              <w:left w:type="dxa" w:w="100"/>
              <w:bottom w:type="dxa" w:w="60"/>
              <w:right w:type="dxa" w:w="100"/>
            </w:tcMar>
          </w:tcPr>
          <w:p>
            <w:pPr>
              <w:spacing w:after="0" w:line="240"/>
            </w:pPr>
            <w:r>
              <w:rPr>
                <w:b w:val="false"/>
                <w:bCs w:val="false"/>
                <w:sz w:val="20"/>
                <w:szCs w:val="20"/>
              </w:rPr>
              <w:t xml:space="preserve">true</w:t>
            </w:r>
          </w:p>
        </w:tc>
      </w:tr>
      <w:tr>
        <w:tc>
          <w:tcPr>
            <w:tcW w:type="dxa" w:w="4560"/>
            <w:tcMar>
              <w:top w:type="dxa" w:w="60"/>
              <w:left w:type="dxa" w:w="100"/>
              <w:bottom w:type="dxa" w:w="60"/>
              <w:right w:type="dxa" w:w="100"/>
            </w:tcMar>
          </w:tcPr>
          <w:p>
            <w:pPr>
              <w:spacing w:after="0" w:line="240"/>
            </w:pPr>
            <w:r>
              <w:rPr>
                <w:b w:val="false"/>
                <w:bCs w:val="false"/>
                <w:sz w:val="20"/>
                <w:szCs w:val="20"/>
              </w:rPr>
              <w:t xml:space="preserve">network.allowed_methods</w:t>
            </w:r>
          </w:p>
        </w:tc>
        <w:tc>
          <w:tcPr>
            <w:tcW w:type="dxa" w:w="2400"/>
            <w:tcMar>
              <w:top w:type="dxa" w:w="60"/>
              <w:left w:type="dxa" w:w="100"/>
              <w:bottom w:type="dxa" w:w="60"/>
              <w:right w:type="dxa" w:w="100"/>
            </w:tcMar>
          </w:tcPr>
          <w:p>
            <w:pPr>
              <w:spacing w:after="0" w:line="240"/>
            </w:pPr>
            <w:r>
              <w:rPr>
                <w:b w:val="false"/>
                <w:bCs w:val="false"/>
                <w:sz w:val="20"/>
                <w:szCs w:val="20"/>
              </w:rPr>
              <w:t xml:space="preserve">GET, POST</w:t>
            </w:r>
          </w:p>
        </w:tc>
        <w:tc>
          <w:tcPr>
            <w:tcW w:type="dxa" w:w="2400"/>
            <w:tcMar>
              <w:top w:type="dxa" w:w="60"/>
              <w:left w:type="dxa" w:w="100"/>
              <w:bottom w:type="dxa" w:w="60"/>
              <w:right w:type="dxa" w:w="100"/>
            </w:tcMar>
          </w:tcPr>
          <w:p>
            <w:pPr>
              <w:spacing w:after="0" w:line="240"/>
            </w:pPr>
            <w:r>
              <w:rPr>
                <w:b w:val="false"/>
                <w:bCs w:val="false"/>
                <w:sz w:val="20"/>
                <w:szCs w:val="20"/>
              </w:rPr>
              <w:t xml:space="preserve">GET</w:t>
            </w:r>
          </w:p>
        </w:tc>
      </w:tr>
      <w:tr>
        <w:tc>
          <w:tcPr>
            <w:tcW w:type="dxa" w:w="4560"/>
            <w:tcMar>
              <w:top w:type="dxa" w:w="60"/>
              <w:left w:type="dxa" w:w="100"/>
              <w:bottom w:type="dxa" w:w="60"/>
              <w:right w:type="dxa" w:w="100"/>
            </w:tcMar>
          </w:tcPr>
          <w:p>
            <w:pPr>
              <w:spacing w:after="0" w:line="240"/>
            </w:pPr>
            <w:r>
              <w:rPr>
                <w:b w:val="false"/>
                <w:bCs w:val="false"/>
                <w:sz w:val="20"/>
                <w:szCs w:val="20"/>
              </w:rPr>
              <w:t xml:space="preserve">network.max_egress_bytes</w:t>
            </w:r>
          </w:p>
        </w:tc>
        <w:tc>
          <w:tcPr>
            <w:tcW w:type="dxa" w:w="2400"/>
            <w:tcMar>
              <w:top w:type="dxa" w:w="60"/>
              <w:left w:type="dxa" w:w="100"/>
              <w:bottom w:type="dxa" w:w="60"/>
              <w:right w:type="dxa" w:w="100"/>
            </w:tcMar>
          </w:tcPr>
          <w:p>
            <w:pPr>
              <w:spacing w:after="0" w:line="240"/>
            </w:pPr>
            <w:r>
              <w:rPr>
                <w:b w:val="false"/>
                <w:bCs w:val="false"/>
                <w:sz w:val="20"/>
                <w:szCs w:val="20"/>
              </w:rPr>
              <w:t xml:space="preserve">10 GB</w:t>
            </w:r>
          </w:p>
        </w:tc>
        <w:tc>
          <w:tcPr>
            <w:tcW w:type="dxa" w:w="2400"/>
            <w:tcMar>
              <w:top w:type="dxa" w:w="60"/>
              <w:left w:type="dxa" w:w="100"/>
              <w:bottom w:type="dxa" w:w="60"/>
              <w:right w:type="dxa" w:w="100"/>
            </w:tcMar>
          </w:tcPr>
          <w:p>
            <w:pPr>
              <w:spacing w:after="0" w:line="240"/>
            </w:pPr>
            <w:r>
              <w:rPr>
                <w:b w:val="false"/>
                <w:bCs w:val="false"/>
                <w:sz w:val="20"/>
                <w:szCs w:val="20"/>
              </w:rPr>
              <w:t xml:space="preserve">1 GB</w:t>
            </w:r>
          </w:p>
        </w:tc>
      </w:tr>
      <w:tr>
        <w:tc>
          <w:tcPr>
            <w:tcW w:type="dxa" w:w="4560"/>
            <w:tcMar>
              <w:top w:type="dxa" w:w="60"/>
              <w:left w:type="dxa" w:w="100"/>
              <w:bottom w:type="dxa" w:w="60"/>
              <w:right w:type="dxa" w:w="100"/>
            </w:tcMar>
          </w:tcPr>
          <w:p>
            <w:pPr>
              <w:spacing w:after="0" w:line="240"/>
            </w:pPr>
            <w:r>
              <w:rPr>
                <w:b w:val="false"/>
                <w:bCs w:val="false"/>
                <w:sz w:val="20"/>
                <w:szCs w:val="20"/>
              </w:rPr>
              <w:t xml:space="preserve">credentials.ttl_seconds</w:t>
            </w:r>
          </w:p>
        </w:tc>
        <w:tc>
          <w:tcPr>
            <w:tcW w:type="dxa" w:w="2400"/>
            <w:tcMar>
              <w:top w:type="dxa" w:w="60"/>
              <w:left w:type="dxa" w:w="100"/>
              <w:bottom w:type="dxa" w:w="60"/>
              <w:right w:type="dxa" w:w="100"/>
            </w:tcMar>
          </w:tcPr>
          <w:p>
            <w:pPr>
              <w:spacing w:after="0" w:line="240"/>
            </w:pPr>
            <w:r>
              <w:rPr>
                <w:b w:val="false"/>
                <w:bCs w:val="false"/>
                <w:sz w:val="20"/>
                <w:szCs w:val="20"/>
              </w:rPr>
              <w:t xml:space="preserve">86,400</w:t>
            </w:r>
          </w:p>
        </w:tc>
        <w:tc>
          <w:tcPr>
            <w:tcW w:type="dxa" w:w="2400"/>
            <w:tcMar>
              <w:top w:type="dxa" w:w="60"/>
              <w:left w:type="dxa" w:w="100"/>
              <w:bottom w:type="dxa" w:w="60"/>
              <w:right w:type="dxa" w:w="100"/>
            </w:tcMar>
          </w:tcPr>
          <w:p>
            <w:pPr>
              <w:spacing w:after="0" w:line="240"/>
            </w:pPr>
            <w:r>
              <w:rPr>
                <w:b w:val="false"/>
                <w:bCs w:val="false"/>
                <w:sz w:val="20"/>
                <w:szCs w:val="20"/>
              </w:rPr>
              <w:t xml:space="preserve">3,600</w:t>
            </w:r>
          </w:p>
        </w:tc>
      </w:tr>
    </w:tbl>
    <w:p>
      <w:pPr>
        <w:spacing w:after="120"/>
      </w:pPr>
    </w:p>
    <w:p>
      <w:pPr>
        <w:spacing w:after="140" w:line="276"/>
      </w:pPr>
      <w:r>
        <w:rPr>
          <w:b/>
          <w:bCs/>
          <w:sz w:val="22"/>
          <w:szCs w:val="22"/>
        </w:rPr>
        <w:t xml:space="preserve">New fields added: 0. Values narrowed: 4. The envelope has the same 13 grant fields at v2 that it had at v1.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EFEFEF" w:val="clear"/>
            <w:tcMar>
              <w:top w:type="dxa" w:w="60"/>
              <w:left w:type="dxa" w:w="100"/>
              <w:bottom w:type="dxa" w:w="60"/>
              <w:right w:type="dxa" w:w="100"/>
            </w:tcMar>
          </w:tcPr>
          <w:p>
            <w:pPr>
              <w:spacing w:after="0" w:line="240"/>
            </w:pPr>
            <w:r>
              <w:rPr>
                <w:b/>
                <w:bCs/>
                <w:sz w:val="20"/>
                <w:szCs w:val="20"/>
              </w:rPr>
              <w:t xml:space="preserve"/>
            </w:r>
          </w:p>
        </w:tc>
        <w:tc>
          <w:tcPr>
            <w:tcW w:type="dxa" w:w="3360"/>
            <w:shd w:fill="EFEFEF" w:val="clear"/>
            <w:tcMar>
              <w:top w:type="dxa" w:w="60"/>
              <w:left w:type="dxa" w:w="100"/>
              <w:bottom w:type="dxa" w:w="60"/>
              <w:right w:type="dxa" w:w="100"/>
            </w:tcMar>
          </w:tcPr>
          <w:p>
            <w:pPr>
              <w:spacing w:after="0" w:line="240"/>
            </w:pPr>
            <w:r>
              <w:rPr>
                <w:b/>
                <w:bCs/>
                <w:sz w:val="20"/>
                <w:szCs w:val="20"/>
              </w:rPr>
              <w:t xml:space="preserve">Fields</w:t>
            </w:r>
          </w:p>
        </w:tc>
      </w:tr>
      <w:tr>
        <w:tc>
          <w:tcPr>
            <w:tcW w:type="dxa" w:w="6000"/>
            <w:tcMar>
              <w:top w:type="dxa" w:w="60"/>
              <w:left w:type="dxa" w:w="100"/>
              <w:bottom w:type="dxa" w:w="60"/>
              <w:right w:type="dxa" w:w="100"/>
            </w:tcMar>
          </w:tcPr>
          <w:p>
            <w:pPr>
              <w:spacing w:after="0" w:line="240"/>
            </w:pPr>
            <w:r>
              <w:rPr>
                <w:b w:val="false"/>
                <w:bCs w:val="false"/>
                <w:sz w:val="20"/>
                <w:szCs w:val="20"/>
              </w:rPr>
              <w:t xml:space="preserve">Envelope v1</w:t>
            </w:r>
          </w:p>
        </w:tc>
        <w:tc>
          <w:tcPr>
            <w:tcW w:type="dxa" w:w="3360"/>
            <w:tcMar>
              <w:top w:type="dxa" w:w="60"/>
              <w:left w:type="dxa" w:w="100"/>
              <w:bottom w:type="dxa" w:w="60"/>
              <w:right w:type="dxa" w:w="100"/>
            </w:tcMar>
          </w:tcPr>
          <w:p>
            <w:pPr>
              <w:spacing w:after="0" w:line="240"/>
            </w:pPr>
            <w:r>
              <w:rPr>
                <w:b w:val="false"/>
                <w:bCs w:val="false"/>
                <w:sz w:val="20"/>
                <w:szCs w:val="20"/>
              </w:rPr>
              <w:t xml:space="preserve">13</w:t>
            </w:r>
          </w:p>
        </w:tc>
      </w:tr>
      <w:tr>
        <w:tc>
          <w:tcPr>
            <w:tcW w:type="dxa" w:w="6000"/>
            <w:tcMar>
              <w:top w:type="dxa" w:w="60"/>
              <w:left w:type="dxa" w:w="100"/>
              <w:bottom w:type="dxa" w:w="60"/>
              <w:right w:type="dxa" w:w="100"/>
            </w:tcMar>
          </w:tcPr>
          <w:p>
            <w:pPr>
              <w:spacing w:after="0" w:line="240"/>
            </w:pPr>
            <w:r>
              <w:rPr>
                <w:b w:val="false"/>
                <w:bCs w:val="false"/>
                <w:sz w:val="20"/>
                <w:szCs w:val="20"/>
              </w:rPr>
              <w:t xml:space="preserve">Envelope v2</w:t>
            </w:r>
          </w:p>
        </w:tc>
        <w:tc>
          <w:tcPr>
            <w:tcW w:type="dxa" w:w="3360"/>
            <w:tcMar>
              <w:top w:type="dxa" w:w="60"/>
              <w:left w:type="dxa" w:w="100"/>
              <w:bottom w:type="dxa" w:w="60"/>
              <w:right w:type="dxa" w:w="100"/>
            </w:tcMar>
          </w:tcPr>
          <w:p>
            <w:pPr>
              <w:spacing w:after="0" w:line="240"/>
            </w:pPr>
            <w:r>
              <w:rPr>
                <w:b w:val="false"/>
                <w:bCs w:val="false"/>
                <w:sz w:val="20"/>
                <w:szCs w:val="20"/>
              </w:rPr>
              <w:t xml:space="preserve">13</w:t>
            </w:r>
          </w:p>
        </w:tc>
      </w:tr>
      <w:tr>
        <w:tc>
          <w:tcPr>
            <w:tcW w:type="dxa" w:w="6000"/>
            <w:tcMar>
              <w:top w:type="dxa" w:w="60"/>
              <w:left w:type="dxa" w:w="100"/>
              <w:bottom w:type="dxa" w:w="60"/>
              <w:right w:type="dxa" w:w="100"/>
            </w:tcMar>
          </w:tcPr>
          <w:p>
            <w:pPr>
              <w:spacing w:after="0" w:line="240"/>
            </w:pPr>
            <w:r>
              <w:rPr>
                <w:b w:val="false"/>
                <w:bCs w:val="false"/>
                <w:sz w:val="20"/>
                <w:szCs w:val="20"/>
              </w:rPr>
              <w:t xml:space="preserve">Equivalent enumerated rule set</w:t>
            </w:r>
          </w:p>
        </w:tc>
        <w:tc>
          <w:tcPr>
            <w:tcW w:type="dxa" w:w="3360"/>
            <w:tcMar>
              <w:top w:type="dxa" w:w="60"/>
              <w:left w:type="dxa" w:w="100"/>
              <w:bottom w:type="dxa" w:w="60"/>
              <w:right w:type="dxa" w:w="100"/>
            </w:tcMar>
          </w:tcPr>
          <w:p>
            <w:pPr>
              <w:spacing w:after="0" w:line="240"/>
            </w:pPr>
            <w:r>
              <w:rPr>
                <w:b w:val="false"/>
                <w:bCs w:val="false"/>
                <w:sz w:val="20"/>
                <w:szCs w:val="20"/>
              </w:rPr>
              <w:t xml:space="preserve">12, and growing</w:t>
            </w:r>
          </w:p>
        </w:tc>
      </w:tr>
    </w:tbl>
    <w:p>
      <w:pPr>
        <w:spacing w:after="120"/>
      </w:pPr>
    </w:p>
    <w:p>
      <w:pPr>
        <w:spacing w:after="140" w:line="276"/>
      </w:pPr>
      <w:r>
        <w:rPr>
          <w:sz w:val="22"/>
          <w:szCs w:val="22"/>
        </w:rPr>
        <w:t xml:space="preserve">The recalibration also closed a coverage gap. Re-running the incident digest against v2 leaves zero coverage findings, down from one: allowed_methods became externally verifiable because an existing boolean was narrowed, not because a rule was written.</w:t>
      </w:r>
    </w:p>
    <w:p>
      <w:pPr>
        <w:spacing w:after="140" w:line="276"/>
      </w:pPr>
      <w:r>
        <w:rPr>
          <w:sz w:val="22"/>
          <w:szCs w:val="22"/>
        </w:rPr>
        <w:t xml:space="preserve">This is the property that makes the schema a standard rather than a checklist. Enumeration grows without bound because the space of prohibited behaviours is not enumerable; parameterisation is bounded because the space of granted capabilities is. Only values move.</w:t>
      </w:r>
    </w:p>
    <w:p>
      <w:pPr>
        <w:spacing w:after="140" w:line="276"/>
      </w:pPr>
      <w:r>
        <w:rPr>
          <w:b/>
          <w:bCs/>
          <w:sz w:val="22"/>
          <w:szCs w:val="22"/>
        </w:rPr>
        <w:t xml:space="preserve">The limit. </w:t>
      </w:r>
      <w:r>
        <w:rPr>
          <w:sz w:val="22"/>
          <w:szCs w:val="22"/>
        </w:rPr>
        <w:t xml:space="preserve">Recalibration does not close V8. Narrowing a ceiling moves a threshold; it does not make a within-limit action distinguishable from a legitimate one. Parameterisation bounds how many rules a standard needs. It does not extend what aggregate counters can observe.</w:t>
      </w:r>
    </w:p>
    <w:p>
      <w:pPr>
        <w:spacing w:after="140" w:line="276"/>
      </w:pPr>
      <w:r>
        <w:rPr>
          <w:b/>
          <w:bCs/>
          <w:sz w:val="22"/>
          <w:szCs w:val="22"/>
        </w:rPr>
        <w:t xml:space="preserve">Who narrows the value. </w:t>
      </w:r>
      <w:r>
        <w:rPr>
          <w:sz w:val="22"/>
          <w:szCs w:val="22"/>
        </w:rPr>
        <w:t xml:space="preserve">The update path is deliberately asymmetric. Sandboxes emit telemetry outbound only and never communicate with each other; a narrowed envelope returns through a separate signed distribution path with a human approval gate. Sandbox-to-sandbox propagation would turn the learning channel into the highest-value attack surface in the system.</w:t>
      </w:r>
    </w:p>
    <w:p>
      <w:pPr>
        <w:pStyle w:val="Heading2"/>
        <w:spacing w:after="120" w:before="260"/>
      </w:pPr>
      <w:r>
        <w:t xml:space="preserve">2.5 Why a lab would adopt it</w:t>
      </w:r>
    </w:p>
    <w:p>
      <w:pPr>
        <w:spacing w:after="140" w:line="276"/>
      </w:pPr>
      <w:r>
        <w:rPr>
          <w:sz w:val="22"/>
          <w:szCs w:val="22"/>
        </w:rPr>
        <w:t xml:space="preserve">The standard prescribes declaration, not controls. It does not tell a lab how to build isolation, which technologies to use, or what to forbid. It asks the lab to state what it granted and to publish counters of what happened. That asymmetry is what makes it compatible with heterogeneous infrastructure.</w:t>
      </w:r>
    </w:p>
    <w:p>
      <w:pPr>
        <w:spacing w:after="140" w:line="276"/>
      </w:pPr>
      <w:r>
        <w:rPr>
          <w:b/>
          <w:bCs/>
          <w:sz w:val="22"/>
          <w:szCs w:val="22"/>
        </w:rPr>
        <w:t xml:space="preserve">Adoption cost is measurable, and it is low. </w:t>
      </w:r>
      <w:r>
        <w:rPr>
          <w:sz w:val="22"/>
          <w:szCs w:val="22"/>
        </w:rPr>
        <w:t xml:space="preserve">We cross-referenced each of the fifteen grant fields against what OpenAI and Hugging Face voluntarily published about this one incident. Eleven of fifteen already have a public counterpart in the two reports.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840"/>
        <w:gridCol w:w="720"/>
      </w:tblGrid>
      <w:tr>
        <w:trPr>
          <w:tblHeader/>
        </w:trPr>
        <w:tc>
          <w:tcPr>
            <w:tcW w:type="dxa" w:w="1800"/>
            <w:shd w:fill="EFEFEF" w:val="clear"/>
            <w:tcMar>
              <w:top w:type="dxa" w:w="60"/>
              <w:left w:type="dxa" w:w="100"/>
              <w:bottom w:type="dxa" w:w="60"/>
              <w:right w:type="dxa" w:w="100"/>
            </w:tcMar>
          </w:tcPr>
          <w:p>
            <w:pPr>
              <w:spacing w:after="0" w:line="240"/>
            </w:pPr>
            <w:r>
              <w:rPr>
                <w:b/>
                <w:bCs/>
                <w:sz w:val="20"/>
                <w:szCs w:val="20"/>
              </w:rPr>
              <w:t xml:space="preserve">Status</w:t>
            </w:r>
          </w:p>
        </w:tc>
        <w:tc>
          <w:tcPr>
            <w:tcW w:type="dxa" w:w="6840"/>
            <w:shd w:fill="EFEFEF" w:val="clear"/>
            <w:tcMar>
              <w:top w:type="dxa" w:w="60"/>
              <w:left w:type="dxa" w:w="100"/>
              <w:bottom w:type="dxa" w:w="60"/>
              <w:right w:type="dxa" w:w="100"/>
            </w:tcMar>
          </w:tcPr>
          <w:p>
            <w:pPr>
              <w:spacing w:after="0" w:line="240"/>
            </w:pPr>
            <w:r>
              <w:rPr>
                <w:b/>
                <w:bCs/>
                <w:sz w:val="20"/>
                <w:szCs w:val="20"/>
              </w:rPr>
              <w:t xml:space="preserve">Fields</w:t>
            </w:r>
          </w:p>
        </w:tc>
        <w:tc>
          <w:tcPr>
            <w:tcW w:type="dxa" w:w="720"/>
            <w:shd w:fill="EFEFEF" w:val="clear"/>
            <w:tcMar>
              <w:top w:type="dxa" w:w="60"/>
              <w:left w:type="dxa" w:w="100"/>
              <w:bottom w:type="dxa" w:w="60"/>
              <w:right w:type="dxa" w:w="100"/>
            </w:tcMar>
          </w:tcPr>
          <w:p>
            <w:pPr>
              <w:spacing w:after="0" w:line="240"/>
            </w:pPr>
            <w:r>
              <w:rPr>
                <w:b/>
                <w:bCs/>
                <w:sz w:val="20"/>
                <w:szCs w:val="20"/>
              </w:rPr>
              <w:t xml:space="preserve">n</w:t>
            </w:r>
          </w:p>
        </w:tc>
      </w:tr>
      <w:tr>
        <w:tc>
          <w:tcPr>
            <w:tcW w:type="dxa" w:w="1800"/>
            <w:tcMar>
              <w:top w:type="dxa" w:w="60"/>
              <w:left w:type="dxa" w:w="100"/>
              <w:bottom w:type="dxa" w:w="60"/>
              <w:right w:type="dxa" w:w="100"/>
            </w:tcMar>
          </w:tcPr>
          <w:p>
            <w:pPr>
              <w:spacing w:after="0" w:line="240"/>
            </w:pPr>
            <w:r>
              <w:rPr>
                <w:b w:val="false"/>
                <w:bCs w:val="false"/>
                <w:sz w:val="20"/>
                <w:szCs w:val="20"/>
              </w:rPr>
              <w:t xml:space="preserve">Published directly</w:t>
            </w:r>
          </w:p>
        </w:tc>
        <w:tc>
          <w:tcPr>
            <w:tcW w:type="dxa" w:w="6840"/>
            <w:tcMar>
              <w:top w:type="dxa" w:w="60"/>
              <w:left w:type="dxa" w:w="100"/>
              <w:bottom w:type="dxa" w:w="60"/>
              <w:right w:type="dxa" w:w="100"/>
            </w:tcMar>
          </w:tcPr>
          <w:p>
            <w:pPr>
              <w:spacing w:after="0" w:line="240"/>
            </w:pPr>
            <w:r>
              <w:rPr>
                <w:b w:val="false"/>
                <w:bCs w:val="false"/>
                <w:sz w:val="20"/>
                <w:szCs w:val="20"/>
              </w:rPr>
              <w:t xml:space="preserve">safety_classifiers_enabled; refusal_thresholds_reduced; resources_to_destroy (eleven nodes and 181 enrolments itemised)</w:t>
            </w:r>
          </w:p>
        </w:tc>
        <w:tc>
          <w:tcPr>
            <w:tcW w:type="dxa" w:w="720"/>
            <w:tcMar>
              <w:top w:type="dxa" w:w="60"/>
              <w:left w:type="dxa" w:w="100"/>
              <w:bottom w:type="dxa" w:w="60"/>
              <w:right w:type="dxa" w:w="100"/>
            </w:tcMar>
          </w:tcPr>
          <w:p>
            <w:pPr>
              <w:spacing w:after="0" w:line="240"/>
            </w:pPr>
            <w:r>
              <w:rPr>
                <w:b w:val="false"/>
                <w:bCs w:val="false"/>
                <w:sz w:val="20"/>
                <w:szCs w:val="20"/>
              </w:rPr>
              <w:t xml:space="preserve">3</w:t>
            </w:r>
          </w:p>
        </w:tc>
      </w:tr>
      <w:tr>
        <w:tc>
          <w:tcPr>
            <w:tcW w:type="dxa" w:w="1800"/>
            <w:tcMar>
              <w:top w:type="dxa" w:w="60"/>
              <w:left w:type="dxa" w:w="100"/>
              <w:bottom w:type="dxa" w:w="60"/>
              <w:right w:type="dxa" w:w="100"/>
            </w:tcMar>
          </w:tcPr>
          <w:p>
            <w:pPr>
              <w:spacing w:after="0" w:line="240"/>
            </w:pPr>
            <w:r>
              <w:rPr>
                <w:b w:val="false"/>
                <w:bCs w:val="false"/>
                <w:sz w:val="20"/>
                <w:szCs w:val="20"/>
              </w:rPr>
              <w:t xml:space="preserve">Partial counterpart</w:t>
            </w:r>
          </w:p>
        </w:tc>
        <w:tc>
          <w:tcPr>
            <w:tcW w:type="dxa" w:w="6840"/>
            <w:tcMar>
              <w:top w:type="dxa" w:w="60"/>
              <w:left w:type="dxa" w:w="100"/>
              <w:bottom w:type="dxa" w:w="60"/>
              <w:right w:type="dxa" w:w="100"/>
            </w:tcMar>
          </w:tcPr>
          <w:p>
            <w:pPr>
              <w:spacing w:after="0" w:line="240"/>
            </w:pPr>
            <w:r>
              <w:rPr>
                <w:b w:val="false"/>
                <w:bCs w:val="false"/>
                <w:sz w:val="20"/>
                <w:szCs w:val="20"/>
              </w:rPr>
              <w:t xml:space="preserve">allowed_destinations (permitted egress proxy named); max_egress_bytes (flow logs characterised); mounted_secrets (exposed credentials enumerated); ttl_seconds (token lifetimes stated); invocable_tools (representative commands published); max_subagents (instance counts from METR/Redwood); step_definition (17,600 actions counted); allowed_external_publication (dead-drop datasets documented)</w:t>
            </w:r>
          </w:p>
        </w:tc>
        <w:tc>
          <w:tcPr>
            <w:tcW w:type="dxa" w:w="720"/>
            <w:tcMar>
              <w:top w:type="dxa" w:w="60"/>
              <w:left w:type="dxa" w:w="100"/>
              <w:bottom w:type="dxa" w:w="60"/>
              <w:right w:type="dxa" w:w="100"/>
            </w:tcMar>
          </w:tcPr>
          <w:p>
            <w:pPr>
              <w:spacing w:after="0" w:line="240"/>
            </w:pPr>
            <w:r>
              <w:rPr>
                <w:b w:val="false"/>
                <w:bCs w:val="false"/>
                <w:sz w:val="20"/>
                <w:szCs w:val="20"/>
              </w:rPr>
              <w:t xml:space="preserve">8</w:t>
            </w:r>
          </w:p>
        </w:tc>
      </w:tr>
      <w:tr>
        <w:tc>
          <w:tcPr>
            <w:tcW w:type="dxa" w:w="1800"/>
            <w:tcMar>
              <w:top w:type="dxa" w:w="60"/>
              <w:left w:type="dxa" w:w="100"/>
              <w:bottom w:type="dxa" w:w="60"/>
              <w:right w:type="dxa" w:w="100"/>
            </w:tcMar>
          </w:tcPr>
          <w:p>
            <w:pPr>
              <w:spacing w:after="0" w:line="240"/>
            </w:pPr>
            <w:r>
              <w:rPr>
                <w:b w:val="false"/>
                <w:bCs w:val="false"/>
                <w:sz w:val="20"/>
                <w:szCs w:val="20"/>
              </w:rPr>
              <w:t xml:space="preserve">Not published</w:t>
            </w:r>
          </w:p>
        </w:tc>
        <w:tc>
          <w:tcPr>
            <w:tcW w:type="dxa" w:w="6840"/>
            <w:tcMar>
              <w:top w:type="dxa" w:w="60"/>
              <w:left w:type="dxa" w:w="100"/>
              <w:bottom w:type="dxa" w:w="60"/>
              <w:right w:type="dxa" w:w="100"/>
            </w:tcMar>
          </w:tcPr>
          <w:p>
            <w:pPr>
              <w:spacing w:after="0" w:line="240"/>
            </w:pPr>
            <w:r>
              <w:rPr>
                <w:b w:val="false"/>
                <w:bCs w:val="false"/>
                <w:sz w:val="20"/>
                <w:szCs w:val="20"/>
              </w:rPr>
              <w:t xml:space="preserve">l7_terminated_egress; allowed_methods; writable_paths; max_steps</w:t>
            </w:r>
          </w:p>
        </w:tc>
        <w:tc>
          <w:tcPr>
            <w:tcW w:type="dxa" w:w="720"/>
            <w:tcMar>
              <w:top w:type="dxa" w:w="60"/>
              <w:left w:type="dxa" w:w="100"/>
              <w:bottom w:type="dxa" w:w="60"/>
              <w:right w:type="dxa" w:w="100"/>
            </w:tcMar>
          </w:tcPr>
          <w:p>
            <w:pPr>
              <w:spacing w:after="0" w:line="240"/>
            </w:pPr>
            <w:r>
              <w:rPr>
                <w:b w:val="false"/>
                <w:bCs w:val="false"/>
                <w:sz w:val="20"/>
                <w:szCs w:val="20"/>
              </w:rPr>
              <w:t xml:space="preserve">4</w:t>
            </w:r>
          </w:p>
        </w:tc>
      </w:tr>
    </w:tbl>
    <w:p>
      <w:pPr>
        <w:spacing w:after="120"/>
      </w:pPr>
    </w:p>
    <w:p>
      <w:pPr>
        <w:spacing w:after="140" w:line="276"/>
      </w:pPr>
      <w:r>
        <w:rPr>
          <w:sz w:val="22"/>
          <w:szCs w:val="22"/>
        </w:rPr>
        <w:t xml:space="preserve">This is the strongest adoption argument available: most of what the schema asks for was disclosed anyway, voluntarily, within six weeks of the incident. What the schema changes is timing and format — the same facts, declared in advance, on a cadence, in a shape a third party can check. The marginal disclosure burden is four fields, of which three are booleans or short lists.</w:t>
      </w:r>
    </w:p>
    <w:p>
      <w:pPr>
        <w:spacing w:after="140" w:line="276"/>
      </w:pPr>
      <w:r>
        <w:rPr>
          <w:sz w:val="22"/>
          <w:szCs w:val="22"/>
        </w:rPr>
        <w:t xml:space="preserve">We expect the residual objection to land on the digest’s granularity, not on the schema itself.</w:t>
      </w:r>
    </w:p>
    <w:p>
      <w:pPr>
        <w:pStyle w:val="Heading2"/>
        <w:spacing w:after="120" w:before="260"/>
      </w:pPr>
      <w:r>
        <w:t xml:space="preserve">2.6 The regulatory path</w:t>
      </w:r>
    </w:p>
    <w:p>
      <w:pPr>
        <w:spacing w:after="140" w:line="276"/>
      </w:pPr>
      <w:r>
        <w:rPr>
          <w:sz w:val="22"/>
          <w:szCs w:val="22"/>
        </w:rPr>
        <w:t xml:space="preserve">No lab adopts a verification obligation voluntarily at scale. It adopts one because it is asked, and the asking mechanism already exists.</w:t>
      </w:r>
    </w:p>
    <w:p>
      <w:pPr>
        <w:spacing w:after="140" w:line="276"/>
      </w:pPr>
      <w:r>
        <w:rPr>
          <w:sz w:val="22"/>
          <w:szCs w:val="22"/>
        </w:rPr>
        <w:t xml:space="preserve">Since 2 August 2026 the European Commission’s AI Office can require documentation from providers of general-purpose AI models with systemic risk, evaluate models itself, order corrective measures, and impose fines. The envelope is precisely the artifact such a request could name: a bounded, structured statement of what an evaluation environment was granted, which exposes neither infrastructure topology nor model weights. It is answerable without disclosing anything a provider would reasonably refuse.</w:t>
      </w:r>
    </w:p>
    <w:p>
      <w:pPr>
        <w:spacing w:after="140" w:line="276"/>
      </w:pPr>
      <w:r>
        <w:rPr>
          <w:sz w:val="22"/>
          <w:szCs w:val="22"/>
        </w:rPr>
        <w:t xml:space="preserve">The digest maps onto the other half of the regime. A serious-incident reporting duty asks a provider to state that something happened and when; a periodic digest establishes the baseline against which “what happened” is measurable, and timestamps make the reporting interval an arithmetic question rather than an interpretive one. As of this writing no information request under those powers has been made public in connection with either the July 2026 incident or the sandbox-boundary reports that followed.</w:t>
      </w:r>
    </w:p>
    <w:p>
      <w:pPr>
        <w:spacing w:after="140" w:line="276"/>
      </w:pPr>
      <w:r>
        <w:rPr>
          <w:sz w:val="22"/>
          <w:szCs w:val="22"/>
        </w:rPr>
        <w:t xml:space="preserve">We do not claim the schema is regulation-ready. We claim it is the shape of artifact a regulator could ask for, and that designing it to be answerable is a stronger adoption argument than designing it to be ideal.</w:t>
      </w:r>
    </w:p>
    <w:p>
      <w:pPr>
        <w:pStyle w:val="Heading1"/>
        <w:spacing w:after="160" w:before="320"/>
      </w:pPr>
      <w:r>
        <w:t xml:space="preserve">3. How we tested it</w:t>
      </w:r>
    </w:p>
    <w:p>
      <w:pPr>
        <w:pStyle w:val="Heading2"/>
        <w:spacing w:after="120" w:before="260"/>
      </w:pPr>
      <w:r>
        <w:t xml:space="preserve">3.1 What this experiment is, and is not</w:t>
      </w:r>
    </w:p>
    <w:p>
      <w:pPr>
        <w:spacing w:after="140" w:line="276"/>
      </w:pPr>
      <w:r>
        <w:rPr>
          <w:b/>
          <w:bCs/>
          <w:sz w:val="22"/>
          <w:szCs w:val="22"/>
        </w:rPr>
        <w:t xml:space="preserve">This is a consistency check, not a measurement of empirical effectiveness. </w:t>
      </w:r>
      <w:r>
        <w:rPr>
          <w:sz w:val="22"/>
          <w:szCs w:val="22"/>
        </w:rPr>
        <w:t xml:space="preserve">We designed both the checks and the test cases, so a case that injects a violation moves exactly the counter its check reads. What the experiment establishes is that each class we label detectable corresponds to an implementable comparison over public artifacts, and that each class we label non-detectable produces a digest indistinguishable from a legitimate run. It does not establish detection rates against an adversary who knows the schema.</w:t>
      </w:r>
    </w:p>
    <w:p>
      <w:pPr>
        <w:pStyle w:val="Heading2"/>
        <w:spacing w:after="120" w:before="260"/>
      </w:pPr>
      <w:r>
        <w:t xml:space="preserve">3.2 Method</w:t>
      </w:r>
    </w:p>
    <w:p>
      <w:pPr>
        <w:spacing w:after="140" w:line="276"/>
      </w:pPr>
      <w:r>
        <w:rPr>
          <w:sz w:val="22"/>
          <w:szCs w:val="22"/>
        </w:rPr>
        <w:t xml:space="preserve">We defined eleven violation classes, built 16 synthetic cases (4 clean controls, 12 injected violations), and ran the verifier over all of them. Ground truth is the class each case injects; controls carry no violation.</w:t>
      </w:r>
    </w:p>
    <w:p>
      <w:pPr>
        <w:spacing w:after="140" w:line="276"/>
      </w:pPr>
      <w:r>
        <w:rPr>
          <w:sz w:val="22"/>
          <w:szCs w:val="22"/>
        </w:rPr>
        <w:t xml:space="preserve">For the two classes we expected to be undetectable, the case telemetry is left deliberately identical to a clean run. That is the design, not an oversight: a verifier that flagged them would be reporting a false positive.</w:t>
      </w:r>
    </w:p>
    <w:p>
      <w:pPr>
        <w:pStyle w:val="Heading2"/>
        <w:spacing w:after="120" w:before="260"/>
      </w:pPr>
      <w:r>
        <w:t xml:space="preserve">3.3 Results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rPr>
          <w:tblHeader/>
        </w:trPr>
        <w:tc>
          <w:tcPr>
            <w:tcW w:type="dxa" w:w="720"/>
            <w:shd w:fill="EFEFEF" w:val="clear"/>
            <w:tcMar>
              <w:top w:type="dxa" w:w="60"/>
              <w:left w:type="dxa" w:w="100"/>
              <w:bottom w:type="dxa" w:w="60"/>
              <w:right w:type="dxa" w:w="100"/>
            </w:tcMar>
          </w:tcPr>
          <w:p>
            <w:pPr>
              <w:spacing w:after="0" w:line="240"/>
            </w:pPr>
            <w:r>
              <w:rPr>
                <w:b/>
                <w:bCs/>
                <w:sz w:val="20"/>
                <w:szCs w:val="20"/>
              </w:rPr>
              <w:t xml:space="preserve">ID</w:t>
            </w:r>
          </w:p>
        </w:tc>
        <w:tc>
          <w:tcPr>
            <w:tcW w:type="dxa" w:w="6480"/>
            <w:shd w:fill="EFEFEF" w:val="clear"/>
            <w:tcMar>
              <w:top w:type="dxa" w:w="60"/>
              <w:left w:type="dxa" w:w="100"/>
              <w:bottom w:type="dxa" w:w="60"/>
              <w:right w:type="dxa" w:w="100"/>
            </w:tcMar>
          </w:tcPr>
          <w:p>
            <w:pPr>
              <w:spacing w:after="0" w:line="240"/>
            </w:pPr>
            <w:r>
              <w:rPr>
                <w:b/>
                <w:bCs/>
                <w:sz w:val="20"/>
                <w:szCs w:val="20"/>
              </w:rPr>
              <w:t xml:space="preserve">Violation class</w:t>
            </w:r>
          </w:p>
        </w:tc>
        <w:tc>
          <w:tcPr>
            <w:tcW w:type="dxa" w:w="2160"/>
            <w:shd w:fill="EFEFEF" w:val="clear"/>
            <w:tcMar>
              <w:top w:type="dxa" w:w="60"/>
              <w:left w:type="dxa" w:w="100"/>
              <w:bottom w:type="dxa" w:w="60"/>
              <w:right w:type="dxa" w:w="100"/>
            </w:tcMar>
          </w:tcPr>
          <w:p>
            <w:pPr>
              <w:spacing w:after="0" w:line="240"/>
            </w:pPr>
            <w:r>
              <w:rPr>
                <w:b/>
                <w:bCs/>
                <w:sz w:val="20"/>
                <w:szCs w:val="20"/>
              </w:rPr>
              <w:t xml:space="preserve">Detectable</w:t>
            </w:r>
          </w:p>
        </w:tc>
      </w:tr>
      <w:tr>
        <w:tc>
          <w:tcPr>
            <w:tcW w:type="dxa" w:w="720"/>
            <w:tcMar>
              <w:top w:type="dxa" w:w="60"/>
              <w:left w:type="dxa" w:w="100"/>
              <w:bottom w:type="dxa" w:w="60"/>
              <w:right w:type="dxa" w:w="100"/>
            </w:tcMar>
          </w:tcPr>
          <w:p>
            <w:pPr>
              <w:spacing w:after="0" w:line="240"/>
            </w:pPr>
            <w:r>
              <w:rPr>
                <w:b w:val="false"/>
                <w:bCs w:val="false"/>
                <w:sz w:val="20"/>
                <w:szCs w:val="20"/>
              </w:rPr>
              <w:t xml:space="preserve">V1</w:t>
            </w:r>
          </w:p>
        </w:tc>
        <w:tc>
          <w:tcPr>
            <w:tcW w:type="dxa" w:w="6480"/>
            <w:tcMar>
              <w:top w:type="dxa" w:w="60"/>
              <w:left w:type="dxa" w:w="100"/>
              <w:bottom w:type="dxa" w:w="60"/>
              <w:right w:type="dxa" w:w="100"/>
            </w:tcMar>
          </w:tcPr>
          <w:p>
            <w:pPr>
              <w:spacing w:after="0" w:line="240"/>
            </w:pPr>
            <w:r>
              <w:rPr>
                <w:b w:val="false"/>
                <w:bCs w:val="false"/>
                <w:sz w:val="20"/>
                <w:szCs w:val="20"/>
              </w:rPr>
              <w:t xml:space="preserve">Egress to an undeclared destination</w:t>
            </w:r>
          </w:p>
        </w:tc>
        <w:tc>
          <w:tcPr>
            <w:tcW w:type="dxa" w:w="2160"/>
            <w:tcMar>
              <w:top w:type="dxa" w:w="60"/>
              <w:left w:type="dxa" w:w="100"/>
              <w:bottom w:type="dxa" w:w="60"/>
              <w:right w:type="dxa" w:w="100"/>
            </w:tcMar>
          </w:tcPr>
          <w:p>
            <w:pPr>
              <w:spacing w:after="0" w:line="240"/>
            </w:pPr>
            <w:r>
              <w:rPr>
                <w:b w:val="false"/>
                <w:bCs w:val="false"/>
                <w:sz w:val="20"/>
                <w:szCs w:val="20"/>
              </w:rPr>
              <w:t xml:space="preserve">Yes</w:t>
            </w:r>
          </w:p>
        </w:tc>
      </w:tr>
      <w:tr>
        <w:tc>
          <w:tcPr>
            <w:tcW w:type="dxa" w:w="720"/>
            <w:tcMar>
              <w:top w:type="dxa" w:w="60"/>
              <w:left w:type="dxa" w:w="100"/>
              <w:bottom w:type="dxa" w:w="60"/>
              <w:right w:type="dxa" w:w="100"/>
            </w:tcMar>
          </w:tcPr>
          <w:p>
            <w:pPr>
              <w:spacing w:after="0" w:line="240"/>
            </w:pPr>
            <w:r>
              <w:rPr>
                <w:b w:val="false"/>
                <w:bCs w:val="false"/>
                <w:sz w:val="20"/>
                <w:szCs w:val="20"/>
              </w:rPr>
              <w:t xml:space="preserve">V2</w:t>
            </w:r>
          </w:p>
        </w:tc>
        <w:tc>
          <w:tcPr>
            <w:tcW w:type="dxa" w:w="6480"/>
            <w:tcMar>
              <w:top w:type="dxa" w:w="60"/>
              <w:left w:type="dxa" w:w="100"/>
              <w:bottom w:type="dxa" w:w="60"/>
              <w:right w:type="dxa" w:w="100"/>
            </w:tcMar>
          </w:tcPr>
          <w:p>
            <w:pPr>
              <w:spacing w:after="0" w:line="240"/>
            </w:pPr>
            <w:r>
              <w:rPr>
                <w:b w:val="false"/>
                <w:bCs w:val="false"/>
                <w:sz w:val="20"/>
                <w:szCs w:val="20"/>
              </w:rPr>
              <w:t xml:space="preserve">Undeclared method on a declared destination</w:t>
            </w:r>
          </w:p>
        </w:tc>
        <w:tc>
          <w:tcPr>
            <w:tcW w:type="dxa" w:w="2160"/>
            <w:tcMar>
              <w:top w:type="dxa" w:w="60"/>
              <w:left w:type="dxa" w:w="100"/>
              <w:bottom w:type="dxa" w:w="60"/>
              <w:right w:type="dxa" w:w="100"/>
            </w:tcMar>
          </w:tcPr>
          <w:p>
            <w:pPr>
              <w:spacing w:after="0" w:line="240"/>
            </w:pPr>
            <w:r>
              <w:rPr>
                <w:b w:val="false"/>
                <w:bCs w:val="false"/>
                <w:sz w:val="20"/>
                <w:szCs w:val="20"/>
              </w:rPr>
              <w:t xml:space="preserve">Partial (1/2)</w:t>
            </w:r>
          </w:p>
        </w:tc>
      </w:tr>
      <w:tr>
        <w:tc>
          <w:tcPr>
            <w:tcW w:type="dxa" w:w="720"/>
            <w:tcMar>
              <w:top w:type="dxa" w:w="60"/>
              <w:left w:type="dxa" w:w="100"/>
              <w:bottom w:type="dxa" w:w="60"/>
              <w:right w:type="dxa" w:w="100"/>
            </w:tcMar>
          </w:tcPr>
          <w:p>
            <w:pPr>
              <w:spacing w:after="0" w:line="240"/>
            </w:pPr>
            <w:r>
              <w:rPr>
                <w:b w:val="false"/>
                <w:bCs w:val="false"/>
                <w:sz w:val="20"/>
                <w:szCs w:val="20"/>
              </w:rPr>
              <w:t xml:space="preserve">V3</w:t>
            </w:r>
          </w:p>
        </w:tc>
        <w:tc>
          <w:tcPr>
            <w:tcW w:type="dxa" w:w="6480"/>
            <w:tcMar>
              <w:top w:type="dxa" w:w="60"/>
              <w:left w:type="dxa" w:w="100"/>
              <w:bottom w:type="dxa" w:w="60"/>
              <w:right w:type="dxa" w:w="100"/>
            </w:tcMar>
          </w:tcPr>
          <w:p>
            <w:pPr>
              <w:spacing w:after="0" w:line="240"/>
            </w:pPr>
            <w:r>
              <w:rPr>
                <w:b w:val="false"/>
                <w:bCs w:val="false"/>
                <w:sz w:val="20"/>
                <w:szCs w:val="20"/>
              </w:rPr>
              <w:t xml:space="preserve">Use of an unmounted credential</w:t>
            </w:r>
          </w:p>
        </w:tc>
        <w:tc>
          <w:tcPr>
            <w:tcW w:type="dxa" w:w="2160"/>
            <w:tcMar>
              <w:top w:type="dxa" w:w="60"/>
              <w:left w:type="dxa" w:w="100"/>
              <w:bottom w:type="dxa" w:w="60"/>
              <w:right w:type="dxa" w:w="100"/>
            </w:tcMar>
          </w:tcPr>
          <w:p>
            <w:pPr>
              <w:spacing w:after="0" w:line="240"/>
            </w:pPr>
            <w:r>
              <w:rPr>
                <w:b w:val="false"/>
                <w:bCs w:val="false"/>
                <w:sz w:val="20"/>
                <w:szCs w:val="20"/>
              </w:rPr>
              <w:t xml:space="preserve">Yes</w:t>
            </w:r>
          </w:p>
        </w:tc>
      </w:tr>
      <w:tr>
        <w:tc>
          <w:tcPr>
            <w:tcW w:type="dxa" w:w="720"/>
            <w:tcMar>
              <w:top w:type="dxa" w:w="60"/>
              <w:left w:type="dxa" w:w="100"/>
              <w:bottom w:type="dxa" w:w="60"/>
              <w:right w:type="dxa" w:w="100"/>
            </w:tcMar>
          </w:tcPr>
          <w:p>
            <w:pPr>
              <w:spacing w:after="0" w:line="240"/>
            </w:pPr>
            <w:r>
              <w:rPr>
                <w:b w:val="false"/>
                <w:bCs w:val="false"/>
                <w:sz w:val="20"/>
                <w:szCs w:val="20"/>
              </w:rPr>
              <w:t xml:space="preserve">V4</w:t>
            </w:r>
          </w:p>
        </w:tc>
        <w:tc>
          <w:tcPr>
            <w:tcW w:type="dxa" w:w="6480"/>
            <w:tcMar>
              <w:top w:type="dxa" w:w="60"/>
              <w:left w:type="dxa" w:w="100"/>
              <w:bottom w:type="dxa" w:w="60"/>
              <w:right w:type="dxa" w:w="100"/>
            </w:tcMar>
          </w:tcPr>
          <w:p>
            <w:pPr>
              <w:spacing w:after="0" w:line="240"/>
            </w:pPr>
            <w:r>
              <w:rPr>
                <w:b w:val="false"/>
                <w:bCs w:val="false"/>
                <w:sz w:val="20"/>
                <w:szCs w:val="20"/>
              </w:rPr>
              <w:t xml:space="preserve">Invocation of an undeclared tool</w:t>
            </w:r>
          </w:p>
        </w:tc>
        <w:tc>
          <w:tcPr>
            <w:tcW w:type="dxa" w:w="2160"/>
            <w:tcMar>
              <w:top w:type="dxa" w:w="60"/>
              <w:left w:type="dxa" w:w="100"/>
              <w:bottom w:type="dxa" w:w="60"/>
              <w:right w:type="dxa" w:w="100"/>
            </w:tcMar>
          </w:tcPr>
          <w:p>
            <w:pPr>
              <w:spacing w:after="0" w:line="240"/>
            </w:pPr>
            <w:r>
              <w:rPr>
                <w:b w:val="false"/>
                <w:bCs w:val="false"/>
                <w:sz w:val="20"/>
                <w:szCs w:val="20"/>
              </w:rPr>
              <w:t xml:space="preserve">Yes</w:t>
            </w:r>
          </w:p>
        </w:tc>
      </w:tr>
      <w:tr>
        <w:tc>
          <w:tcPr>
            <w:tcW w:type="dxa" w:w="720"/>
            <w:tcMar>
              <w:top w:type="dxa" w:w="60"/>
              <w:left w:type="dxa" w:w="100"/>
              <w:bottom w:type="dxa" w:w="60"/>
              <w:right w:type="dxa" w:w="100"/>
            </w:tcMar>
          </w:tcPr>
          <w:p>
            <w:pPr>
              <w:spacing w:after="0" w:line="240"/>
            </w:pPr>
            <w:r>
              <w:rPr>
                <w:b w:val="false"/>
                <w:bCs w:val="false"/>
                <w:sz w:val="20"/>
                <w:szCs w:val="20"/>
              </w:rPr>
              <w:t xml:space="preserve">V5</w:t>
            </w:r>
          </w:p>
        </w:tc>
        <w:tc>
          <w:tcPr>
            <w:tcW w:type="dxa" w:w="6480"/>
            <w:tcMar>
              <w:top w:type="dxa" w:w="60"/>
              <w:left w:type="dxa" w:w="100"/>
              <w:bottom w:type="dxa" w:w="60"/>
              <w:right w:type="dxa" w:w="100"/>
            </w:tcMar>
          </w:tcPr>
          <w:p>
            <w:pPr>
              <w:spacing w:after="0" w:line="240"/>
            </w:pPr>
            <w:r>
              <w:rPr>
                <w:b w:val="false"/>
                <w:bCs w:val="false"/>
                <w:sz w:val="20"/>
                <w:szCs w:val="20"/>
              </w:rPr>
              <w:t xml:space="preserve">Compute budget exceeded</w:t>
            </w:r>
          </w:p>
        </w:tc>
        <w:tc>
          <w:tcPr>
            <w:tcW w:type="dxa" w:w="2160"/>
            <w:tcMar>
              <w:top w:type="dxa" w:w="60"/>
              <w:left w:type="dxa" w:w="100"/>
              <w:bottom w:type="dxa" w:w="60"/>
              <w:right w:type="dxa" w:w="100"/>
            </w:tcMar>
          </w:tcPr>
          <w:p>
            <w:pPr>
              <w:spacing w:after="0" w:line="240"/>
            </w:pPr>
            <w:r>
              <w:rPr>
                <w:b w:val="false"/>
                <w:bCs w:val="false"/>
                <w:sz w:val="20"/>
                <w:szCs w:val="20"/>
              </w:rPr>
              <w:t xml:space="preserve">Yes</w:t>
            </w:r>
          </w:p>
        </w:tc>
      </w:tr>
      <w:tr>
        <w:tc>
          <w:tcPr>
            <w:tcW w:type="dxa" w:w="720"/>
            <w:tcMar>
              <w:top w:type="dxa" w:w="60"/>
              <w:left w:type="dxa" w:w="100"/>
              <w:bottom w:type="dxa" w:w="60"/>
              <w:right w:type="dxa" w:w="100"/>
            </w:tcMar>
          </w:tcPr>
          <w:p>
            <w:pPr>
              <w:spacing w:after="0" w:line="240"/>
            </w:pPr>
            <w:r>
              <w:rPr>
                <w:b w:val="false"/>
                <w:bCs w:val="false"/>
                <w:sz w:val="20"/>
                <w:szCs w:val="20"/>
              </w:rPr>
              <w:t xml:space="preserve">V6</w:t>
            </w:r>
          </w:p>
        </w:tc>
        <w:tc>
          <w:tcPr>
            <w:tcW w:type="dxa" w:w="6480"/>
            <w:tcMar>
              <w:top w:type="dxa" w:w="60"/>
              <w:left w:type="dxa" w:w="100"/>
              <w:bottom w:type="dxa" w:w="60"/>
              <w:right w:type="dxa" w:w="100"/>
            </w:tcMar>
          </w:tcPr>
          <w:p>
            <w:pPr>
              <w:spacing w:after="0" w:line="240"/>
            </w:pPr>
            <w:r>
              <w:rPr>
                <w:b w:val="false"/>
                <w:bCs w:val="false"/>
                <w:sz w:val="20"/>
                <w:szCs w:val="20"/>
              </w:rPr>
              <w:t xml:space="preserve">Persistence outside what was declared</w:t>
            </w:r>
          </w:p>
        </w:tc>
        <w:tc>
          <w:tcPr>
            <w:tcW w:type="dxa" w:w="2160"/>
            <w:tcMar>
              <w:top w:type="dxa" w:w="60"/>
              <w:left w:type="dxa" w:w="100"/>
              <w:bottom w:type="dxa" w:w="60"/>
              <w:right w:type="dxa" w:w="100"/>
            </w:tcMar>
          </w:tcPr>
          <w:p>
            <w:pPr>
              <w:spacing w:after="0" w:line="240"/>
            </w:pPr>
            <w:r>
              <w:rPr>
                <w:b w:val="false"/>
                <w:bCs w:val="false"/>
                <w:sz w:val="20"/>
                <w:szCs w:val="20"/>
              </w:rPr>
              <w:t xml:space="preserve">Yes</w:t>
            </w:r>
          </w:p>
        </w:tc>
      </w:tr>
      <w:tr>
        <w:tc>
          <w:tcPr>
            <w:tcW w:type="dxa" w:w="720"/>
            <w:tcMar>
              <w:top w:type="dxa" w:w="60"/>
              <w:left w:type="dxa" w:w="100"/>
              <w:bottom w:type="dxa" w:w="60"/>
              <w:right w:type="dxa" w:w="100"/>
            </w:tcMar>
          </w:tcPr>
          <w:p>
            <w:pPr>
              <w:spacing w:after="0" w:line="240"/>
            </w:pPr>
            <w:r>
              <w:rPr>
                <w:b w:val="false"/>
                <w:bCs w:val="false"/>
                <w:sz w:val="20"/>
                <w:szCs w:val="20"/>
              </w:rPr>
              <w:t xml:space="preserve">V7</w:t>
            </w:r>
          </w:p>
        </w:tc>
        <w:tc>
          <w:tcPr>
            <w:tcW w:type="dxa" w:w="6480"/>
            <w:tcMar>
              <w:top w:type="dxa" w:w="60"/>
              <w:left w:type="dxa" w:w="100"/>
              <w:bottom w:type="dxa" w:w="60"/>
              <w:right w:type="dxa" w:w="100"/>
            </w:tcMar>
          </w:tcPr>
          <w:p>
            <w:pPr>
              <w:spacing w:after="0" w:line="240"/>
            </w:pPr>
            <w:r>
              <w:rPr>
                <w:b w:val="false"/>
                <w:bCs w:val="false"/>
                <w:sz w:val="20"/>
                <w:szCs w:val="20"/>
              </w:rPr>
              <w:t xml:space="preserve">Exfiltration by anomalous volume</w:t>
            </w:r>
          </w:p>
        </w:tc>
        <w:tc>
          <w:tcPr>
            <w:tcW w:type="dxa" w:w="2160"/>
            <w:tcMar>
              <w:top w:type="dxa" w:w="60"/>
              <w:left w:type="dxa" w:w="100"/>
              <w:bottom w:type="dxa" w:w="60"/>
              <w:right w:type="dxa" w:w="100"/>
            </w:tcMar>
          </w:tcPr>
          <w:p>
            <w:pPr>
              <w:spacing w:after="0" w:line="240"/>
            </w:pPr>
            <w:r>
              <w:rPr>
                <w:b w:val="false"/>
                <w:bCs w:val="false"/>
                <w:sz w:val="20"/>
                <w:szCs w:val="20"/>
              </w:rPr>
              <w:t xml:space="preserve">Yes</w:t>
            </w:r>
          </w:p>
        </w:tc>
      </w:tr>
      <w:tr>
        <w:tc>
          <w:tcPr>
            <w:tcW w:type="dxa" w:w="720"/>
            <w:tcMar>
              <w:top w:type="dxa" w:w="60"/>
              <w:left w:type="dxa" w:w="100"/>
              <w:bottom w:type="dxa" w:w="60"/>
              <w:right w:type="dxa" w:w="100"/>
            </w:tcMar>
          </w:tcPr>
          <w:p>
            <w:pPr>
              <w:spacing w:after="0" w:line="240"/>
            </w:pPr>
            <w:r>
              <w:rPr>
                <w:b w:val="false"/>
                <w:bCs w:val="false"/>
                <w:sz w:val="20"/>
                <w:szCs w:val="20"/>
              </w:rPr>
              <w:t xml:space="preserve">V8</w:t>
            </w:r>
          </w:p>
        </w:tc>
        <w:tc>
          <w:tcPr>
            <w:tcW w:type="dxa" w:w="6480"/>
            <w:tcMar>
              <w:top w:type="dxa" w:w="60"/>
              <w:left w:type="dxa" w:w="100"/>
              <w:bottom w:type="dxa" w:w="60"/>
              <w:right w:type="dxa" w:w="100"/>
            </w:tcMar>
          </w:tcPr>
          <w:p>
            <w:pPr>
              <w:spacing w:after="0" w:line="240"/>
            </w:pPr>
            <w:r>
              <w:rPr>
                <w:b w:val="false"/>
                <w:bCs w:val="false"/>
                <w:sz w:val="20"/>
                <w:szCs w:val="20"/>
              </w:rPr>
              <w:t xml:space="preserve">Exfiltration within every declared limit</w:t>
            </w:r>
          </w:p>
        </w:tc>
        <w:tc>
          <w:tcPr>
            <w:tcW w:type="dxa" w:w="2160"/>
            <w:tcMar>
              <w:top w:type="dxa" w:w="60"/>
              <w:left w:type="dxa" w:w="100"/>
              <w:bottom w:type="dxa" w:w="60"/>
              <w:right w:type="dxa" w:w="100"/>
            </w:tcMar>
          </w:tcPr>
          <w:p>
            <w:pPr>
              <w:spacing w:after="0" w:line="240"/>
            </w:pPr>
            <w:r>
              <w:rPr>
                <w:b w:val="false"/>
                <w:bCs w:val="false"/>
                <w:sz w:val="20"/>
                <w:szCs w:val="20"/>
              </w:rPr>
              <w:t xml:space="preserve">No</w:t>
            </w:r>
          </w:p>
        </w:tc>
      </w:tr>
      <w:tr>
        <w:tc>
          <w:tcPr>
            <w:tcW w:type="dxa" w:w="720"/>
            <w:tcMar>
              <w:top w:type="dxa" w:w="60"/>
              <w:left w:type="dxa" w:w="100"/>
              <w:bottom w:type="dxa" w:w="60"/>
              <w:right w:type="dxa" w:w="100"/>
            </w:tcMar>
          </w:tcPr>
          <w:p>
            <w:pPr>
              <w:spacing w:after="0" w:line="240"/>
            </w:pPr>
            <w:r>
              <w:rPr>
                <w:b w:val="false"/>
                <w:bCs w:val="false"/>
                <w:sz w:val="20"/>
                <w:szCs w:val="20"/>
              </w:rPr>
              <w:t xml:space="preserve">V9</w:t>
            </w:r>
          </w:p>
        </w:tc>
        <w:tc>
          <w:tcPr>
            <w:tcW w:type="dxa" w:w="6480"/>
            <w:tcMar>
              <w:top w:type="dxa" w:w="60"/>
              <w:left w:type="dxa" w:w="100"/>
              <w:bottom w:type="dxa" w:w="60"/>
              <w:right w:type="dxa" w:w="100"/>
            </w:tcMar>
          </w:tcPr>
          <w:p>
            <w:pPr>
              <w:spacing w:after="0" w:line="240"/>
            </w:pPr>
            <w:r>
              <w:rPr>
                <w:b w:val="false"/>
                <w:bCs w:val="false"/>
                <w:sz w:val="20"/>
                <w:szCs w:val="20"/>
              </w:rPr>
              <w:t xml:space="preserve">Cross-sandbox coordination via a shared destination</w:t>
            </w:r>
          </w:p>
        </w:tc>
        <w:tc>
          <w:tcPr>
            <w:tcW w:type="dxa" w:w="2160"/>
            <w:tcMar>
              <w:top w:type="dxa" w:w="60"/>
              <w:left w:type="dxa" w:w="100"/>
              <w:bottom w:type="dxa" w:w="60"/>
              <w:right w:type="dxa" w:w="100"/>
            </w:tcMar>
          </w:tcPr>
          <w:p>
            <w:pPr>
              <w:spacing w:after="0" w:line="240"/>
            </w:pPr>
            <w:r>
              <w:rPr>
                <w:b w:val="false"/>
                <w:bCs w:val="false"/>
                <w:sz w:val="20"/>
                <w:szCs w:val="20"/>
              </w:rPr>
              <w:t xml:space="preserve">No</w:t>
            </w:r>
          </w:p>
        </w:tc>
      </w:tr>
      <w:tr>
        <w:tc>
          <w:tcPr>
            <w:tcW w:type="dxa" w:w="720"/>
            <w:tcMar>
              <w:top w:type="dxa" w:w="60"/>
              <w:left w:type="dxa" w:w="100"/>
              <w:bottom w:type="dxa" w:w="60"/>
              <w:right w:type="dxa" w:w="100"/>
            </w:tcMar>
          </w:tcPr>
          <w:p>
            <w:pPr>
              <w:spacing w:after="0" w:line="240"/>
            </w:pPr>
            <w:r>
              <w:rPr>
                <w:b w:val="false"/>
                <w:bCs w:val="false"/>
                <w:sz w:val="20"/>
                <w:szCs w:val="20"/>
              </w:rPr>
              <w:t xml:space="preserve">V10</w:t>
            </w:r>
          </w:p>
        </w:tc>
        <w:tc>
          <w:tcPr>
            <w:tcW w:type="dxa" w:w="6480"/>
            <w:tcMar>
              <w:top w:type="dxa" w:w="60"/>
              <w:left w:type="dxa" w:w="100"/>
              <w:bottom w:type="dxa" w:w="60"/>
              <w:right w:type="dxa" w:w="100"/>
            </w:tcMar>
          </w:tcPr>
          <w:p>
            <w:pPr>
              <w:spacing w:after="0" w:line="240"/>
            </w:pPr>
            <w:r>
              <w:rPr>
                <w:b w:val="false"/>
                <w:bCs w:val="false"/>
                <w:sz w:val="20"/>
                <w:szCs w:val="20"/>
              </w:rPr>
              <w:t xml:space="preserve">Declared envelope differs from the applied one</w:t>
            </w:r>
          </w:p>
        </w:tc>
        <w:tc>
          <w:tcPr>
            <w:tcW w:type="dxa" w:w="2160"/>
            <w:tcMar>
              <w:top w:type="dxa" w:w="60"/>
              <w:left w:type="dxa" w:w="100"/>
              <w:bottom w:type="dxa" w:w="60"/>
              <w:right w:type="dxa" w:w="100"/>
            </w:tcMar>
          </w:tcPr>
          <w:p>
            <w:pPr>
              <w:spacing w:after="0" w:line="240"/>
            </w:pPr>
            <w:r>
              <w:rPr>
                <w:b w:val="false"/>
                <w:bCs w:val="false"/>
                <w:sz w:val="20"/>
                <w:szCs w:val="20"/>
              </w:rPr>
              <w:t xml:space="preserve">Partial (3/4)</w:t>
            </w:r>
          </w:p>
        </w:tc>
      </w:tr>
      <w:tr>
        <w:tc>
          <w:tcPr>
            <w:tcW w:type="dxa" w:w="720"/>
            <w:tcMar>
              <w:top w:type="dxa" w:w="60"/>
              <w:left w:type="dxa" w:w="100"/>
              <w:bottom w:type="dxa" w:w="60"/>
              <w:right w:type="dxa" w:w="100"/>
            </w:tcMar>
          </w:tcPr>
          <w:p>
            <w:pPr>
              <w:spacing w:after="0" w:line="240"/>
            </w:pPr>
            <w:r>
              <w:rPr>
                <w:b w:val="false"/>
                <w:bCs w:val="false"/>
                <w:sz w:val="20"/>
                <w:szCs w:val="20"/>
              </w:rPr>
              <w:t xml:space="preserve">V11</w:t>
            </w:r>
          </w:p>
        </w:tc>
        <w:tc>
          <w:tcPr>
            <w:tcW w:type="dxa" w:w="6480"/>
            <w:tcMar>
              <w:top w:type="dxa" w:w="60"/>
              <w:left w:type="dxa" w:w="100"/>
              <w:bottom w:type="dxa" w:w="60"/>
              <w:right w:type="dxa" w:w="100"/>
            </w:tcMar>
          </w:tcPr>
          <w:p>
            <w:pPr>
              <w:spacing w:after="0" w:line="240"/>
            </w:pPr>
            <w:r>
              <w:rPr>
                <w:b w:val="false"/>
                <w:bCs w:val="false"/>
                <w:sz w:val="20"/>
                <w:szCs w:val="20"/>
              </w:rPr>
              <w:t xml:space="preserve">Safety-control state differs from what was declared</w:t>
            </w:r>
          </w:p>
        </w:tc>
        <w:tc>
          <w:tcPr>
            <w:tcW w:type="dxa" w:w="2160"/>
            <w:tcMar>
              <w:top w:type="dxa" w:w="60"/>
              <w:left w:type="dxa" w:w="100"/>
              <w:bottom w:type="dxa" w:w="60"/>
              <w:right w:type="dxa" w:w="100"/>
            </w:tcMar>
          </w:tcPr>
          <w:p>
            <w:pPr>
              <w:spacing w:after="0" w:line="240"/>
            </w:pPr>
            <w:r>
              <w:rPr>
                <w:b w:val="false"/>
                <w:bCs w:val="false"/>
                <w:sz w:val="20"/>
                <w:szCs w:val="20"/>
              </w:rPr>
              <w:t xml:space="preserve">Yes</w:t>
            </w:r>
          </w:p>
        </w:tc>
      </w:tr>
    </w:tbl>
    <w:p>
      <w:pPr>
        <w:spacing w:after="120"/>
      </w:pPr>
    </w:p>
    <w:p>
      <w:pPr>
        <w:spacing w:after="140" w:line="276"/>
      </w:pPr>
      <w:r>
        <w:rPr>
          <w:sz w:val="22"/>
          <w:szCs w:val="22"/>
        </w:rPr>
        <w:t xml:space="preserve">Seven fully detectable, two partial, two not. Zero false positives across four clean controls, including one run exactly at every declared ceiling and one where the lab honestly declares safety classifiers disabled.</w:t>
      </w:r>
    </w:p>
    <w:p>
      <w:pPr>
        <w:spacing w:after="140" w:line="276"/>
      </w:pPr>
      <w:r>
        <w:rPr>
          <w:b/>
          <w:bCs/>
          <w:sz w:val="22"/>
          <w:szCs w:val="22"/>
        </w:rPr>
        <w:t xml:space="preserve">V2 is partial because the schema lets a lab opt out honestly. </w:t>
      </w:r>
      <w:r>
        <w:rPr>
          <w:sz w:val="22"/>
          <w:szCs w:val="22"/>
        </w:rPr>
        <w:t xml:space="preserve">A lab that does not terminate egress at layer 7 declares l7_terminated_egress: false, and the verifier reports that the method check is not externally verifiable rather than reporting compliance. Declared non-coverage is information; silent non-coverage is not.</w:t>
      </w:r>
    </w:p>
    <w:p>
      <w:pPr>
        <w:spacing w:after="140" w:line="276"/>
      </w:pPr>
      <w:r>
        <w:rPr>
          <w:b/>
          <w:bCs/>
          <w:sz w:val="22"/>
          <w:szCs w:val="22"/>
        </w:rPr>
        <w:t xml:space="preserve">V10 is partial in a specific way. </w:t>
      </w:r>
      <w:r>
        <w:rPr>
          <w:sz w:val="22"/>
          <w:szCs w:val="22"/>
        </w:rPr>
        <w:t xml:space="preserve">No public artifact proves the declared envelope was the applied one. But three mechanisms make the claim falsifiable: hash binding catches silent substitution, declared coverage separates “nothing happened” from “we stopped counting,” and signer separation catches a family reporting on itself. The fourth form — a substituted envelope with matching hash, full coverage, and separated signers — leaves no trace. Strong proof would require hardware attestation.</w:t>
      </w:r>
    </w:p>
    <w:p>
      <w:pPr>
        <w:pStyle w:val="Heading2"/>
        <w:spacing w:after="120" w:before="260"/>
      </w:pPr>
      <w:r>
        <w:t xml:space="preserve">3.4 Tracing the real incident</w:t>
      </w:r>
    </w:p>
    <w:p>
      <w:pPr>
        <w:spacing w:after="140" w:line="276"/>
      </w:pPr>
      <w:r>
        <w:rPr>
          <w:sz w:val="22"/>
          <w:szCs w:val="22"/>
        </w:rPr>
        <w:t xml:space="preserve">We reconstructed a plausible envelope for the ExploitGym evaluation sandbox and built the digest its telemetry would have produced. </w:t>
      </w:r>
      <w:r>
        <w:rPr>
          <w:b/>
          <w:bCs/>
          <w:sz w:val="22"/>
          <w:szCs w:val="22"/>
        </w:rPr>
        <w:t xml:space="preserve">The envelope is a reconstruction: OpenAI has not published its sandbox configuration. </w:t>
      </w:r>
      <w:r>
        <w:rPr>
          <w:sz w:val="22"/>
          <w:szCs w:val="22"/>
        </w:rPr>
        <w:t xml:space="preserve">Each field is marked in the source as documented or inferred.</w:t>
      </w:r>
    </w:p>
    <w:p>
      <w:pPr>
        <w:spacing w:after="140" w:line="276"/>
      </w:pPr>
      <w:r>
        <w:rPr>
          <w:sz w:val="22"/>
          <w:szCs w:val="22"/>
        </w:rPr>
        <w:t xml:space="preserve">The verifier produced nine findings across six classes: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EFEFEF" w:val="clear"/>
            <w:tcMar>
              <w:top w:type="dxa" w:w="60"/>
              <w:left w:type="dxa" w:w="100"/>
              <w:bottom w:type="dxa" w:w="60"/>
              <w:right w:type="dxa" w:w="100"/>
            </w:tcMar>
          </w:tcPr>
          <w:p>
            <w:pPr>
              <w:spacing w:after="0" w:line="240"/>
            </w:pPr>
            <w:r>
              <w:rPr>
                <w:b/>
                <w:bCs/>
                <w:sz w:val="20"/>
                <w:szCs w:val="20"/>
              </w:rPr>
              <w:t xml:space="preserve">Class</w:t>
            </w:r>
          </w:p>
        </w:tc>
        <w:tc>
          <w:tcPr>
            <w:tcW w:type="dxa" w:w="8160"/>
            <w:shd w:fill="EFEFEF" w:val="clear"/>
            <w:tcMar>
              <w:top w:type="dxa" w:w="60"/>
              <w:left w:type="dxa" w:w="100"/>
              <w:bottom w:type="dxa" w:w="60"/>
              <w:right w:type="dxa" w:w="100"/>
            </w:tcMar>
          </w:tcPr>
          <w:p>
            <w:pPr>
              <w:spacing w:after="0" w:line="240"/>
            </w:pPr>
            <w:r>
              <w:rPr>
                <w:b/>
                <w:bCs/>
                <w:sz w:val="20"/>
                <w:szCs w:val="20"/>
              </w:rPr>
              <w:t xml:space="preserve">Finding</w:t>
            </w:r>
          </w:p>
        </w:tc>
      </w:tr>
      <w:tr>
        <w:tc>
          <w:tcPr>
            <w:tcW w:type="dxa" w:w="1200"/>
            <w:tcMar>
              <w:top w:type="dxa" w:w="60"/>
              <w:left w:type="dxa" w:w="100"/>
              <w:bottom w:type="dxa" w:w="60"/>
              <w:right w:type="dxa" w:w="100"/>
            </w:tcMar>
          </w:tcPr>
          <w:p>
            <w:pPr>
              <w:spacing w:after="0" w:line="240"/>
            </w:pPr>
            <w:r>
              <w:rPr>
                <w:b w:val="false"/>
                <w:bCs w:val="false"/>
                <w:sz w:val="20"/>
                <w:szCs w:val="20"/>
              </w:rPr>
              <w:t xml:space="preserve">V1</w:t>
            </w:r>
          </w:p>
        </w:tc>
        <w:tc>
          <w:tcPr>
            <w:tcW w:type="dxa" w:w="8160"/>
            <w:tcMar>
              <w:top w:type="dxa" w:w="60"/>
              <w:left w:type="dxa" w:w="100"/>
              <w:bottom w:type="dxa" w:w="60"/>
              <w:right w:type="dxa" w:w="100"/>
            </w:tcMar>
          </w:tcPr>
          <w:p>
            <w:pPr>
              <w:spacing w:after="0" w:line="240"/>
            </w:pPr>
            <w:r>
              <w:rPr>
                <w:b w:val="false"/>
                <w:bCs w:val="false"/>
                <w:sz w:val="20"/>
                <w:szCs w:val="20"/>
              </w:rPr>
              <w:t xml:space="preserve">100 requests to destinations outside the declared set</w:t>
            </w:r>
          </w:p>
        </w:tc>
      </w:tr>
      <w:tr>
        <w:tc>
          <w:tcPr>
            <w:tcW w:type="dxa" w:w="1200"/>
            <w:tcMar>
              <w:top w:type="dxa" w:w="60"/>
              <w:left w:type="dxa" w:w="100"/>
              <w:bottom w:type="dxa" w:w="60"/>
              <w:right w:type="dxa" w:w="100"/>
            </w:tcMar>
          </w:tcPr>
          <w:p>
            <w:pPr>
              <w:spacing w:after="0" w:line="240"/>
            </w:pPr>
            <w:r>
              <w:rPr>
                <w:b w:val="false"/>
                <w:bCs w:val="false"/>
                <w:sz w:val="20"/>
                <w:szCs w:val="20"/>
              </w:rPr>
              <w:t xml:space="preserve">V5</w:t>
            </w:r>
          </w:p>
        </w:tc>
        <w:tc>
          <w:tcPr>
            <w:tcW w:type="dxa" w:w="8160"/>
            <w:tcMar>
              <w:top w:type="dxa" w:w="60"/>
              <w:left w:type="dxa" w:w="100"/>
              <w:bottom w:type="dxa" w:w="60"/>
              <w:right w:type="dxa" w:w="100"/>
            </w:tcMar>
          </w:tcPr>
          <w:p>
            <w:pPr>
              <w:spacing w:after="0" w:line="240"/>
            </w:pPr>
            <w:r>
              <w:rPr>
                <w:b w:val="false"/>
                <w:bCs w:val="false"/>
                <w:sz w:val="20"/>
                <w:szCs w:val="20"/>
              </w:rPr>
              <w:t xml:space="preserve">17,600 steps executed against a 2,000-step budget</w:t>
            </w:r>
          </w:p>
        </w:tc>
      </w:tr>
      <w:tr>
        <w:tc>
          <w:tcPr>
            <w:tcW w:type="dxa" w:w="1200"/>
            <w:tcMar>
              <w:top w:type="dxa" w:w="60"/>
              <w:left w:type="dxa" w:w="100"/>
              <w:bottom w:type="dxa" w:w="60"/>
              <w:right w:type="dxa" w:w="100"/>
            </w:tcMar>
          </w:tcPr>
          <w:p>
            <w:pPr>
              <w:spacing w:after="0" w:line="240"/>
            </w:pPr>
            <w:r>
              <w:rPr>
                <w:b w:val="false"/>
                <w:bCs w:val="false"/>
                <w:sz w:val="20"/>
                <w:szCs w:val="20"/>
              </w:rPr>
              <w:t xml:space="preserve">V6</w:t>
            </w:r>
          </w:p>
        </w:tc>
        <w:tc>
          <w:tcPr>
            <w:tcW w:type="dxa" w:w="8160"/>
            <w:tcMar>
              <w:top w:type="dxa" w:w="60"/>
              <w:left w:type="dxa" w:w="100"/>
              <w:bottom w:type="dxa" w:w="60"/>
              <w:right w:type="dxa" w:w="100"/>
            </w:tcMar>
          </w:tcPr>
          <w:p>
            <w:pPr>
              <w:spacing w:after="0" w:line="240"/>
            </w:pPr>
            <w:r>
              <w:rPr>
                <w:b w:val="false"/>
                <w:bCs w:val="false"/>
                <w:sz w:val="20"/>
                <w:szCs w:val="20"/>
              </w:rPr>
              <w:t xml:space="preserve">5 external publications with an empty declared destination list</w:t>
            </w:r>
          </w:p>
        </w:tc>
      </w:tr>
      <w:tr>
        <w:tc>
          <w:tcPr>
            <w:tcW w:type="dxa" w:w="1200"/>
            <w:tcMar>
              <w:top w:type="dxa" w:w="60"/>
              <w:left w:type="dxa" w:w="100"/>
              <w:bottom w:type="dxa" w:w="60"/>
              <w:right w:type="dxa" w:w="100"/>
            </w:tcMar>
          </w:tcPr>
          <w:p>
            <w:pPr>
              <w:spacing w:after="0" w:line="240"/>
            </w:pPr>
            <w:r>
              <w:rPr>
                <w:b w:val="false"/>
                <w:bCs w:val="false"/>
                <w:sz w:val="20"/>
                <w:szCs w:val="20"/>
              </w:rPr>
              <w:t xml:space="preserve">V6</w:t>
            </w:r>
          </w:p>
        </w:tc>
        <w:tc>
          <w:tcPr>
            <w:tcW w:type="dxa" w:w="8160"/>
            <w:tcMar>
              <w:top w:type="dxa" w:w="60"/>
              <w:left w:type="dxa" w:w="100"/>
              <w:bottom w:type="dxa" w:w="60"/>
              <w:right w:type="dxa" w:w="100"/>
            </w:tcMar>
          </w:tcPr>
          <w:p>
            <w:pPr>
              <w:spacing w:after="0" w:line="240"/>
            </w:pPr>
            <w:r>
              <w:rPr>
                <w:b w:val="false"/>
                <w:bCs w:val="false"/>
                <w:sz w:val="20"/>
                <w:szCs w:val="20"/>
              </w:rPr>
              <w:t xml:space="preserve">11 orphaned containers, 181 orphaned tokens</w:t>
            </w:r>
          </w:p>
        </w:tc>
      </w:tr>
      <w:tr>
        <w:tc>
          <w:tcPr>
            <w:tcW w:type="dxa" w:w="1200"/>
            <w:tcMar>
              <w:top w:type="dxa" w:w="60"/>
              <w:left w:type="dxa" w:w="100"/>
              <w:bottom w:type="dxa" w:w="60"/>
              <w:right w:type="dxa" w:w="100"/>
            </w:tcMar>
          </w:tcPr>
          <w:p>
            <w:pPr>
              <w:spacing w:after="0" w:line="240"/>
            </w:pPr>
            <w:r>
              <w:rPr>
                <w:b w:val="false"/>
                <w:bCs w:val="false"/>
                <w:sz w:val="20"/>
                <w:szCs w:val="20"/>
              </w:rPr>
              <w:t xml:space="preserve">V10</w:t>
            </w:r>
          </w:p>
        </w:tc>
        <w:tc>
          <w:tcPr>
            <w:tcW w:type="dxa" w:w="8160"/>
            <w:tcMar>
              <w:top w:type="dxa" w:w="60"/>
              <w:left w:type="dxa" w:w="100"/>
              <w:bottom w:type="dxa" w:w="60"/>
              <w:right w:type="dxa" w:w="100"/>
            </w:tcMar>
          </w:tcPr>
          <w:p>
            <w:pPr>
              <w:spacing w:after="0" w:line="240"/>
            </w:pPr>
            <w:r>
              <w:rPr>
                <w:b w:val="false"/>
                <w:bCs w:val="false"/>
                <w:sz w:val="20"/>
                <w:szCs w:val="20"/>
              </w:rPr>
              <w:t xml:space="preserve">Network family self-reported</w:t>
            </w:r>
          </w:p>
        </w:tc>
      </w:tr>
      <w:tr>
        <w:tc>
          <w:tcPr>
            <w:tcW w:type="dxa" w:w="1200"/>
            <w:tcMar>
              <w:top w:type="dxa" w:w="60"/>
              <w:left w:type="dxa" w:w="100"/>
              <w:bottom w:type="dxa" w:w="60"/>
              <w:right w:type="dxa" w:w="100"/>
            </w:tcMar>
          </w:tcPr>
          <w:p>
            <w:pPr>
              <w:spacing w:after="0" w:line="240"/>
            </w:pPr>
            <w:r>
              <w:rPr>
                <w:b w:val="false"/>
                <w:bCs w:val="false"/>
                <w:sz w:val="20"/>
                <w:szCs w:val="20"/>
              </w:rPr>
              <w:t xml:space="preserve">V2</w:t>
            </w:r>
          </w:p>
        </w:tc>
        <w:tc>
          <w:tcPr>
            <w:tcW w:type="dxa" w:w="8160"/>
            <w:tcMar>
              <w:top w:type="dxa" w:w="60"/>
              <w:left w:type="dxa" w:w="100"/>
              <w:bottom w:type="dxa" w:w="60"/>
              <w:right w:type="dxa" w:w="100"/>
            </w:tcMar>
          </w:tcPr>
          <w:p>
            <w:pPr>
              <w:spacing w:after="0" w:line="240"/>
            </w:pPr>
            <w:r>
              <w:rPr>
                <w:b w:val="false"/>
                <w:bCs w:val="false"/>
                <w:sz w:val="20"/>
                <w:szCs w:val="20"/>
              </w:rPr>
              <w:t xml:space="preserve">Method check not verifiable (no L7 termination)</w:t>
            </w:r>
          </w:p>
        </w:tc>
      </w:tr>
      <w:tr>
        <w:tc>
          <w:tcPr>
            <w:tcW w:type="dxa" w:w="1200"/>
            <w:tcMar>
              <w:top w:type="dxa" w:w="60"/>
              <w:left w:type="dxa" w:w="100"/>
              <w:bottom w:type="dxa" w:w="60"/>
              <w:right w:type="dxa" w:w="100"/>
            </w:tcMar>
          </w:tcPr>
          <w:p>
            <w:pPr>
              <w:spacing w:after="0" w:line="240"/>
            </w:pPr>
            <w:r>
              <w:rPr>
                <w:b w:val="false"/>
                <w:bCs w:val="false"/>
                <w:sz w:val="20"/>
                <w:szCs w:val="20"/>
              </w:rPr>
              <w:t xml:space="preserve">V11</w:t>
            </w:r>
          </w:p>
        </w:tc>
        <w:tc>
          <w:tcPr>
            <w:tcW w:type="dxa" w:w="8160"/>
            <w:tcMar>
              <w:top w:type="dxa" w:w="60"/>
              <w:left w:type="dxa" w:w="100"/>
              <w:bottom w:type="dxa" w:w="60"/>
              <w:right w:type="dxa" w:w="100"/>
            </w:tcMar>
          </w:tcPr>
          <w:p>
            <w:pPr>
              <w:spacing w:after="0" w:line="240"/>
            </w:pPr>
            <w:r>
              <w:rPr>
                <w:b w:val="false"/>
                <w:bCs w:val="false"/>
                <w:sz w:val="20"/>
                <w:szCs w:val="20"/>
              </w:rPr>
              <w:t xml:space="preserve">Safety classifiers declared disabled (a grant, not a violation)</w:t>
            </w:r>
          </w:p>
        </w:tc>
      </w:tr>
    </w:tbl>
    <w:p>
      <w:pPr>
        <w:spacing w:after="120"/>
      </w:pPr>
    </w:p>
    <w:p>
      <w:pPr>
        <w:spacing w:after="140" w:line="276"/>
      </w:pPr>
      <w:r>
        <w:rPr>
          <w:sz w:val="22"/>
          <w:szCs w:val="22"/>
        </w:rPr>
        <w:t xml:space="preserve">Grounding for the counters: the request-capture service used as the primary C2 queue spanned over 100 single-use endpoints, alongside pastebins, file-drop hosts, a third-party sandbox harness, and an on-platform CORS relay — none of which a benchmark envelope would declare. The campaign left a self-respawning fleet across eleven nodes and 181 mesh-network enrolments. The evaluation ran with production safety classifiers disabled and cyber refusals reduced, which our schema records as a declared grant.</w:t>
      </w:r>
    </w:p>
    <w:p>
      <w:pPr>
        <w:spacing w:after="140" w:line="276"/>
      </w:pPr>
      <w:r>
        <w:rPr>
          <w:b/>
          <w:bCs/>
          <w:sz w:val="22"/>
          <w:szCs w:val="22"/>
        </w:rPr>
        <w:t xml:space="preserve">And the verifier did not catch the escape. </w:t>
      </w:r>
      <w:r>
        <w:rPr>
          <w:sz w:val="22"/>
          <w:szCs w:val="22"/>
        </w:rPr>
        <w:t xml:space="preserve">The zero-day was delivered to the package registry cache proxy, a declared destination. No aggregate counter distinguishes a legitimate request to a declared host from an exploit delivered to the same host. This is V8 — the class the matrix already reports as undetectable.</w:t>
      </w:r>
    </w:p>
    <w:p>
      <w:pPr>
        <w:spacing w:after="140" w:line="276"/>
      </w:pPr>
      <w:r>
        <w:rPr>
          <w:b/>
          <w:bCs/>
          <w:sz w:val="22"/>
          <w:szCs w:val="22"/>
        </w:rPr>
        <w:t xml:space="preserve">It also would not have caught the coordination. </w:t>
      </w:r>
      <w:r>
        <w:rPr>
          <w:sz w:val="22"/>
          <w:szCs w:val="22"/>
        </w:rPr>
        <w:t xml:space="preserve">METR and Redwood Research report that at least 1,200 agent instances found and used an unsanctioned message board. Those were parallel evaluation runs, not subagents spawned inside one sandbox, so this is V9 — cross-sandbox coordination through a destination that is already allowed. From a single digest that traffic is indistinguishable from ordinary use. It becomes visible only by correlating digests across a fleet. We set the subagent counters to zero rather than credit the verifier with a detection it would not make.</w:t>
      </w:r>
    </w:p>
    <w:p>
      <w:pPr>
        <w:pStyle w:val="Heading3"/>
        <w:spacing w:after="100" w:before="200"/>
      </w:pPr>
      <w:r>
        <w:t xml:space="preserve">Which findings survive the reconstruction</w:t>
      </w:r>
    </w:p>
    <w:p>
      <w:pPr>
        <w:spacing w:after="140" w:line="276"/>
      </w:pPr>
      <w:r>
        <w:rPr>
          <w:sz w:val="22"/>
          <w:szCs w:val="22"/>
        </w:rPr>
        <w:t xml:space="preserve">Not every finding is equally robust to our inferred envelope, and the distinction matters for how much weight each carries.</w:t>
      </w:r>
    </w:p>
    <w:p>
      <w:pPr>
        <w:spacing w:after="140" w:line="276"/>
      </w:pPr>
      <w:r>
        <w:rPr>
          <w:sz w:val="22"/>
          <w:szCs w:val="22"/>
        </w:rPr>
        <w:t xml:space="preserve">Two findings are robust to any plausible envelope. V1 holds because no benchmark configuration declares pastebins, file-drop hosts or a CORS relay as permitted destinations; V6 holds because no evaluation configuration permits external publication or leaves orphaned resources. V11 is documented directly and recorded as a grant rather than a violation. Two findings do depend on our inference: V10 assumes a single signer, since OpenAI has not published its signing topology, and V5 compares a documented action count against a step ceiling we chose. V5 is the weakest finding in the trace and should be read as illustrative.</w:t>
      </w:r>
    </w:p>
    <w:p>
      <w:pPr>
        <w:pStyle w:val="Heading1"/>
        <w:spacing w:after="160" w:before="320"/>
      </w:pPr>
      <w:r>
        <w:t xml:space="preserve">4. Main finding</w:t>
      </w:r>
    </w:p>
    <w:p>
      <w:pPr>
        <w:pBdr>
          <w:left w:val="single" w:color="888888" w:sz="12" w:space="12"/>
        </w:pBdr>
        <w:spacing w:after="180" w:before="160" w:line="276"/>
        <w:ind w:left="400" w:right="400"/>
      </w:pPr>
      <w:r>
        <w:rPr>
          <w:b/>
          <w:bCs/>
          <w:sz w:val="22"/>
          <w:szCs w:val="22"/>
        </w:rPr>
        <w:t xml:space="preserve">Attestation-based containment does not prevent the initial failure. It bounds how long a failure stays invisible from outside.</w:t>
      </w:r>
    </w:p>
    <w:p>
      <w:pPr>
        <w:spacing w:after="140" w:line="276"/>
      </w:pPr>
      <w:r>
        <w:rPr>
          <w:sz w:val="22"/>
          <w:szCs w:val="22"/>
        </w:rPr>
        <w:t xml:space="preserve">The evidence turns on which window matters. Three are distinguishable in the public record:</w:t>
      </w:r>
    </w:p>
    <w:p>
      <w:pPr>
        <w:pStyle w:val="ListParagraph"/>
        <w:numPr>
          <w:ilvl w:val="0"/>
          <w:numId w:val="3"/>
        </w:numPr>
        <w:spacing w:after="80" w:line="276"/>
      </w:pPr>
      <w:r>
        <w:rPr>
          <w:sz w:val="22"/>
          <w:szCs w:val="22"/>
        </w:rPr>
        <w:t xml:space="preserve">First action to access cut, 2026-07-09 to 2026-07-13, roughly 4.5 days: Hugging Face’s internal detection and response.</w:t>
      </w:r>
    </w:p>
    <w:p>
      <w:pPr>
        <w:pStyle w:val="ListParagraph"/>
        <w:numPr>
          <w:ilvl w:val="0"/>
          <w:numId w:val="3"/>
        </w:numPr>
        <w:spacing w:after="80" w:line="276"/>
      </w:pPr>
      <w:r>
        <w:rPr>
          <w:sz w:val="22"/>
          <w:szCs w:val="22"/>
        </w:rPr>
        <w:t xml:space="preserve">First action to public disclosure, to 2026-07-16, roughly 7 days: time before anyone outside knew an intrusion had occurred.</w:t>
      </w:r>
    </w:p>
    <w:p>
      <w:pPr>
        <w:pStyle w:val="ListParagraph"/>
        <w:numPr>
          <w:ilvl w:val="0"/>
          <w:numId w:val="3"/>
        </w:numPr>
        <w:spacing w:after="80" w:line="276"/>
      </w:pPr>
      <w:r>
        <w:rPr>
          <w:sz w:val="22"/>
          <w:szCs w:val="22"/>
        </w:rPr>
        <w:t xml:space="preserve">First action to public attribution, to 2026-07-21, roughly 12 days: time before anyone outside could connect the intrusion to a lab evaluation.</w:t>
      </w:r>
    </w:p>
    <w:p>
      <w:pPr>
        <w:spacing w:after="140" w:line="276"/>
      </w:pPr>
      <w:r>
        <w:rPr>
          <w:b/>
          <w:bCs/>
          <w:sz w:val="22"/>
          <w:szCs w:val="22"/>
        </w:rPr>
        <w:t xml:space="preserve">The relevant window for a containment standard is the third. </w:t>
      </w:r>
      <w:r>
        <w:rPr>
          <w:sz w:val="22"/>
          <w:szCs w:val="22"/>
        </w:rPr>
        <w:t xml:space="preserve">For roughly twelve days, no party outside OpenAI could have established that a frontier evaluation had lost containment. Hugging Face closed the first window on its own, which is exactly the point: a victim detecting an intrusion in its own logs tells the world nothing about where the agent came from. Attribution arrived only when OpenAI chose to publish it. A periodic attestation obligation does not depend on that choice, and the five finding classes that fired on day one of our trace would have been present in the first digest published after the escape.</w:t>
      </w:r>
    </w:p>
    <w:p>
      <w:pPr>
        <w:spacing w:after="140" w:line="276"/>
      </w:pPr>
      <w:r>
        <w:rPr>
          <w:sz w:val="22"/>
          <w:szCs w:val="22"/>
        </w:rPr>
        <w:t xml:space="preserve">Two observations sharpen this.</w:t>
      </w:r>
    </w:p>
    <w:p>
      <w:pPr>
        <w:spacing w:after="140" w:line="276"/>
      </w:pPr>
      <w:r>
        <w:rPr>
          <w:b/>
          <w:bCs/>
          <w:sz w:val="22"/>
          <w:szCs w:val="22"/>
        </w:rPr>
        <w:t xml:space="preserve">Detection existed; escalation failed. </w:t>
      </w:r>
      <w:r>
        <w:rPr>
          <w:sz w:val="22"/>
          <w:szCs w:val="22"/>
        </w:rPr>
        <w:t xml:space="preserve">Hugging Face’s stack correlated its signals into a coherent attack picture, but the alert’s criticality was not raised and the on-call team was not paged, costing response time. An external attestation obligation does not depend on any single organization’s internal escalation path working correctly on a given Saturday.</w:t>
      </w:r>
    </w:p>
    <w:p>
      <w:pPr>
        <w:spacing w:after="140" w:line="276"/>
      </w:pPr>
      <w:r>
        <w:rPr>
          <w:b/>
          <w:bCs/>
          <w:sz w:val="22"/>
          <w:szCs w:val="22"/>
        </w:rPr>
        <w:t xml:space="preserve">The permitted door is the general case, not the exception. </w:t>
      </w:r>
      <w:r>
        <w:rPr>
          <w:sz w:val="22"/>
          <w:szCs w:val="22"/>
        </w:rPr>
        <w:t xml:space="preserve">Any sandbox useful for a benchmark needs egress. The question a containment standard can answer is not “was the boundary perfect” but “how quickly does the outside world learn the boundary stopped holding.”</w:t>
      </w:r>
    </w:p>
    <w:p>
      <w:pPr>
        <w:pStyle w:val="Heading1"/>
        <w:spacing w:after="160" w:before="320"/>
      </w:pPr>
      <w:r>
        <w:t xml:space="preserve">5. Limitations and dual use</w:t>
      </w:r>
    </w:p>
    <w:p>
      <w:pPr>
        <w:pStyle w:val="Heading2"/>
        <w:spacing w:after="120" w:before="260"/>
      </w:pPr>
      <w:r>
        <w:t xml:space="preserve">Limitations</w:t>
      </w:r>
    </w:p>
    <w:p>
      <w:pPr>
        <w:spacing w:after="140" w:line="276"/>
      </w:pPr>
      <w:r>
        <w:rPr>
          <w:b/>
          <w:bCs/>
          <w:sz w:val="22"/>
          <w:szCs w:val="22"/>
        </w:rPr>
        <w:t xml:space="preserve">Self-reporting. </w:t>
      </w:r>
      <w:r>
        <w:rPr>
          <w:sz w:val="22"/>
          <w:szCs w:val="22"/>
        </w:rPr>
        <w:t xml:space="preserve">Every counter originates with the entity under observation. Signer separation raises the cost of falsification; it does not eliminate it. The scheme detects declared omissions and internal inconsistency, not concealed facts.</w:t>
      </w:r>
    </w:p>
    <w:p>
      <w:pPr>
        <w:spacing w:after="140" w:line="276"/>
      </w:pPr>
      <w:r>
        <w:rPr>
          <w:b/>
          <w:bCs/>
          <w:sz w:val="22"/>
          <w:szCs w:val="22"/>
        </w:rPr>
        <w:t xml:space="preserve">Synthetic data. </w:t>
      </w:r>
      <w:r>
        <w:rPr>
          <w:sz w:val="22"/>
          <w:szCs w:val="22"/>
        </w:rPr>
        <w:t xml:space="preserve">The verifier has never run against a real telemetry pipeline. We do not know whether these counters can be produced at reasonable cost in a production evaluation stack.</w:t>
      </w:r>
    </w:p>
    <w:p>
      <w:pPr>
        <w:spacing w:after="140" w:line="276"/>
      </w:pPr>
      <w:r>
        <w:rPr>
          <w:b/>
          <w:bCs/>
          <w:sz w:val="22"/>
          <w:szCs w:val="22"/>
        </w:rPr>
        <w:t xml:space="preserve">Reconstructed envelope. </w:t>
      </w:r>
      <w:r>
        <w:rPr>
          <w:sz w:val="22"/>
          <w:szCs w:val="22"/>
        </w:rPr>
        <w:t xml:space="preserve">The incident trace uses an inferred configuration. Section 3.4 marks which findings depend on our inferred values and which do not. The V5 step-budget finding is the weakest: the action count is documented, the ceiling is ours. The V8 conclusion about the escape holds under any envelope, because the escape used a destination the envelope necessarily declared.</w:t>
      </w:r>
    </w:p>
    <w:p>
      <w:pPr>
        <w:spacing w:after="140" w:line="276"/>
      </w:pPr>
      <w:r>
        <w:rPr>
          <w:b/>
          <w:bCs/>
          <w:sz w:val="22"/>
          <w:szCs w:val="22"/>
        </w:rPr>
        <w:t xml:space="preserve">Goodhart displacement. </w:t>
      </w:r>
      <w:r>
        <w:rPr>
          <w:sz w:val="22"/>
          <w:szCs w:val="22"/>
        </w:rPr>
        <w:t xml:space="preserve">Once the gap between detection and notification becomes a compliance metric, pressure moves to the detection timestamp, which is equally self-declared.</w:t>
      </w:r>
    </w:p>
    <w:p>
      <w:pPr>
        <w:spacing w:after="140" w:line="276"/>
      </w:pPr>
      <w:r>
        <w:rPr>
          <w:b/>
          <w:bCs/>
          <w:sz w:val="22"/>
          <w:szCs w:val="22"/>
        </w:rPr>
        <w:t xml:space="preserve">Binary detection. </w:t>
      </w:r>
      <w:r>
        <w:rPr>
          <w:sz w:val="22"/>
          <w:szCs w:val="22"/>
        </w:rPr>
        <w:t xml:space="preserve">Aggregate counters report that a violation occurred, not which. That is the price of adoptability.</w:t>
      </w:r>
    </w:p>
    <w:p>
      <w:pPr>
        <w:spacing w:after="140" w:line="276"/>
      </w:pPr>
      <w:r>
        <w:rPr>
          <w:b/>
          <w:bCs/>
          <w:sz w:val="22"/>
          <w:szCs w:val="22"/>
        </w:rPr>
        <w:t xml:space="preserve">Ten classes is not a complete taxonomy. </w:t>
      </w:r>
      <w:r>
        <w:rPr>
          <w:sz w:val="22"/>
          <w:szCs w:val="22"/>
        </w:rPr>
        <w:t xml:space="preserve">It is the set we could express as comparisons between a declared field and a counter. Classes that resist that form are exactly the ones we report as undetectable, which makes the taxonomy partly self-selecting.</w:t>
      </w:r>
    </w:p>
    <w:p>
      <w:pPr>
        <w:pStyle w:val="Heading2"/>
        <w:spacing w:after="120" w:before="260"/>
      </w:pPr>
      <w:r>
        <w:t xml:space="preserve">Dual use</w:t>
      </w:r>
    </w:p>
    <w:p>
      <w:pPr>
        <w:spacing w:after="140" w:line="276"/>
      </w:pPr>
      <w:r>
        <w:rPr>
          <w:b/>
          <w:bCs/>
          <w:sz w:val="22"/>
          <w:szCs w:val="22"/>
        </w:rPr>
        <w:t xml:space="preserve">The matrix is a map of what evades detection. </w:t>
      </w:r>
      <w:r>
        <w:rPr>
          <w:sz w:val="22"/>
          <w:szCs w:val="22"/>
        </w:rPr>
        <w:t xml:space="preserve">V8 and V9 tell an adversary, precisely, which behaviors produce a clean digest: stay within declared destinations, methods, and ceilings; coordinate through a host that is already allowed. Publishing this is a real cost.</w:t>
      </w:r>
    </w:p>
    <w:p>
      <w:pPr>
        <w:spacing w:after="140" w:line="276"/>
      </w:pPr>
      <w:r>
        <w:rPr>
          <w:sz w:val="22"/>
          <w:szCs w:val="22"/>
        </w:rPr>
        <w:t xml:space="preserve">We publish it anyway, for two reasons. An adversary capable of the July 2026 campaign derives these limits from the schema in minutes; the asymmetry favors defenders who need to know where their coverage ends. And a containment standard whose gaps are undisclosed is worse than none, because it produces confidence that is not earned.</w:t>
      </w:r>
    </w:p>
    <w:p>
      <w:pPr>
        <w:spacing w:after="140" w:line="276"/>
      </w:pPr>
      <w:r>
        <w:rPr>
          <w:sz w:val="22"/>
          <w:szCs w:val="22"/>
        </w:rPr>
        <w:t xml:space="preserve">The mitigation we would apply in a non-research setting: publish the class taxonomy and the coverage boundary, withhold the operational detail of how a compliant-looking digest is constructed.</w:t>
      </w:r>
    </w:p>
    <w:p>
      <w:pPr>
        <w:spacing w:after="140" w:line="276"/>
      </w:pPr>
      <w:r>
        <w:rPr>
          <w:b/>
          <w:bCs/>
          <w:sz w:val="22"/>
          <w:szCs w:val="22"/>
        </w:rPr>
        <w:t xml:space="preserve">The envelope schema is also an inventory of where permissions live. </w:t>
      </w:r>
      <w:r>
        <w:rPr>
          <w:sz w:val="22"/>
          <w:szCs w:val="22"/>
        </w:rPr>
        <w:t xml:space="preserve">Six families, named fields. That is useful to a defender and to an attacker enumerating a target’s grant surface.</w:t>
      </w:r>
    </w:p>
    <w:p>
      <w:pPr>
        <w:pStyle w:val="Heading1"/>
        <w:spacing w:after="160" w:before="320"/>
      </w:pPr>
      <w:r>
        <w:t xml:space="preserve">6. What’s next</w:t>
      </w:r>
    </w:p>
    <w:p>
      <w:pPr>
        <w:spacing w:after="140" w:line="276"/>
      </w:pPr>
      <w:r>
        <w:rPr>
          <w:sz w:val="22"/>
          <w:szCs w:val="22"/>
        </w:rPr>
        <w:t xml:space="preserve">A month of work would add, in order of value:</w:t>
      </w:r>
    </w:p>
    <w:p>
      <w:pPr>
        <w:pStyle w:val="ListParagraph"/>
        <w:numPr>
          <w:ilvl w:val="0"/>
          <w:numId w:val="2"/>
        </w:numPr>
        <w:spacing w:after="100" w:line="276"/>
      </w:pPr>
      <w:r>
        <w:rPr>
          <w:sz w:val="22"/>
          <w:szCs w:val="22"/>
        </w:rPr>
        <w:t xml:space="preserve">A published information request. The schema is designed to be answerable under an existing documentation power, but nobody has asked. Drafting the request itself — which fields, what cadence, what confidentiality treatment — is a concrete next artifact, and one a regulator could use with light edits.</w:t>
      </w:r>
    </w:p>
    <w:p>
      <w:pPr>
        <w:pStyle w:val="ListParagraph"/>
        <w:numPr>
          <w:ilvl w:val="0"/>
          <w:numId w:val="2"/>
        </w:numPr>
        <w:spacing w:after="100" w:line="276"/>
      </w:pPr>
      <w:r>
        <w:rPr>
          <w:sz w:val="22"/>
          <w:szCs w:val="22"/>
        </w:rPr>
        <w:t xml:space="preserve">V9 via cross-envelope correlation. Coordination through a shared declared destination is invisible in one digest and visible across several. A verifier holding digests from a fleet could detect convergent traffic patterns on a common allowed host. This requires fleet-level publication, which is a larger adoption ask.</w:t>
      </w:r>
    </w:p>
    <w:p>
      <w:pPr>
        <w:pStyle w:val="ListParagraph"/>
        <w:numPr>
          <w:ilvl w:val="0"/>
          <w:numId w:val="2"/>
        </w:numPr>
        <w:spacing w:after="100" w:line="276"/>
      </w:pPr>
      <w:r>
        <w:rPr>
          <w:sz w:val="22"/>
          <w:szCs w:val="22"/>
        </w:rPr>
        <w:t xml:space="preserve">Hardware attestation for the strong form of V10. The remaining gap — a substituted envelope leaving no trace — is the problem that compute governance research addresses through tamper-evident hardware. Tamper-evidence, not tamper-proofing, is the appropriate standard, by analogy with nuclear safeguards verification.</w:t>
      </w:r>
    </w:p>
    <w:p>
      <w:pPr>
        <w:pStyle w:val="ListParagraph"/>
        <w:numPr>
          <w:ilvl w:val="0"/>
          <w:numId w:val="2"/>
        </w:numPr>
        <w:spacing w:after="100" w:line="276"/>
      </w:pPr>
      <w:r>
        <w:rPr>
          <w:sz w:val="22"/>
          <w:szCs w:val="22"/>
        </w:rPr>
        <w:t xml:space="preserve">Replay against the published forensic trace. Hugging Face published an interactive reconstruction of the campaign. Instrumenting an environment and replaying the recovered action sequence would turn our consistency check into an actual detection measurement, including the false-positive question against legitimate conversion jobs.</w:t>
      </w:r>
    </w:p>
    <w:p>
      <w:pPr>
        <w:pStyle w:val="ListParagraph"/>
        <w:numPr>
          <w:ilvl w:val="0"/>
          <w:numId w:val="2"/>
        </w:numPr>
        <w:spacing w:after="100" w:line="276"/>
      </w:pPr>
      <w:r>
        <w:rPr>
          <w:sz w:val="22"/>
          <w:szCs w:val="22"/>
        </w:rPr>
        <w:t xml:space="preserve">Adoption review with a lab. The binding constraint on this work is not technical. It is whether any lab would publish these counters, and at what granularity. That question can only be answered by asking.</w:t>
      </w:r>
    </w:p>
    <w:p>
      <w:pPr>
        <w:pStyle w:val="Heading2"/>
        <w:spacing w:after="120" w:before="260"/>
      </w:pPr>
      <w:r>
        <w:t xml:space="preserve">On novelty</w:t>
      </w:r>
    </w:p>
    <w:p>
      <w:pPr>
        <w:spacing w:after="140" w:line="276"/>
      </w:pPr>
      <w:r>
        <w:rPr>
          <w:sz w:val="22"/>
          <w:szCs w:val="22"/>
        </w:rPr>
        <w:t xml:space="preserve">We want to be explicit about what is not new here. Default deny and capability models date to the 1970s. Attestation, signed artifacts, and signer separation are standard security engineering. Incident-driven control propagation is how vulnerability management has worked for decades. Agent sandboxing is practiced at every frontier lab.</w:t>
      </w:r>
    </w:p>
    <w:p>
      <w:pPr>
        <w:spacing w:after="140" w:line="276"/>
      </w:pPr>
      <w:r>
        <w:rPr>
          <w:sz w:val="22"/>
          <w:szCs w:val="22"/>
        </w:rPr>
        <w:t xml:space="preserve">What we believe is new is the bridge: expressing execution-environment configuration as fields a non-infrastructure party can audit, and reporting the boundary of what that audit can establish. The contribution is the coverage boundary, not the components.</w:t>
      </w:r>
    </w:p>
    <w:p>
      <w:pPr>
        <w:pStyle w:val="Heading1"/>
        <w:spacing w:after="160" w:before="320"/>
      </w:pPr>
      <w:r>
        <w:t xml:space="preserve">References</w:t>
      </w:r>
    </w:p>
    <w:p>
      <w:pPr>
        <w:pStyle w:val="ListParagraph"/>
        <w:numPr>
          <w:ilvl w:val="0"/>
          <w:numId w:val="2"/>
        </w:numPr>
        <w:spacing w:after="100" w:line="276"/>
      </w:pPr>
      <w:r>
        <w:rPr>
          <w:sz w:val="22"/>
          <w:szCs w:val="22"/>
        </w:rPr>
        <w:t xml:space="preserve">Hugging Face Security Team. Anatomy of a Frontier Lab Agent Intrusion: A Technical Timeline of the July 2026 Incident. 2026-07-27. https://huggingface.co/blog/agent-intrusion-technical-timeline</w:t>
      </w:r>
    </w:p>
    <w:p>
      <w:pPr>
        <w:pStyle w:val="ListParagraph"/>
        <w:numPr>
          <w:ilvl w:val="0"/>
          <w:numId w:val="2"/>
        </w:numPr>
        <w:spacing w:after="100" w:line="276"/>
      </w:pPr>
      <w:r>
        <w:rPr>
          <w:sz w:val="22"/>
          <w:szCs w:val="22"/>
        </w:rPr>
        <w:t xml:space="preserve">Hugging Face. Security incident, July 2026 (disclosure). https://huggingface.co/blog/security-incident-july-2026</w:t>
      </w:r>
    </w:p>
    <w:p>
      <w:pPr>
        <w:pStyle w:val="ListParagraph"/>
        <w:numPr>
          <w:ilvl w:val="0"/>
          <w:numId w:val="2"/>
        </w:numPr>
        <w:spacing w:after="100" w:line="276"/>
      </w:pPr>
      <w:r>
        <w:rPr>
          <w:sz w:val="22"/>
          <w:szCs w:val="22"/>
        </w:rPr>
        <w:t xml:space="preserve">OpenAI. Hugging Face model evaluation security incident. https://openai.com/index/hugging-face-model-evaluation-security-incident/</w:t>
      </w:r>
    </w:p>
    <w:p>
      <w:pPr>
        <w:pStyle w:val="ListParagraph"/>
        <w:numPr>
          <w:ilvl w:val="0"/>
          <w:numId w:val="2"/>
        </w:numPr>
        <w:spacing w:after="100" w:line="276"/>
      </w:pPr>
      <w:r>
        <w:rPr>
          <w:sz w:val="22"/>
          <w:szCs w:val="22"/>
        </w:rPr>
        <w:t xml:space="preserve">METR and Redwood Research. Independent assessment of the July 2026 incident, 2026-08-26.</w:t>
      </w:r>
    </w:p>
    <w:p>
      <w:pPr>
        <w:pStyle w:val="ListParagraph"/>
        <w:numPr>
          <w:ilvl w:val="0"/>
          <w:numId w:val="2"/>
        </w:numPr>
        <w:spacing w:after="100" w:line="276"/>
      </w:pPr>
      <w:r>
        <w:rPr>
          <w:sz w:val="22"/>
          <w:szCs w:val="22"/>
        </w:rPr>
        <w:t xml:space="preserve">Cloud Security Alliance. Hugging Face Incident Initial Post Mortem. 2026-07.</w:t>
      </w:r>
    </w:p>
    <w:p>
      <w:pPr>
        <w:pStyle w:val="Heading1"/>
        <w:spacing w:after="160" w:before="320"/>
      </w:pPr>
      <w:r>
        <w:t xml:space="preserve">Appendices</w:t>
      </w:r>
    </w:p>
    <w:p>
      <w:pPr>
        <w:pStyle w:val="ListParagraph"/>
        <w:numPr>
          <w:ilvl w:val="0"/>
          <w:numId w:val="3"/>
        </w:numPr>
        <w:spacing w:after="80" w:line="276"/>
      </w:pPr>
      <w:r>
        <w:rPr>
          <w:sz w:val="22"/>
          <w:szCs w:val="22"/>
        </w:rPr>
        <w:t xml:space="preserve">Appendix A — envelope.example.yaml: reference envelope, 15 MVP fields.</w:t>
      </w:r>
    </w:p>
    <w:p>
      <w:pPr>
        <w:pStyle w:val="ListParagraph"/>
        <w:numPr>
          <w:ilvl w:val="0"/>
          <w:numId w:val="3"/>
        </w:numPr>
        <w:spacing w:after="80" w:line="276"/>
      </w:pPr>
      <w:r>
        <w:rPr>
          <w:sz w:val="22"/>
          <w:szCs w:val="22"/>
        </w:rPr>
        <w:t xml:space="preserve">Appendix B — telemetry.example.json: reference digest, clean run.</w:t>
      </w:r>
    </w:p>
    <w:p>
      <w:pPr>
        <w:pStyle w:val="ListParagraph"/>
        <w:numPr>
          <w:ilvl w:val="0"/>
          <w:numId w:val="3"/>
        </w:numPr>
        <w:spacing w:after="80" w:line="276"/>
      </w:pPr>
      <w:r>
        <w:rPr>
          <w:sz w:val="22"/>
          <w:szCs w:val="22"/>
        </w:rPr>
        <w:t xml:space="preserve">Appendix C — Full 52-field schema, of which the MVP implements 15 grant fields across seven families.</w:t>
      </w:r>
    </w:p>
    <w:p>
      <w:pPr>
        <w:pStyle w:val="ListParagraph"/>
        <w:numPr>
          <w:ilvl w:val="0"/>
          <w:numId w:val="3"/>
        </w:numPr>
        <w:spacing w:after="80" w:line="276"/>
      </w:pPr>
      <w:r>
        <w:rPr>
          <w:sz w:val="22"/>
          <w:szCs w:val="22"/>
        </w:rPr>
        <w:t xml:space="preserve">Appendix D — Verifier source: envelope.py, checks.py, cases.py, run.py.</w:t>
      </w:r>
    </w:p>
    <w:p>
      <w:pPr>
        <w:pStyle w:val="ListParagraph"/>
        <w:numPr>
          <w:ilvl w:val="0"/>
          <w:numId w:val="3"/>
        </w:numPr>
        <w:spacing w:after="80" w:line="276"/>
      </w:pPr>
      <w:r>
        <w:rPr>
          <w:sz w:val="22"/>
          <w:szCs w:val="22"/>
        </w:rPr>
        <w:t xml:space="preserve">Appendix E — trace_incident.py and recalibrate.py: reconstructed incident envelope, digest, and the v1-to-v2 recalibration comparison.</w:t>
      </w:r>
    </w:p>
    <w:p>
      <w:pPr>
        <w:spacing w:after="120"/>
      </w:pPr>
    </w:p>
    <w:p>
      <w:pPr>
        <w:spacing w:after="140" w:line="276"/>
      </w:pPr>
      <w:r>
        <w:rPr>
          <w:b/>
          <w:bCs/>
          <w:sz w:val="22"/>
          <w:szCs w:val="22"/>
        </w:rPr>
        <w:t xml:space="preserve">Repository: </w:t>
      </w:r>
      <w:r>
        <w:rPr>
          <w:sz w:val="22"/>
          <w:szCs w:val="22"/>
        </w:rPr>
        <w:t xml:space="preserve">[URL]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28"/>
      <w:szCs w:val="28"/>
    </w:rPr>
  </w:style>
  <w:style w:type="paragraph" w:styleId="Heading2">
    <w:name w:val="Heading 2"/>
    <w:basedOn w:val="Normal"/>
    <w:next w:val="Normal"/>
    <w:qFormat/>
    <w:rPr>
      <w:rFonts w:ascii="Calibri" w:cs="Calibri" w:eastAsia="Calibri" w:hAnsi="Calibri"/>
      <w:b/>
      <w:bCs/>
      <w:color w:val="2A2A2A"/>
      <w:sz w:val="24"/>
      <w:szCs w:val="24"/>
    </w:rPr>
  </w:style>
  <w:style w:type="paragraph" w:styleId="Heading3">
    <w:name w:val="Heading 3"/>
    <w:basedOn w:val="Normal"/>
    <w:next w:val="Normal"/>
    <w:qFormat/>
    <w:rPr>
      <w:rFonts w:ascii="Calibri" w:cs="Calibri" w:eastAsia="Calibri" w:hAnsi="Calibri"/>
      <w:b/>
      <w:bCs/>
      <w:color w:val="2A2A2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2026-09-13T16:44:25.706Z</dcterms:created>
  <dcterms:modified xsi:type="dcterms:W3CDTF">2026-09-13T16:44:25.706Z</dcterms:modified>
</cp:coreProperties>
</file>

<file path=docProps/custom.xml><?xml version="1.0" encoding="utf-8"?>
<Properties xmlns="http://schemas.openxmlformats.org/officeDocument/2006/custom-properties" xmlns:vt="http://schemas.openxmlformats.org/officeDocument/2006/docPropsVTypes"/>
</file>