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pPr>
      <w:r>
        <w:rPr>
          <w:b/>
          <w:color w:val="2864C7"/>
          <w:sz w:val="32"/>
        </w:rPr>
        <w:t>SEAMAT</w:t>
      </w:r>
      <w:r>
        <w:rPr>
          <w:color w:val="5D6B7E"/>
        </w:rPr>
        <w:t xml:space="preserve">  3.1</w:t>
      </w:r>
    </w:p>
    <w:p>
      <w:pPr>
        <w:pStyle w:val="Title"/>
        <w:spacing w:before="680"/>
      </w:pPr>
      <w:r>
        <w:t>Prédiction du vieillissement des polymères par un moteur hybride fondé sur les données et la physique</w:t>
      </w:r>
    </w:p>
    <w:p>
      <w:pPr>
        <w:pStyle w:val="Subtitle"/>
      </w:pPr>
      <w:r>
        <w:t>Rapport scientifique au format papier de conférence</w:t>
      </w:r>
      <w:r>
        <w:br/>
        <w:t>Projet de recherche - Ingénieur Matériaux 3A</w:t>
      </w:r>
    </w:p>
    <w:p>
      <w:r>
        <w:br/>
      </w:r>
    </w:p>
    <w:tbl>
      <w:tblPr>
        <w:tblW w:type="auto" w:w="0"/>
        <w:tblLook w:firstColumn="1" w:firstRow="1" w:lastColumn="0" w:lastRow="0" w:noHBand="0" w:noVBand="1" w:val="04A0"/>
      </w:tblPr>
      <w:tblGrid>
        <w:gridCol w:w="3289"/>
        <w:gridCol w:w="3289"/>
        <w:gridCol w:w="3289"/>
      </w:tblGrid>
      <w:tr>
        <w:tc>
          <w:tcPr>
            <w:tcW w:type="dxa" w:w="3289"/>
            <w:shd w:fill="F3F6FA"/>
            <w:tcBorders>
              <w:top w:val="single" w:sz="4" w:color="FFFFFF"/>
              <w:left w:val="single" w:sz="4" w:color="FFFFFF"/>
              <w:bottom w:val="single" w:sz="4" w:color="FFFFFF"/>
              <w:right w:val="single" w:sz="4" w:color="FFFFFF"/>
            </w:tcBorders>
          </w:tcPr>
          <w:p>
            <w:r>
              <w:rPr>
                <w:b/>
                <w:color w:val="2864C7"/>
                <w:sz w:val="15"/>
              </w:rPr>
              <w:t>AUTEUR</w:t>
              <w:br/>
            </w:r>
            <w:r>
              <w:rPr>
                <w:color w:val="182230"/>
                <w:sz w:val="18"/>
              </w:rPr>
              <w:t>Mathieu Valentin</w:t>
            </w:r>
          </w:p>
        </w:tc>
        <w:tc>
          <w:tcPr>
            <w:tcW w:type="dxa" w:w="3289"/>
            <w:shd w:fill="F3F6FA"/>
            <w:tcBorders>
              <w:top w:val="single" w:sz="4" w:color="FFFFFF"/>
              <w:left w:val="single" w:sz="4" w:color="FFFFFF"/>
              <w:bottom w:val="single" w:sz="4" w:color="FFFFFF"/>
              <w:right w:val="single" w:sz="4" w:color="FFFFFF"/>
            </w:tcBorders>
          </w:tcPr>
          <w:p>
            <w:r>
              <w:rPr>
                <w:b/>
                <w:color w:val="2864C7"/>
                <w:sz w:val="15"/>
              </w:rPr>
              <w:t>RÔLE</w:t>
              <w:br/>
            </w:r>
            <w:r>
              <w:rPr>
                <w:color w:val="182230"/>
                <w:sz w:val="18"/>
              </w:rPr>
              <w:t>Data engineering, modélisation, développement et validation</w:t>
            </w:r>
          </w:p>
        </w:tc>
        <w:tc>
          <w:tcPr>
            <w:tcW w:type="dxa" w:w="3289"/>
            <w:shd w:fill="F3F6FA"/>
            <w:tcBorders>
              <w:top w:val="single" w:sz="4" w:color="FFFFFF"/>
              <w:left w:val="single" w:sz="4" w:color="FFFFFF"/>
              <w:bottom w:val="single" w:sz="4" w:color="FFFFFF"/>
              <w:right w:val="single" w:sz="4" w:color="FFFFFF"/>
            </w:tcBorders>
          </w:tcPr>
          <w:p>
            <w:r>
              <w:rPr>
                <w:b/>
                <w:color w:val="2864C7"/>
                <w:sz w:val="15"/>
              </w:rPr>
              <w:t>VERSION</w:t>
              <w:br/>
            </w:r>
            <w:r>
              <w:rPr>
                <w:color w:val="182230"/>
                <w:sz w:val="18"/>
              </w:rPr>
              <w:t>SeaMat 3.1</w:t>
            </w:r>
          </w:p>
        </w:tc>
      </w:tr>
      <w:tr>
        <w:tc>
          <w:tcPr>
            <w:tcW w:type="dxa" w:w="3289"/>
            <w:shd w:fill="F3F6FA"/>
            <w:tcBorders>
              <w:top w:val="single" w:sz="4" w:color="FFFFFF"/>
              <w:left w:val="single" w:sz="4" w:color="FFFFFF"/>
              <w:bottom w:val="single" w:sz="4" w:color="FFFFFF"/>
              <w:right w:val="single" w:sz="4" w:color="FFFFFF"/>
            </w:tcBorders>
          </w:tcPr>
          <w:p>
            <w:r>
              <w:rPr>
                <w:b/>
                <w:color w:val="2864C7"/>
                <w:sz w:val="15"/>
              </w:rPr>
              <w:t>DATE</w:t>
              <w:br/>
            </w:r>
            <w:r>
              <w:rPr>
                <w:color w:val="182230"/>
                <w:sz w:val="18"/>
              </w:rPr>
              <w:t>14 octobre 2026</w:t>
            </w:r>
          </w:p>
        </w:tc>
        <w:tc>
          <w:tcPr>
            <w:tcW w:type="dxa" w:w="3289"/>
            <w:shd w:fill="F3F6FA"/>
            <w:tcBorders>
              <w:top w:val="single" w:sz="4" w:color="FFFFFF"/>
              <w:left w:val="single" w:sz="4" w:color="FFFFFF"/>
              <w:bottom w:val="single" w:sz="4" w:color="FFFFFF"/>
              <w:right w:val="single" w:sz="4" w:color="FFFFFF"/>
            </w:tcBorders>
          </w:tcPr>
          <w:p>
            <w:r>
              <w:rPr>
                <w:b/>
                <w:color w:val="2864C7"/>
                <w:sz w:val="15"/>
              </w:rPr>
              <w:t>DOMAINE</w:t>
              <w:br/>
            </w:r>
            <w:r>
              <w:rPr>
                <w:color w:val="182230"/>
                <w:sz w:val="18"/>
              </w:rPr>
              <w:t>Polymères et composites</w:t>
            </w:r>
          </w:p>
        </w:tc>
        <w:tc>
          <w:tcPr>
            <w:tcW w:type="dxa" w:w="3289"/>
            <w:shd w:fill="F3F6FA"/>
            <w:tcBorders>
              <w:top w:val="single" w:sz="4" w:color="FFFFFF"/>
              <w:left w:val="single" w:sz="4" w:color="FFFFFF"/>
              <w:bottom w:val="single" w:sz="4" w:color="FFFFFF"/>
              <w:right w:val="single" w:sz="4" w:color="FFFFFF"/>
            </w:tcBorders>
          </w:tcPr>
          <w:p>
            <w:r>
              <w:rPr>
                <w:b/>
                <w:color w:val="2864C7"/>
                <w:sz w:val="15"/>
              </w:rPr>
              <w:t>PROPRIÉTÉ</w:t>
              <w:br/>
            </w:r>
            <w:r>
              <w:rPr>
                <w:color w:val="182230"/>
                <w:sz w:val="18"/>
              </w:rPr>
              <w:t>Module de Young E(t)/E₀</w:t>
            </w:r>
          </w:p>
        </w:tc>
      </w:tr>
    </w:tbl>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Résultat principal  </w:t>
            </w:r>
            <w:r>
              <w:t>Sur le cas PP H301 comparable, la validation interne hors formulation atteint une MAPE de 2,75 % sur huit valeurs masquées. Le transfert IIR entre températures n'est pas validé : MAPE 11,31 % et R² = -2,15.</w:t>
            </w:r>
          </w:p>
        </w:tc>
      </w:tr>
    </w:tbl>
    <w:p/>
    <w:p>
      <w:pPr>
        <w:keepNext/>
        <w:jc w:val="center"/>
      </w:pPr>
      <w:r>
        <w:drawing>
          <wp:inline xmlns:a="http://schemas.openxmlformats.org/drawingml/2006/main" xmlns:pic="http://schemas.openxmlformats.org/drawingml/2006/picture">
            <wp:extent cx="6012000" cy="33817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12000" cy="3381750"/>
                    </a:xfrm>
                    <a:prstGeom prst="rect"/>
                  </pic:spPr>
                </pic:pic>
              </a:graphicData>
            </a:graphic>
          </wp:inline>
        </w:drawing>
      </w:r>
    </w:p>
    <w:p>
      <w:pPr>
        <w:pStyle w:val="Caption"/>
        <w:keepLines/>
      </w:pPr>
      <w:r>
        <w:t>Figure 1 - Chaîne de décision scientifique et traçable de SeaMat 3.1.</w:t>
      </w:r>
    </w:p>
    <w:p>
      <w:pPr>
        <w:jc w:val="center"/>
      </w:pPr>
      <w:r>
        <w:rPr>
          <w:i/>
          <w:color w:val="5D6B7E"/>
          <w:sz w:val="16"/>
        </w:rPr>
        <w:t>Document préparé à partir de la trame de rédaction scientifique MTX3A et du code audité de SeaMat. Les valeurs expérimentales restent rattachées aux articles primaires cités.</w:t>
      </w:r>
    </w:p>
    <w:p>
      <w:pPr>
        <w:pStyle w:val="Heading1"/>
        <w:keepNext/>
        <w:pageBreakBefore/>
      </w:pPr>
      <w:r>
        <w:t>Résumé</w:t>
      </w:r>
    </w:p>
    <w:tbl>
      <w:tblPr>
        <w:tblW w:type="auto" w:w="0"/>
        <w:tblLayout w:type="fixed"/>
        <w:tblLook w:firstColumn="1" w:firstRow="1" w:lastColumn="0" w:lastRow="0" w:noHBand="0" w:noVBand="1" w:val="04A0"/>
      </w:tblPr>
      <w:tblGrid>
        <w:gridCol w:w="102"/>
        <w:gridCol w:w="9298"/>
      </w:tblGrid>
      <w:tr>
        <w:tc>
          <w:tcPr>
            <w:tcW w:type="dxa" w:w="4933"/>
            <w:shd w:fill="17365D"/>
            <w:tcBorders>
              <w:top w:val="nil"/>
              <w:left w:val="nil"/>
              <w:bottom w:val="nil"/>
              <w:right w:val="nil"/>
            </w:tcBorders>
          </w:tcPr>
          <w:p/>
        </w:tc>
        <w:tc>
          <w:tcPr>
            <w:tcW w:type="dxa" w:w="4933"/>
            <w:shd w:fill="EEF4FB"/>
            <w:tcBorders>
              <w:top w:val="nil"/>
              <w:left w:val="nil"/>
              <w:bottom w:val="nil"/>
              <w:right w:val="nil"/>
            </w:tcBorders>
          </w:tcPr>
          <w:p>
            <w:pPr>
              <w:spacing w:after="40"/>
            </w:pPr>
            <w:r>
              <w:rPr>
                <w:b/>
                <w:color w:val="17365D"/>
              </w:rPr>
              <w:t xml:space="preserve">Résumé - 243 mots  </w:t>
            </w:r>
            <w:r>
              <w:t>Les essais de vieillissement des polymères sont longs, coûteux et dépendants du grade, de la formulation, du procédé et du milieu. Ce travail présente SeaMat 3.1, un outil Python qui transforme des données bibliographiques traçables en courbes de conservation du module de Young. L'approche combine un routeur de preuves, des modèles cinétiques simples, un transfert entre matériaux comparables et un modèle réduit fondé sur les mécanismes. Celui-ci associe cinétique d'Arrhenius, diffusion de Fick, hydrolyse, plastification, photo-vieillissement et rigidification. Chaque résultat conserve la source, le domaine de calibration, le niveau de preuve et les paramètres. La validation masque des groupes entiers afin d'éviter la fuite d'information. Pour quatre formulations de PP H301 vieillies naturellement pendant 120 jours, la prédiction sans mesure de vieillissement de la formulation cible atteint une erreur relative moyenne de 2,75 %, une erreur maximale de 3,41 % et un R² de 0,854. À l'inverse, le transfert du composite IIR immergé à 100 °C depuis les courbes à 80 et 120 °C produit 11,31 % d'erreur moyenne et un R² de -2,15 ; cette route est refusée. La précision dépend donc du domaine de preuve autant que de l'algorithme. SeaMat est exploitable pour la présélection, la comparaison et la préparation d'essais lorsqu'un corpus compatible existe. Il ne constitue pas encore un modèle universel garanti à 95 %. La qualification exige des jeux externes indépendants, plusieurs laboratoires et des protocoles homogènes par famille.</w:t>
            </w:r>
          </w:p>
        </w:tc>
      </w:tr>
    </w:tbl>
    <w:p>
      <w:r>
        <w:rPr>
          <w:i/>
        </w:rPr>
        <w:t>Mots-clés - vieillissement des polymères ; intelligence artificielle ; Arrhenius ; diffusion de Fick ; module de Young ; validation croisée ; incertitude ; traçabilité.</w:t>
      </w:r>
    </w:p>
    <w:p>
      <w:pPr>
        <w:pStyle w:val="Heading2"/>
        <w:keepNext/>
      </w:pPr>
      <w:r>
        <w:t>Contributions</w:t>
      </w:r>
    </w:p>
    <w:p>
      <w:pPr>
        <w:pStyle w:val="ListBullet"/>
        <w:spacing w:after="60"/>
        <w:ind w:left="255" w:hanging="113"/>
      </w:pPr>
      <w:r>
        <w:t>Un schéma de données unifié pour le matériau, le protocole, le milieu, la série temporelle et la source primaire.</w:t>
      </w:r>
    </w:p>
    <w:p>
      <w:pPr>
        <w:pStyle w:val="ListBullet"/>
        <w:spacing w:after="60"/>
        <w:ind w:left="255" w:hanging="113"/>
      </w:pPr>
      <w:r>
        <w:t>Un routage explicite entre courbe publiée, transfert documenté et modèle par mécanismes.</w:t>
      </w:r>
    </w:p>
    <w:p>
      <w:pPr>
        <w:pStyle w:val="ListBullet"/>
        <w:spacing w:after="60"/>
        <w:ind w:left="255" w:hanging="113"/>
      </w:pPr>
      <w:r>
        <w:t>Une validation hors formulation ou hors température, avec comparaison à des références simples.</w:t>
      </w:r>
    </w:p>
    <w:p>
      <w:pPr>
        <w:pStyle w:val="ListBullet"/>
        <w:spacing w:after="60"/>
        <w:ind w:left="255" w:hanging="113"/>
      </w:pPr>
      <w:r>
        <w:t>Une restitution logicielle reproductible : courbe, niveau de preuve, rapport, classeur et empreinte SHA-256.</w:t>
      </w:r>
    </w:p>
    <w:p>
      <w:pPr>
        <w:pStyle w:val="Heading2"/>
        <w:keepNext/>
      </w:pPr>
      <w:r>
        <w:t>Nomenclature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361"/>
            <w:shd w:fill="17365D"/>
            <w:vAlign w:val="center"/>
            <w:tcBorders>
              <w:bottom w:val="single" w:sz="5" w:color="FFFFFF"/>
            </w:tcBorders>
          </w:tcPr>
          <w:p>
            <w:pPr>
              <w:jc w:val="left"/>
            </w:pPr>
            <w:r>
              <w:rPr>
                <w:b/>
                <w:color w:val="FFFFFF"/>
                <w:sz w:val="16"/>
              </w:rPr>
              <w:t>Symbole</w:t>
            </w:r>
          </w:p>
        </w:tc>
        <w:tc>
          <w:tcPr>
            <w:tcW w:type="dxa" w:w="6066"/>
            <w:shd w:fill="17365D"/>
            <w:vAlign w:val="center"/>
            <w:tcBorders>
              <w:bottom w:val="single" w:sz="5" w:color="FFFFFF"/>
            </w:tcBorders>
          </w:tcPr>
          <w:p>
            <w:pPr>
              <w:jc w:val="left"/>
            </w:pPr>
            <w:r>
              <w:rPr>
                <w:b/>
                <w:color w:val="FFFFFF"/>
                <w:sz w:val="16"/>
              </w:rPr>
              <w:t>Définition</w:t>
            </w:r>
          </w:p>
        </w:tc>
        <w:tc>
          <w:tcPr>
            <w:tcW w:type="dxa" w:w="1814"/>
            <w:shd w:fill="17365D"/>
            <w:vAlign w:val="center"/>
            <w:tcBorders>
              <w:bottom w:val="single" w:sz="5" w:color="FFFFFF"/>
            </w:tcBorders>
          </w:tcPr>
          <w:p>
            <w:pPr>
              <w:jc w:val="left"/>
            </w:pPr>
            <w:r>
              <w:rPr>
                <w:b/>
                <w:color w:val="FFFFFF"/>
                <w:sz w:val="16"/>
              </w:rPr>
              <w:t>Unité</w:t>
            </w:r>
          </w:p>
        </w:tc>
      </w:tr>
      <w:tr>
        <w:trPr>
          <w:cantSplit/>
        </w:trPr>
        <w:tc>
          <w:tcPr>
            <w:tcW w:type="dxa" w:w="1361"/>
            <w:vAlign w:val="center"/>
            <w:tcBorders>
              <w:bottom w:val="single" w:sz="4" w:color="D8E1EC"/>
            </w:tcBorders>
          </w:tcPr>
          <w:p>
            <w:pPr>
              <w:spacing w:after="30" w:before="30"/>
            </w:pPr>
            <w:r>
              <w:rPr>
                <w:color w:val="182230"/>
                <w:sz w:val="16"/>
              </w:rPr>
              <w:t>E(t), E₀</w:t>
            </w:r>
          </w:p>
        </w:tc>
        <w:tc>
          <w:tcPr>
            <w:tcW w:type="dxa" w:w="6066"/>
            <w:vAlign w:val="center"/>
            <w:tcBorders>
              <w:bottom w:val="single" w:sz="4" w:color="D8E1EC"/>
            </w:tcBorders>
          </w:tcPr>
          <w:p>
            <w:pPr>
              <w:spacing w:after="30" w:before="30"/>
            </w:pPr>
            <w:r>
              <w:rPr>
                <w:color w:val="182230"/>
                <w:sz w:val="16"/>
              </w:rPr>
              <w:t>Module de Young au temps t et module initial</w:t>
            </w:r>
          </w:p>
        </w:tc>
        <w:tc>
          <w:tcPr>
            <w:tcW w:type="dxa" w:w="1814"/>
            <w:vAlign w:val="center"/>
            <w:tcBorders>
              <w:bottom w:val="single" w:sz="4" w:color="D8E1EC"/>
            </w:tcBorders>
          </w:tcPr>
          <w:p>
            <w:pPr>
              <w:spacing w:after="30" w:before="30"/>
            </w:pPr>
            <w:r>
              <w:rPr>
                <w:color w:val="182230"/>
                <w:sz w:val="16"/>
              </w:rPr>
              <w:t>MPa</w:t>
            </w:r>
          </w:p>
        </w:tc>
      </w:tr>
      <w:tr>
        <w:trPr>
          <w:cantSplit/>
        </w:trPr>
        <w:tc>
          <w:tcPr>
            <w:tcW w:type="dxa" w:w="1361"/>
            <w:shd w:fill="F6F8FB"/>
            <w:vAlign w:val="center"/>
            <w:tcBorders>
              <w:bottom w:val="single" w:sz="4" w:color="D8E1EC"/>
            </w:tcBorders>
          </w:tcPr>
          <w:p>
            <w:pPr>
              <w:spacing w:after="30" w:before="30"/>
            </w:pPr>
            <w:r>
              <w:rPr>
                <w:color w:val="182230"/>
                <w:sz w:val="16"/>
              </w:rPr>
              <w:t>R(t)</w:t>
            </w:r>
          </w:p>
        </w:tc>
        <w:tc>
          <w:tcPr>
            <w:tcW w:type="dxa" w:w="6066"/>
            <w:shd w:fill="F6F8FB"/>
            <w:vAlign w:val="center"/>
            <w:tcBorders>
              <w:bottom w:val="single" w:sz="4" w:color="D8E1EC"/>
            </w:tcBorders>
          </w:tcPr>
          <w:p>
            <w:pPr>
              <w:spacing w:after="30" w:before="30"/>
            </w:pPr>
            <w:r>
              <w:rPr>
                <w:color w:val="182230"/>
                <w:sz w:val="16"/>
              </w:rPr>
              <w:t>Rétention du module E(t)/E₀</w:t>
            </w:r>
          </w:p>
        </w:tc>
        <w:tc>
          <w:tcPr>
            <w:tcW w:type="dxa" w:w="1814"/>
            <w:shd w:fill="F6F8FB"/>
            <w:vAlign w:val="center"/>
            <w:tcBorders>
              <w:bottom w:val="single" w:sz="4" w:color="D8E1EC"/>
            </w:tcBorders>
          </w:tcPr>
          <w:p>
            <w:pPr>
              <w:spacing w:after="30" w:before="30"/>
            </w:pPr>
            <w:r>
              <w:rPr>
                <w:color w:val="182230"/>
                <w:sz w:val="16"/>
              </w:rPr>
              <w:t>- ou %</w:t>
            </w:r>
          </w:p>
        </w:tc>
      </w:tr>
      <w:tr>
        <w:trPr>
          <w:cantSplit/>
        </w:trPr>
        <w:tc>
          <w:tcPr>
            <w:tcW w:type="dxa" w:w="1361"/>
            <w:vAlign w:val="center"/>
            <w:tcBorders>
              <w:bottom w:val="single" w:sz="4" w:color="D8E1EC"/>
            </w:tcBorders>
          </w:tcPr>
          <w:p>
            <w:pPr>
              <w:spacing w:after="30" w:before="30"/>
            </w:pPr>
            <w:r>
              <w:rPr>
                <w:color w:val="182230"/>
                <w:sz w:val="16"/>
              </w:rPr>
              <w:t>T, HR</w:t>
            </w:r>
          </w:p>
        </w:tc>
        <w:tc>
          <w:tcPr>
            <w:tcW w:type="dxa" w:w="6066"/>
            <w:vAlign w:val="center"/>
            <w:tcBorders>
              <w:bottom w:val="single" w:sz="4" w:color="D8E1EC"/>
            </w:tcBorders>
          </w:tcPr>
          <w:p>
            <w:pPr>
              <w:spacing w:after="30" w:before="30"/>
            </w:pPr>
            <w:r>
              <w:rPr>
                <w:color w:val="182230"/>
                <w:sz w:val="16"/>
              </w:rPr>
              <w:t>Température absolue ou Celsius ; humidité relative</w:t>
            </w:r>
          </w:p>
        </w:tc>
        <w:tc>
          <w:tcPr>
            <w:tcW w:type="dxa" w:w="1814"/>
            <w:vAlign w:val="center"/>
            <w:tcBorders>
              <w:bottom w:val="single" w:sz="4" w:color="D8E1EC"/>
            </w:tcBorders>
          </w:tcPr>
          <w:p>
            <w:pPr>
              <w:spacing w:after="30" w:before="30"/>
            </w:pPr>
            <w:r>
              <w:rPr>
                <w:color w:val="182230"/>
                <w:sz w:val="16"/>
              </w:rPr>
              <w:t>K, °C, %</w:t>
            </w:r>
          </w:p>
        </w:tc>
      </w:tr>
      <w:tr>
        <w:trPr>
          <w:cantSplit/>
        </w:trPr>
        <w:tc>
          <w:tcPr>
            <w:tcW w:type="dxa" w:w="1361"/>
            <w:shd w:fill="F6F8FB"/>
            <w:vAlign w:val="center"/>
            <w:tcBorders>
              <w:bottom w:val="single" w:sz="4" w:color="D8E1EC"/>
            </w:tcBorders>
          </w:tcPr>
          <w:p>
            <w:pPr>
              <w:spacing w:after="30" w:before="30"/>
            </w:pPr>
            <w:r>
              <w:rPr>
                <w:color w:val="182230"/>
                <w:sz w:val="16"/>
              </w:rPr>
              <w:t>k, Eₐ</w:t>
            </w:r>
          </w:p>
        </w:tc>
        <w:tc>
          <w:tcPr>
            <w:tcW w:type="dxa" w:w="6066"/>
            <w:shd w:fill="F6F8FB"/>
            <w:vAlign w:val="center"/>
            <w:tcBorders>
              <w:bottom w:val="single" w:sz="4" w:color="D8E1EC"/>
            </w:tcBorders>
          </w:tcPr>
          <w:p>
            <w:pPr>
              <w:spacing w:after="30" w:before="30"/>
            </w:pPr>
            <w:r>
              <w:rPr>
                <w:color w:val="182230"/>
                <w:sz w:val="16"/>
              </w:rPr>
              <w:t>Constante cinétique ; énergie d'activation</w:t>
            </w:r>
          </w:p>
        </w:tc>
        <w:tc>
          <w:tcPr>
            <w:tcW w:type="dxa" w:w="1814"/>
            <w:shd w:fill="F6F8FB"/>
            <w:vAlign w:val="center"/>
            <w:tcBorders>
              <w:bottom w:val="single" w:sz="4" w:color="D8E1EC"/>
            </w:tcBorders>
          </w:tcPr>
          <w:p>
            <w:pPr>
              <w:spacing w:after="30" w:before="30"/>
            </w:pPr>
            <w:r>
              <w:rPr>
                <w:color w:val="182230"/>
                <w:sz w:val="16"/>
              </w:rPr>
              <w:t>jour⁻¹, kJ/mol</w:t>
            </w:r>
          </w:p>
        </w:tc>
      </w:tr>
      <w:tr>
        <w:trPr>
          <w:cantSplit/>
        </w:trPr>
        <w:tc>
          <w:tcPr>
            <w:tcW w:type="dxa" w:w="1361"/>
            <w:vAlign w:val="center"/>
            <w:tcBorders>
              <w:bottom w:val="single" w:sz="4" w:color="D8E1EC"/>
            </w:tcBorders>
          </w:tcPr>
          <w:p>
            <w:pPr>
              <w:spacing w:after="30" w:before="30"/>
            </w:pPr>
            <w:r>
              <w:rPr>
                <w:color w:val="182230"/>
                <w:sz w:val="16"/>
              </w:rPr>
              <w:t>D, e</w:t>
            </w:r>
          </w:p>
        </w:tc>
        <w:tc>
          <w:tcPr>
            <w:tcW w:type="dxa" w:w="6066"/>
            <w:vAlign w:val="center"/>
            <w:tcBorders>
              <w:bottom w:val="single" w:sz="4" w:color="D8E1EC"/>
            </w:tcBorders>
          </w:tcPr>
          <w:p>
            <w:pPr>
              <w:spacing w:after="30" w:before="30"/>
            </w:pPr>
            <w:r>
              <w:rPr>
                <w:color w:val="182230"/>
                <w:sz w:val="16"/>
              </w:rPr>
              <w:t>Diffusivité de l'eau ; épaisseur</w:t>
            </w:r>
          </w:p>
        </w:tc>
        <w:tc>
          <w:tcPr>
            <w:tcW w:type="dxa" w:w="1814"/>
            <w:vAlign w:val="center"/>
            <w:tcBorders>
              <w:bottom w:val="single" w:sz="4" w:color="D8E1EC"/>
            </w:tcBorders>
          </w:tcPr>
          <w:p>
            <w:pPr>
              <w:spacing w:after="30" w:before="30"/>
            </w:pPr>
            <w:r>
              <w:rPr>
                <w:color w:val="182230"/>
                <w:sz w:val="16"/>
              </w:rPr>
              <w:t>m²/s, mm</w:t>
            </w:r>
          </w:p>
        </w:tc>
      </w:tr>
      <w:tr>
        <w:trPr>
          <w:cantSplit/>
        </w:trPr>
        <w:tc>
          <w:tcPr>
            <w:tcW w:type="dxa" w:w="1361"/>
            <w:shd w:fill="F6F8FB"/>
            <w:vAlign w:val="center"/>
            <w:tcBorders>
              <w:bottom w:val="single" w:sz="4" w:color="D8E1EC"/>
            </w:tcBorders>
          </w:tcPr>
          <w:p>
            <w:pPr>
              <w:spacing w:after="30" w:before="30"/>
            </w:pPr>
            <w:r>
              <w:rPr>
                <w:color w:val="182230"/>
                <w:sz w:val="16"/>
              </w:rPr>
              <w:t>P10-P90</w:t>
            </w:r>
          </w:p>
        </w:tc>
        <w:tc>
          <w:tcPr>
            <w:tcW w:type="dxa" w:w="6066"/>
            <w:shd w:fill="F6F8FB"/>
            <w:vAlign w:val="center"/>
            <w:tcBorders>
              <w:bottom w:val="single" w:sz="4" w:color="D8E1EC"/>
            </w:tcBorders>
          </w:tcPr>
          <w:p>
            <w:pPr>
              <w:spacing w:after="30" w:before="30"/>
            </w:pPr>
            <w:r>
              <w:rPr>
                <w:color w:val="182230"/>
                <w:sz w:val="16"/>
              </w:rPr>
              <w:t>Quantiles indicatifs ou calibrés selon le corpus</w:t>
            </w:r>
          </w:p>
        </w:tc>
        <w:tc>
          <w:tcPr>
            <w:tcW w:type="dxa" w:w="1814"/>
            <w:shd w:fill="F6F8FB"/>
            <w:vAlign w:val="center"/>
            <w:tcBorders>
              <w:bottom w:val="single" w:sz="4" w:color="D8E1EC"/>
            </w:tcBorders>
          </w:tcPr>
          <w:p>
            <w:pPr>
              <w:spacing w:after="30" w:before="30"/>
            </w:pPr>
            <w:r>
              <w:rPr>
                <w:color w:val="182230"/>
                <w:sz w:val="16"/>
              </w:rPr>
              <w:t>MPa</w:t>
            </w:r>
          </w:p>
        </w:tc>
      </w:tr>
    </w:tbl>
    <w:p>
      <w:pPr>
        <w:spacing w:after="0"/>
      </w:pPr>
    </w:p>
    <w:p>
      <w:pPr>
        <w:pStyle w:val="Heading1"/>
        <w:keepNext/>
        <w:pageBreakBefore/>
      </w:pPr>
      <w:r>
        <w:t>1. Introduction et problématique industrielle</w:t>
      </w:r>
    </w:p>
    <w:p>
      <w:r>
        <w:rPr>
          <w:i w:val="0"/>
        </w:rPr>
        <w:t>Le dimensionnement d'une pièce polymère exige de connaître l'évolution de ses propriétés dans son environnement réel. L'humidité peut plastifier une matrice, accélérer l'hydrolyse ou dégrader une interface ; la température modifie les vitesses de réaction ; les UV provoquent des coupures de chaînes, des réticulations et une évolution de la cristallinité. Une même exposition peut donc diminuer, stabiliser ou même augmenter temporairement le module, sans que la résistance à la rupture évolue dans le même sens [6].</w:t>
      </w:r>
    </w:p>
    <w:p>
      <w:r>
        <w:rPr>
          <w:i w:val="0"/>
        </w:rPr>
        <w:t>Les campagnes conventionnelles durent de plusieurs semaines à plusieurs années. Les essais accélérés réduisent ce délai, mais leur transposition suppose un mécanisme invariant et un domaine de température compatible. L'objectif industriel n'est pas de remplacer l'essai final : il est de sélectionner plus vite une formulation, d'ordonner les risques et de préparer un plan d'essais discriminant.</w:t>
      </w:r>
    </w:p>
    <w:p>
      <w:pPr>
        <w:pStyle w:val="Heading2"/>
        <w:keepNext/>
      </w:pPr>
      <w:r>
        <w:t>1.1 Question de recherche</w:t>
      </w:r>
    </w:p>
    <w:tbl>
      <w:tblPr>
        <w:tblW w:type="auto" w:w="0"/>
        <w:tblLayout w:type="fixed"/>
        <w:tblLook w:firstColumn="1" w:firstRow="1" w:lastColumn="0" w:lastRow="0" w:noHBand="0" w:noVBand="1" w:val="04A0"/>
      </w:tblPr>
      <w:tblGrid>
        <w:gridCol w:w="102"/>
        <w:gridCol w:w="9298"/>
      </w:tblGrid>
      <w:tr>
        <w:tc>
          <w:tcPr>
            <w:tcW w:type="dxa" w:w="4933"/>
            <w:shd w:fill="2864C7"/>
            <w:tcBorders>
              <w:top w:val="nil"/>
              <w:left w:val="nil"/>
              <w:bottom w:val="nil"/>
              <w:right w:val="nil"/>
            </w:tcBorders>
          </w:tcPr>
          <w:p/>
        </w:tc>
        <w:tc>
          <w:tcPr>
            <w:tcW w:type="dxa" w:w="4933"/>
            <w:shd w:fill="EEF4FB"/>
            <w:tcBorders>
              <w:top w:val="nil"/>
              <w:left w:val="nil"/>
              <w:bottom w:val="nil"/>
              <w:right w:val="nil"/>
            </w:tcBorders>
          </w:tcPr>
          <w:p>
            <w:pPr>
              <w:spacing w:after="40"/>
            </w:pPr>
            <w:r>
              <w:rPr>
                <w:b/>
                <w:color w:val="2864C7"/>
              </w:rPr>
              <w:t xml:space="preserve">Question  </w:t>
            </w:r>
            <w:r>
              <w:t>Dans quelles conditions des données bibliographiques hétérogènes permettent-elles d'estimer E(t)/E₀ pour un matériau donné, avec une erreur mesurée et une limite d'extrapolation explicite ?</w:t>
            </w:r>
          </w:p>
        </w:tc>
      </w:tr>
    </w:tbl>
    <w:p>
      <w:pPr>
        <w:pStyle w:val="Heading2"/>
        <w:keepNext/>
      </w:pPr>
      <w:r>
        <w:t>1.2 Objectifs mesurables</w:t>
      </w:r>
    </w:p>
    <w:p>
      <w:pPr>
        <w:pStyle w:val="ListBullet"/>
        <w:spacing w:after="60"/>
        <w:ind w:left="255" w:hanging="113"/>
      </w:pPr>
      <w:r>
        <w:t>Collecter des séries publiées comportant au minimum T, HR ou liquide, temps, épaisseur, E₀ et E(t).</w:t>
      </w:r>
    </w:p>
    <w:p>
      <w:pPr>
        <w:pStyle w:val="ListBullet"/>
        <w:spacing w:after="60"/>
        <w:ind w:left="255" w:hanging="113"/>
      </w:pPr>
      <w:r>
        <w:t>Comparer une approche data driven, une approche physics informed et des références simples.</w:t>
      </w:r>
    </w:p>
    <w:p>
      <w:pPr>
        <w:pStyle w:val="ListBullet"/>
        <w:spacing w:after="60"/>
        <w:ind w:left="255" w:hanging="113"/>
      </w:pPr>
      <w:r>
        <w:t>Valider par groupes entiers masqués : publication, formulation, température ou laboratoire.</w:t>
      </w:r>
    </w:p>
    <w:p>
      <w:pPr>
        <w:pStyle w:val="ListBullet"/>
        <w:spacing w:after="60"/>
        <w:ind w:left="255" w:hanging="113"/>
      </w:pPr>
      <w:r>
        <w:t>Restituer une estimation centrale et une incertitude liée à la preuve, jamais une bande graphique arbitraire.</w:t>
      </w:r>
    </w:p>
    <w:p>
      <w:pPr>
        <w:pStyle w:val="ListBullet"/>
        <w:spacing w:after="60"/>
        <w:ind w:left="255" w:hanging="113"/>
      </w:pPr>
      <w:r>
        <w:t>Identifier les cas où le moteur doit refuser une précision ou une durée de vie.</w:t>
      </w:r>
    </w:p>
    <w:p>
      <w:pPr>
        <w:pStyle w:val="Heading2"/>
        <w:keepNext/>
      </w:pPr>
      <w:r>
        <w:t>1.3 Hypothèse</w:t>
      </w:r>
    </w:p>
    <w:p>
      <w:r>
        <w:rPr>
          <w:i w:val="0"/>
        </w:rPr>
        <w:t>Un modèle hybride doit être plus robuste qu'un modèle unique : les observations dominent dans leur fenêtre, la physique contraint le sens des effets et le logiciel dégrade automatiquement son niveau de confiance lorsqu'il s'éloigne du domaine documenté.</w:t>
      </w:r>
    </w:p>
    <w:tbl>
      <w:tblPr>
        <w:tblW w:type="auto" w:w="0"/>
        <w:tblLayout w:type="fixed"/>
        <w:tblLook w:firstColumn="1" w:firstRow="1" w:lastColumn="0" w:lastRow="0" w:noHBand="0" w:noVBand="1" w:val="04A0"/>
      </w:tblPr>
      <w:tblGrid>
        <w:gridCol w:w="102"/>
        <w:gridCol w:w="9298"/>
      </w:tblGrid>
      <w:tr>
        <w:tc>
          <w:tcPr>
            <w:tcW w:type="dxa" w:w="4933"/>
            <w:shd w:fill="E28A32"/>
            <w:tcBorders>
              <w:top w:val="nil"/>
              <w:left w:val="nil"/>
              <w:bottom w:val="nil"/>
              <w:right w:val="nil"/>
            </w:tcBorders>
          </w:tcPr>
          <w:p/>
        </w:tc>
        <w:tc>
          <w:tcPr>
            <w:tcW w:type="dxa" w:w="4933"/>
            <w:shd w:fill="FFF4E6"/>
            <w:tcBorders>
              <w:top w:val="nil"/>
              <w:left w:val="nil"/>
              <w:bottom w:val="nil"/>
              <w:right w:val="nil"/>
            </w:tcBorders>
          </w:tcPr>
          <w:p>
            <w:pPr>
              <w:spacing w:after="40"/>
            </w:pPr>
            <w:r>
              <w:rPr>
                <w:b/>
                <w:color w:val="E28A32"/>
              </w:rPr>
              <w:t xml:space="preserve">Critère de réussite  </w:t>
            </w:r>
            <w:r>
              <w:t>La performance doit être évaluée sur des groupes jamais utilisés pour le calcul. Une restitution exacte d'un point déjà connu prouve l'implémentation, pas la prédiction.</w:t>
            </w:r>
          </w:p>
        </w:tc>
      </w:tr>
    </w:tbl>
    <w:p>
      <w:pPr>
        <w:pStyle w:val="Heading1"/>
        <w:keepNext/>
        <w:pageBreakBefore/>
      </w:pPr>
      <w:r>
        <w:t>2. Données et ingénierie de la preuve</w:t>
      </w:r>
    </w:p>
    <w:p>
      <w:pPr>
        <w:pStyle w:val="Heading2"/>
        <w:keepNext/>
      </w:pPr>
      <w:r>
        <w:t>2.1 Sources retenues</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2098"/>
            <w:shd w:fill="17365D"/>
            <w:vAlign w:val="center"/>
            <w:tcBorders>
              <w:bottom w:val="single" w:sz="5" w:color="FFFFFF"/>
            </w:tcBorders>
          </w:tcPr>
          <w:p>
            <w:pPr>
              <w:jc w:val="left"/>
            </w:pPr>
            <w:r>
              <w:rPr>
                <w:b/>
                <w:color w:val="FFFFFF"/>
                <w:sz w:val="15"/>
              </w:rPr>
              <w:t>Corpus</w:t>
            </w:r>
          </w:p>
        </w:tc>
        <w:tc>
          <w:tcPr>
            <w:tcW w:type="dxa" w:w="3061"/>
            <w:shd w:fill="17365D"/>
            <w:vAlign w:val="center"/>
            <w:tcBorders>
              <w:bottom w:val="single" w:sz="5" w:color="FFFFFF"/>
            </w:tcBorders>
          </w:tcPr>
          <w:p>
            <w:pPr>
              <w:jc w:val="left"/>
            </w:pPr>
            <w:r>
              <w:rPr>
                <w:b/>
                <w:color w:val="FFFFFF"/>
                <w:sz w:val="15"/>
              </w:rPr>
              <w:t>Protocole</w:t>
            </w:r>
          </w:p>
        </w:tc>
        <w:tc>
          <w:tcPr>
            <w:tcW w:type="dxa" w:w="2041"/>
            <w:shd w:fill="17365D"/>
            <w:vAlign w:val="center"/>
            <w:tcBorders>
              <w:bottom w:val="single" w:sz="5" w:color="FFFFFF"/>
            </w:tcBorders>
          </w:tcPr>
          <w:p>
            <w:pPr>
              <w:jc w:val="left"/>
            </w:pPr>
            <w:r>
              <w:rPr>
                <w:b/>
                <w:color w:val="FFFFFF"/>
                <w:sz w:val="15"/>
              </w:rPr>
              <w:t>Observations</w:t>
            </w:r>
          </w:p>
        </w:tc>
        <w:tc>
          <w:tcPr>
            <w:tcW w:type="dxa" w:w="2041"/>
            <w:shd w:fill="17365D"/>
            <w:vAlign w:val="center"/>
            <w:tcBorders>
              <w:bottom w:val="single" w:sz="5" w:color="FFFFFF"/>
            </w:tcBorders>
          </w:tcPr>
          <w:p>
            <w:pPr>
              <w:jc w:val="left"/>
            </w:pPr>
            <w:r>
              <w:rPr>
                <w:b/>
                <w:color w:val="FFFFFF"/>
                <w:sz w:val="15"/>
              </w:rPr>
              <w:t>Usage dans SeaMat</w:t>
            </w:r>
          </w:p>
        </w:tc>
      </w:tr>
      <w:tr>
        <w:trPr>
          <w:cantSplit/>
        </w:trPr>
        <w:tc>
          <w:tcPr>
            <w:tcW w:type="dxa" w:w="2098"/>
            <w:vAlign w:val="center"/>
            <w:tcBorders>
              <w:bottom w:val="single" w:sz="4" w:color="D8E1EC"/>
            </w:tcBorders>
          </w:tcPr>
          <w:p>
            <w:pPr>
              <w:spacing w:after="30" w:before="30"/>
            </w:pPr>
            <w:r>
              <w:rPr>
                <w:color w:val="182230"/>
                <w:sz w:val="15"/>
              </w:rPr>
              <w:t>PP H301 retransformé [1]</w:t>
            </w:r>
          </w:p>
        </w:tc>
        <w:tc>
          <w:tcPr>
            <w:tcW w:type="dxa" w:w="3061"/>
            <w:vAlign w:val="center"/>
            <w:tcBorders>
              <w:bottom w:val="single" w:sz="4" w:color="D8E1EC"/>
            </w:tcBorders>
          </w:tcPr>
          <w:p>
            <w:pPr>
              <w:spacing w:after="30" w:before="30"/>
            </w:pPr>
            <w:r>
              <w:rPr>
                <w:color w:val="182230"/>
                <w:sz w:val="15"/>
              </w:rPr>
              <w:t>Vieillissement naturel ; 0, 30, 120 jours ; traction ; n = 7</w:t>
            </w:r>
          </w:p>
        </w:tc>
        <w:tc>
          <w:tcPr>
            <w:tcW w:type="dxa" w:w="2041"/>
            <w:vAlign w:val="center"/>
            <w:tcBorders>
              <w:bottom w:val="single" w:sz="4" w:color="D8E1EC"/>
            </w:tcBorders>
          </w:tcPr>
          <w:p>
            <w:pPr>
              <w:spacing w:after="30" w:before="30"/>
            </w:pPr>
            <w:r>
              <w:rPr>
                <w:color w:val="182230"/>
                <w:sz w:val="15"/>
              </w:rPr>
              <w:t>4 formulations, 12 moyennes + écarts-types</w:t>
            </w:r>
          </w:p>
        </w:tc>
        <w:tc>
          <w:tcPr>
            <w:tcW w:type="dxa" w:w="2041"/>
            <w:vAlign w:val="center"/>
            <w:tcBorders>
              <w:bottom w:val="single" w:sz="4" w:color="D8E1EC"/>
            </w:tcBorders>
          </w:tcPr>
          <w:p>
            <w:pPr>
              <w:spacing w:after="30" w:before="30"/>
            </w:pPr>
            <w:r>
              <w:rPr>
                <w:color w:val="182230"/>
                <w:sz w:val="15"/>
              </w:rPr>
              <w:t>Validation hors formulation</w:t>
            </w:r>
          </w:p>
        </w:tc>
      </w:tr>
      <w:tr>
        <w:trPr>
          <w:cantSplit/>
        </w:trPr>
        <w:tc>
          <w:tcPr>
            <w:tcW w:type="dxa" w:w="2098"/>
            <w:shd w:fill="F6F8FB"/>
            <w:vAlign w:val="center"/>
            <w:tcBorders>
              <w:bottom w:val="single" w:sz="4" w:color="D8E1EC"/>
            </w:tcBorders>
          </w:tcPr>
          <w:p>
            <w:pPr>
              <w:spacing w:after="30" w:before="30"/>
            </w:pPr>
            <w:r>
              <w:rPr>
                <w:color w:val="182230"/>
                <w:sz w:val="15"/>
              </w:rPr>
              <w:t>IIR/BRC chargé noir de carbone [2]</w:t>
            </w:r>
          </w:p>
        </w:tc>
        <w:tc>
          <w:tcPr>
            <w:tcW w:type="dxa" w:w="3061"/>
            <w:shd w:fill="F6F8FB"/>
            <w:vAlign w:val="center"/>
            <w:tcBorders>
              <w:bottom w:val="single" w:sz="4" w:color="D8E1EC"/>
            </w:tcBorders>
          </w:tcPr>
          <w:p>
            <w:pPr>
              <w:spacing w:after="30" w:before="30"/>
            </w:pPr>
            <w:r>
              <w:rPr>
                <w:color w:val="182230"/>
                <w:sz w:val="15"/>
              </w:rPr>
              <w:t>Immersion Milform 64 SST ; 80, 100, 120 °C ; 0-24 h</w:t>
            </w:r>
          </w:p>
        </w:tc>
        <w:tc>
          <w:tcPr>
            <w:tcW w:type="dxa" w:w="2041"/>
            <w:shd w:fill="F6F8FB"/>
            <w:vAlign w:val="center"/>
            <w:tcBorders>
              <w:bottom w:val="single" w:sz="4" w:color="D8E1EC"/>
            </w:tcBorders>
          </w:tcPr>
          <w:p>
            <w:pPr>
              <w:spacing w:after="30" w:before="30"/>
            </w:pPr>
            <w:r>
              <w:rPr>
                <w:color w:val="182230"/>
                <w:sz w:val="15"/>
              </w:rPr>
              <w:t>21 moyennes + écarts-types</w:t>
            </w:r>
          </w:p>
        </w:tc>
        <w:tc>
          <w:tcPr>
            <w:tcW w:type="dxa" w:w="2041"/>
            <w:shd w:fill="F6F8FB"/>
            <w:vAlign w:val="center"/>
            <w:tcBorders>
              <w:bottom w:val="single" w:sz="4" w:color="D8E1EC"/>
            </w:tcBorders>
          </w:tcPr>
          <w:p>
            <w:pPr>
              <w:spacing w:after="30" w:before="30"/>
            </w:pPr>
            <w:r>
              <w:rPr>
                <w:color w:val="182230"/>
                <w:sz w:val="15"/>
              </w:rPr>
              <w:t>Restitution et transfert de température</w:t>
            </w:r>
          </w:p>
        </w:tc>
      </w:tr>
      <w:tr>
        <w:trPr>
          <w:cantSplit/>
        </w:trPr>
        <w:tc>
          <w:tcPr>
            <w:tcW w:type="dxa" w:w="2098"/>
            <w:vAlign w:val="center"/>
            <w:tcBorders>
              <w:bottom w:val="single" w:sz="4" w:color="D8E1EC"/>
            </w:tcBorders>
          </w:tcPr>
          <w:p>
            <w:pPr>
              <w:spacing w:after="30" w:before="30"/>
            </w:pPr>
            <w:r>
              <w:rPr>
                <w:color w:val="182230"/>
                <w:sz w:val="15"/>
              </w:rPr>
              <w:t>Lin/époxy [3]</w:t>
            </w:r>
          </w:p>
        </w:tc>
        <w:tc>
          <w:tcPr>
            <w:tcW w:type="dxa" w:w="3061"/>
            <w:vAlign w:val="center"/>
            <w:tcBorders>
              <w:bottom w:val="single" w:sz="4" w:color="D8E1EC"/>
            </w:tcBorders>
          </w:tcPr>
          <w:p>
            <w:pPr>
              <w:spacing w:after="30" w:before="30"/>
            </w:pPr>
            <w:r>
              <w:rPr>
                <w:color w:val="182230"/>
                <w:sz w:val="15"/>
              </w:rPr>
              <w:t>90 % HR ; 20 et 40 °C ; 0-38 jours</w:t>
            </w:r>
          </w:p>
        </w:tc>
        <w:tc>
          <w:tcPr>
            <w:tcW w:type="dxa" w:w="2041"/>
            <w:vAlign w:val="center"/>
            <w:tcBorders>
              <w:bottom w:val="single" w:sz="4" w:color="D8E1EC"/>
            </w:tcBorders>
          </w:tcPr>
          <w:p>
            <w:pPr>
              <w:spacing w:after="30" w:before="30"/>
            </w:pPr>
            <w:r>
              <w:rPr>
                <w:color w:val="182230"/>
                <w:sz w:val="15"/>
              </w:rPr>
              <w:t>10 points numérisés, ±3 % lecture</w:t>
            </w:r>
          </w:p>
        </w:tc>
        <w:tc>
          <w:tcPr>
            <w:tcW w:type="dxa" w:w="2041"/>
            <w:vAlign w:val="center"/>
            <w:tcBorders>
              <w:bottom w:val="single" w:sz="4" w:color="D8E1EC"/>
            </w:tcBorders>
          </w:tcPr>
          <w:p>
            <w:pPr>
              <w:spacing w:after="30" w:before="30"/>
            </w:pPr>
            <w:r>
              <w:rPr>
                <w:color w:val="182230"/>
                <w:sz w:val="15"/>
              </w:rPr>
              <w:t>Transfert entre campagnes</w:t>
            </w:r>
          </w:p>
        </w:tc>
      </w:tr>
    </w:tbl>
    <w:p>
      <w:pPr>
        <w:spacing w:after="0"/>
      </w:pPr>
    </w:p>
    <w:p>
      <w:pPr>
        <w:pStyle w:val="Heading2"/>
        <w:keepNext/>
      </w:pPr>
      <w:r>
        <w:t>2.2 Chaîne de collecte</w:t>
      </w:r>
    </w:p>
    <w:p>
      <w:pPr>
        <w:pStyle w:val="ListBullet"/>
        <w:spacing w:after="60"/>
        <w:ind w:left="255" w:hanging="113"/>
      </w:pPr>
      <w:r>
        <w:t>Sélection de l'article primaire et enregistrement du DOI, de la licence et du périmètre expérimental.</w:t>
      </w:r>
    </w:p>
    <w:p>
      <w:pPr>
        <w:pStyle w:val="ListBullet"/>
        <w:spacing w:after="60"/>
        <w:ind w:left="255" w:hanging="113"/>
      </w:pPr>
      <w:r>
        <w:t>Transcription directe des tableaux. Les figures sont numérisées avec WebPlotDigitizer ; l'incertitude de lecture reste séparée de la dispersion expérimentale.</w:t>
      </w:r>
    </w:p>
    <w:p>
      <w:pPr>
        <w:pStyle w:val="ListBullet"/>
        <w:spacing w:after="60"/>
        <w:ind w:left="255" w:hanging="113"/>
      </w:pPr>
      <w:r>
        <w:t>Export tabulaire en .csv, puis normalisation des unités en jours, MPa, °C, % HR et mm. Les valeurs brutes restent conservées dans une table distincte des valeurs calculées.</w:t>
      </w:r>
    </w:p>
    <w:p>
      <w:pPr>
        <w:pStyle w:val="ListBullet"/>
        <w:spacing w:after="60"/>
        <w:ind w:left="255" w:hanging="113"/>
      </w:pPr>
      <w:r>
        <w:t>Contrôles automatiques : valeurs finies, temps croissants, E₀ cohérent, absence de doublons et présence du protocole.</w:t>
      </w:r>
    </w:p>
    <w:p>
      <w:pPr>
        <w:pStyle w:val="ListBullet"/>
        <w:spacing w:after="60"/>
        <w:ind w:left="255" w:hanging="113"/>
      </w:pPr>
      <w:r>
        <w:t>Revue scientifique avant acceptation. Une référence bibliographique seule ne devient jamais une série d'apprentissage.</w:t>
      </w:r>
    </w:p>
    <w:p>
      <w:pPr>
        <w:pStyle w:val="Heading2"/>
        <w:keepNext/>
      </w:pPr>
      <w:r>
        <w:t>2.3 Schéma canonique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474"/>
            <w:shd w:fill="17365D"/>
            <w:vAlign w:val="center"/>
            <w:tcBorders>
              <w:bottom w:val="single" w:sz="5" w:color="FFFFFF"/>
            </w:tcBorders>
          </w:tcPr>
          <w:p>
            <w:pPr>
              <w:jc w:val="left"/>
            </w:pPr>
            <w:r>
              <w:rPr>
                <w:b/>
                <w:color w:val="FFFFFF"/>
                <w:sz w:val="15"/>
              </w:rPr>
              <w:t>Bloc</w:t>
            </w:r>
          </w:p>
        </w:tc>
        <w:tc>
          <w:tcPr>
            <w:tcW w:type="dxa" w:w="3742"/>
            <w:shd w:fill="17365D"/>
            <w:vAlign w:val="center"/>
            <w:tcBorders>
              <w:bottom w:val="single" w:sz="5" w:color="FFFFFF"/>
            </w:tcBorders>
          </w:tcPr>
          <w:p>
            <w:pPr>
              <w:jc w:val="left"/>
            </w:pPr>
            <w:r>
              <w:rPr>
                <w:b/>
                <w:color w:val="FFFFFF"/>
                <w:sz w:val="15"/>
              </w:rPr>
              <w:t>Champs minimaux</w:t>
            </w:r>
          </w:p>
        </w:tc>
        <w:tc>
          <w:tcPr>
            <w:tcW w:type="dxa" w:w="4082"/>
            <w:shd w:fill="17365D"/>
            <w:vAlign w:val="center"/>
            <w:tcBorders>
              <w:bottom w:val="single" w:sz="5" w:color="FFFFFF"/>
            </w:tcBorders>
          </w:tcPr>
          <w:p>
            <w:pPr>
              <w:jc w:val="left"/>
            </w:pPr>
            <w:r>
              <w:rPr>
                <w:b/>
                <w:color w:val="FFFFFF"/>
                <w:sz w:val="15"/>
              </w:rPr>
              <w:t>Raison scientifique</w:t>
            </w:r>
          </w:p>
        </w:tc>
      </w:tr>
      <w:tr>
        <w:trPr>
          <w:cantSplit/>
        </w:trPr>
        <w:tc>
          <w:tcPr>
            <w:tcW w:type="dxa" w:w="1474"/>
            <w:vAlign w:val="center"/>
            <w:tcBorders>
              <w:bottom w:val="single" w:sz="4" w:color="D8E1EC"/>
            </w:tcBorders>
          </w:tcPr>
          <w:p>
            <w:pPr>
              <w:spacing w:after="30" w:before="30"/>
            </w:pPr>
            <w:r>
              <w:rPr>
                <w:color w:val="182230"/>
                <w:sz w:val="15"/>
              </w:rPr>
              <w:t>Identité</w:t>
            </w:r>
          </w:p>
        </w:tc>
        <w:tc>
          <w:tcPr>
            <w:tcW w:type="dxa" w:w="3742"/>
            <w:vAlign w:val="center"/>
            <w:tcBorders>
              <w:bottom w:val="single" w:sz="4" w:color="D8E1EC"/>
            </w:tcBorders>
          </w:tcPr>
          <w:p>
            <w:pPr>
              <w:spacing w:after="30" w:before="30"/>
            </w:pPr>
            <w:r>
              <w:rPr>
                <w:color w:val="182230"/>
                <w:sz w:val="15"/>
              </w:rPr>
              <w:t>polymère, grade, formulation, additifs, procédé</w:t>
            </w:r>
          </w:p>
        </w:tc>
        <w:tc>
          <w:tcPr>
            <w:tcW w:type="dxa" w:w="4082"/>
            <w:vAlign w:val="center"/>
            <w:tcBorders>
              <w:bottom w:val="single" w:sz="4" w:color="D8E1EC"/>
            </w:tcBorders>
          </w:tcPr>
          <w:p>
            <w:pPr>
              <w:spacing w:after="30" w:before="30"/>
            </w:pPr>
            <w:r>
              <w:rPr>
                <w:color w:val="182230"/>
                <w:sz w:val="15"/>
              </w:rPr>
              <w:t>Évite le transfert abusif entre matériaux portant le même sigle.</w:t>
            </w:r>
          </w:p>
        </w:tc>
      </w:tr>
      <w:tr>
        <w:trPr>
          <w:cantSplit/>
        </w:trPr>
        <w:tc>
          <w:tcPr>
            <w:tcW w:type="dxa" w:w="1474"/>
            <w:shd w:fill="F6F8FB"/>
            <w:vAlign w:val="center"/>
            <w:tcBorders>
              <w:bottom w:val="single" w:sz="4" w:color="D8E1EC"/>
            </w:tcBorders>
          </w:tcPr>
          <w:p>
            <w:pPr>
              <w:spacing w:after="30" w:before="30"/>
            </w:pPr>
            <w:r>
              <w:rPr>
                <w:color w:val="182230"/>
                <w:sz w:val="15"/>
              </w:rPr>
              <w:t>Essai</w:t>
            </w:r>
          </w:p>
        </w:tc>
        <w:tc>
          <w:tcPr>
            <w:tcW w:type="dxa" w:w="3742"/>
            <w:shd w:fill="F6F8FB"/>
            <w:vAlign w:val="center"/>
            <w:tcBorders>
              <w:bottom w:val="single" w:sz="4" w:color="D8E1EC"/>
            </w:tcBorders>
          </w:tcPr>
          <w:p>
            <w:pPr>
              <w:spacing w:after="30" w:before="30"/>
            </w:pPr>
            <w:r>
              <w:rPr>
                <w:color w:val="182230"/>
                <w:sz w:val="15"/>
              </w:rPr>
              <w:t>norme, température de mesure, vitesse, conditionnement</w:t>
            </w:r>
          </w:p>
        </w:tc>
        <w:tc>
          <w:tcPr>
            <w:tcW w:type="dxa" w:w="4082"/>
            <w:shd w:fill="F6F8FB"/>
            <w:vAlign w:val="center"/>
            <w:tcBorders>
              <w:bottom w:val="single" w:sz="4" w:color="D8E1EC"/>
            </w:tcBorders>
          </w:tcPr>
          <w:p>
            <w:pPr>
              <w:spacing w:after="30" w:before="30"/>
            </w:pPr>
            <w:r>
              <w:rPr>
                <w:color w:val="182230"/>
                <w:sz w:val="15"/>
              </w:rPr>
              <w:t>Rend E₀ et E(t) comparables.</w:t>
            </w:r>
          </w:p>
        </w:tc>
      </w:tr>
      <w:tr>
        <w:trPr>
          <w:cantSplit/>
        </w:trPr>
        <w:tc>
          <w:tcPr>
            <w:tcW w:type="dxa" w:w="1474"/>
            <w:vAlign w:val="center"/>
            <w:tcBorders>
              <w:bottom w:val="single" w:sz="4" w:color="D8E1EC"/>
            </w:tcBorders>
          </w:tcPr>
          <w:p>
            <w:pPr>
              <w:spacing w:after="30" w:before="30"/>
            </w:pPr>
            <w:r>
              <w:rPr>
                <w:color w:val="182230"/>
                <w:sz w:val="15"/>
              </w:rPr>
              <w:t>Vieillissement</w:t>
            </w:r>
          </w:p>
        </w:tc>
        <w:tc>
          <w:tcPr>
            <w:tcW w:type="dxa" w:w="3742"/>
            <w:vAlign w:val="center"/>
            <w:tcBorders>
              <w:bottom w:val="single" w:sz="4" w:color="D8E1EC"/>
            </w:tcBorders>
          </w:tcPr>
          <w:p>
            <w:pPr>
              <w:spacing w:after="30" w:before="30"/>
            </w:pPr>
            <w:r>
              <w:rPr>
                <w:color w:val="182230"/>
                <w:sz w:val="15"/>
              </w:rPr>
              <w:t>T, HR, liquide, UV, oxygène, cycles, épaisseur</w:t>
            </w:r>
          </w:p>
        </w:tc>
        <w:tc>
          <w:tcPr>
            <w:tcW w:type="dxa" w:w="4082"/>
            <w:vAlign w:val="center"/>
            <w:tcBorders>
              <w:bottom w:val="single" w:sz="4" w:color="D8E1EC"/>
            </w:tcBorders>
          </w:tcPr>
          <w:p>
            <w:pPr>
              <w:spacing w:after="30" w:before="30"/>
            </w:pPr>
            <w:r>
              <w:rPr>
                <w:color w:val="182230"/>
                <w:sz w:val="15"/>
              </w:rPr>
              <w:t>Définit les moteurs physiques et le domaine.</w:t>
            </w:r>
          </w:p>
        </w:tc>
      </w:tr>
      <w:tr>
        <w:trPr>
          <w:cantSplit/>
        </w:trPr>
        <w:tc>
          <w:tcPr>
            <w:tcW w:type="dxa" w:w="1474"/>
            <w:shd w:fill="F6F8FB"/>
            <w:vAlign w:val="center"/>
            <w:tcBorders>
              <w:bottom w:val="single" w:sz="4" w:color="D8E1EC"/>
            </w:tcBorders>
          </w:tcPr>
          <w:p>
            <w:pPr>
              <w:spacing w:after="30" w:before="30"/>
            </w:pPr>
            <w:r>
              <w:rPr>
                <w:color w:val="182230"/>
                <w:sz w:val="15"/>
              </w:rPr>
              <w:t>Réponse</w:t>
            </w:r>
          </w:p>
        </w:tc>
        <w:tc>
          <w:tcPr>
            <w:tcW w:type="dxa" w:w="3742"/>
            <w:shd w:fill="F6F8FB"/>
            <w:vAlign w:val="center"/>
            <w:tcBorders>
              <w:bottom w:val="single" w:sz="4" w:color="D8E1EC"/>
            </w:tcBorders>
          </w:tcPr>
          <w:p>
            <w:pPr>
              <w:spacing w:after="30" w:before="30"/>
            </w:pPr>
            <w:r>
              <w:rPr>
                <w:color w:val="182230"/>
                <w:sz w:val="15"/>
              </w:rPr>
              <w:t>temps, E, écart-type, n, cible E/E₀</w:t>
            </w:r>
          </w:p>
        </w:tc>
        <w:tc>
          <w:tcPr>
            <w:tcW w:type="dxa" w:w="4082"/>
            <w:shd w:fill="F6F8FB"/>
            <w:vAlign w:val="center"/>
            <w:tcBorders>
              <w:bottom w:val="single" w:sz="4" w:color="D8E1EC"/>
            </w:tcBorders>
          </w:tcPr>
          <w:p>
            <w:pPr>
              <w:spacing w:after="30" w:before="30"/>
            </w:pPr>
            <w:r>
              <w:rPr>
                <w:color w:val="182230"/>
                <w:sz w:val="15"/>
              </w:rPr>
              <w:t>Permet l'ajustement et l'incertitude.</w:t>
            </w:r>
          </w:p>
        </w:tc>
      </w:tr>
      <w:tr>
        <w:trPr>
          <w:cantSplit/>
        </w:trPr>
        <w:tc>
          <w:tcPr>
            <w:tcW w:type="dxa" w:w="1474"/>
            <w:vAlign w:val="center"/>
            <w:tcBorders>
              <w:bottom w:val="single" w:sz="4" w:color="D8E1EC"/>
            </w:tcBorders>
          </w:tcPr>
          <w:p>
            <w:pPr>
              <w:spacing w:after="30" w:before="30"/>
            </w:pPr>
            <w:r>
              <w:rPr>
                <w:color w:val="182230"/>
                <w:sz w:val="15"/>
              </w:rPr>
              <w:t>Preuve</w:t>
            </w:r>
          </w:p>
        </w:tc>
        <w:tc>
          <w:tcPr>
            <w:tcW w:type="dxa" w:w="3742"/>
            <w:vAlign w:val="center"/>
            <w:tcBorders>
              <w:bottom w:val="single" w:sz="4" w:color="D8E1EC"/>
            </w:tcBorders>
          </w:tcPr>
          <w:p>
            <w:pPr>
              <w:spacing w:after="30" w:before="30"/>
            </w:pPr>
            <w:r>
              <w:rPr>
                <w:color w:val="182230"/>
                <w:sz w:val="15"/>
              </w:rPr>
              <w:t>DOI, tableau/figure, méthode d'extraction, statut</w:t>
            </w:r>
          </w:p>
        </w:tc>
        <w:tc>
          <w:tcPr>
            <w:tcW w:type="dxa" w:w="4082"/>
            <w:vAlign w:val="center"/>
            <w:tcBorders>
              <w:bottom w:val="single" w:sz="4" w:color="D8E1EC"/>
            </w:tcBorders>
          </w:tcPr>
          <w:p>
            <w:pPr>
              <w:spacing w:after="30" w:before="30"/>
            </w:pPr>
            <w:r>
              <w:rPr>
                <w:color w:val="182230"/>
                <w:sz w:val="15"/>
              </w:rPr>
              <w:t>Assure l'audit et la reproductibilité.</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C44747"/>
            <w:tcBorders>
              <w:top w:val="nil"/>
              <w:left w:val="nil"/>
              <w:bottom w:val="nil"/>
              <w:right w:val="nil"/>
            </w:tcBorders>
          </w:tcPr>
          <w:p/>
        </w:tc>
        <w:tc>
          <w:tcPr>
            <w:tcW w:type="dxa" w:w="4933"/>
            <w:shd w:fill="FCEEEE"/>
            <w:tcBorders>
              <w:top w:val="nil"/>
              <w:left w:val="nil"/>
              <w:bottom w:val="nil"/>
              <w:right w:val="nil"/>
            </w:tcBorders>
          </w:tcPr>
          <w:p>
            <w:pPr>
              <w:spacing w:after="40"/>
            </w:pPr>
            <w:r>
              <w:rPr>
                <w:b/>
                <w:color w:val="C44747"/>
              </w:rPr>
              <w:t xml:space="preserve">Point critique  </w:t>
            </w:r>
            <w:r>
              <w:t>Le module initial seul ne permet pas d'identifier une vitesse de vieillissement. Deux PP de même E₀ peuvent différer par les stabilisants, la cristallinité, l'historique thermique et l'exposition.</w:t>
            </w:r>
          </w:p>
        </w:tc>
      </w:tr>
    </w:tbl>
    <w:p>
      <w:pPr>
        <w:pStyle w:val="Heading2"/>
        <w:keepNext/>
      </w:pPr>
      <w:r>
        <w:t>2.4 État quantitatif de la base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Borders>
              <w:bottom w:val="single" w:sz="5" w:color="FFFFFF"/>
            </w:tcBorders>
          </w:tcPr>
          <w:p>
            <w:pPr>
              <w:jc w:val="left"/>
            </w:pPr>
            <w:r>
              <w:rPr>
                <w:b/>
                <w:color w:val="FFFFFF"/>
                <w:sz w:val="15"/>
              </w:rPr>
              <w:t>Contenu</w:t>
            </w:r>
          </w:p>
        </w:tc>
        <w:tc>
          <w:tcPr>
            <w:tcW w:type="dxa" w:w="2268"/>
            <w:shd w:fill="17365D"/>
            <w:vAlign w:val="center"/>
            <w:tcBorders>
              <w:bottom w:val="single" w:sz="5" w:color="FFFFFF"/>
            </w:tcBorders>
          </w:tcPr>
          <w:p>
            <w:pPr>
              <w:jc w:val="left"/>
            </w:pPr>
            <w:r>
              <w:rPr>
                <w:b/>
                <w:color w:val="FFFFFF"/>
                <w:sz w:val="15"/>
              </w:rPr>
              <w:t>Quantité</w:t>
            </w:r>
          </w:p>
        </w:tc>
        <w:tc>
          <w:tcPr>
            <w:tcW w:type="dxa" w:w="4195"/>
            <w:shd w:fill="17365D"/>
            <w:vAlign w:val="center"/>
            <w:tcBorders>
              <w:bottom w:val="single" w:sz="5" w:color="FFFFFF"/>
            </w:tcBorders>
          </w:tcPr>
          <w:p>
            <w:pPr>
              <w:jc w:val="left"/>
            </w:pPr>
            <w:r>
              <w:rPr>
                <w:b/>
                <w:color w:val="FFFFFF"/>
                <w:sz w:val="15"/>
              </w:rPr>
              <w:t>Portée réelle</w:t>
            </w:r>
          </w:p>
        </w:tc>
      </w:tr>
      <w:tr>
        <w:trPr>
          <w:cantSplit/>
        </w:trPr>
        <w:tc>
          <w:tcPr>
            <w:tcW w:type="dxa" w:w="2835"/>
            <w:vAlign w:val="center"/>
            <w:tcBorders>
              <w:bottom w:val="single" w:sz="4" w:color="D8E1EC"/>
            </w:tcBorders>
          </w:tcPr>
          <w:p>
            <w:pPr>
              <w:spacing w:after="30" w:before="30"/>
            </w:pPr>
            <w:r>
              <w:rPr>
                <w:color w:val="182230"/>
                <w:sz w:val="15"/>
              </w:rPr>
              <w:t>Fiches matériaux</w:t>
            </w:r>
          </w:p>
        </w:tc>
        <w:tc>
          <w:tcPr>
            <w:tcW w:type="dxa" w:w="2268"/>
            <w:vAlign w:val="center"/>
            <w:tcBorders>
              <w:bottom w:val="single" w:sz="4" w:color="D8E1EC"/>
            </w:tcBorders>
          </w:tcPr>
          <w:p>
            <w:pPr>
              <w:spacing w:after="30" w:before="30"/>
            </w:pPr>
            <w:r>
              <w:rPr>
                <w:color w:val="182230"/>
                <w:sz w:val="15"/>
              </w:rPr>
              <w:t>75</w:t>
            </w:r>
          </w:p>
        </w:tc>
        <w:tc>
          <w:tcPr>
            <w:tcW w:type="dxa" w:w="4195"/>
            <w:vAlign w:val="center"/>
            <w:tcBorders>
              <w:bottom w:val="single" w:sz="4" w:color="D8E1EC"/>
            </w:tcBorders>
          </w:tcPr>
          <w:p>
            <w:pPr>
              <w:spacing w:after="30" w:before="30"/>
            </w:pPr>
            <w:r>
              <w:rPr>
                <w:color w:val="182230"/>
                <w:sz w:val="15"/>
              </w:rPr>
              <w:t>Taxonomie, mécanismes candidats et paramètres d'entrée</w:t>
            </w:r>
          </w:p>
        </w:tc>
      </w:tr>
      <w:tr>
        <w:trPr>
          <w:cantSplit/>
        </w:trPr>
        <w:tc>
          <w:tcPr>
            <w:tcW w:type="dxa" w:w="2835"/>
            <w:shd w:fill="F6F8FB"/>
            <w:vAlign w:val="center"/>
            <w:tcBorders>
              <w:bottom w:val="single" w:sz="4" w:color="D8E1EC"/>
            </w:tcBorders>
          </w:tcPr>
          <w:p>
            <w:pPr>
              <w:spacing w:after="30" w:before="30"/>
            </w:pPr>
            <w:r>
              <w:rPr>
                <w:color w:val="182230"/>
                <w:sz w:val="15"/>
              </w:rPr>
              <w:t>Familles taxonomiques</w:t>
            </w:r>
          </w:p>
        </w:tc>
        <w:tc>
          <w:tcPr>
            <w:tcW w:type="dxa" w:w="2268"/>
            <w:shd w:fill="F6F8FB"/>
            <w:vAlign w:val="center"/>
            <w:tcBorders>
              <w:bottom w:val="single" w:sz="4" w:color="D8E1EC"/>
            </w:tcBorders>
          </w:tcPr>
          <w:p>
            <w:pPr>
              <w:spacing w:after="30" w:before="30"/>
            </w:pPr>
            <w:r>
              <w:rPr>
                <w:color w:val="182230"/>
                <w:sz w:val="15"/>
              </w:rPr>
              <w:t>24</w:t>
            </w:r>
          </w:p>
        </w:tc>
        <w:tc>
          <w:tcPr>
            <w:tcW w:type="dxa" w:w="4195"/>
            <w:shd w:fill="F6F8FB"/>
            <w:vAlign w:val="center"/>
            <w:tcBorders>
              <w:bottom w:val="single" w:sz="4" w:color="D8E1EC"/>
            </w:tcBorders>
          </w:tcPr>
          <w:p>
            <w:pPr>
              <w:spacing w:after="30" w:before="30"/>
            </w:pPr>
            <w:r>
              <w:rPr>
                <w:color w:val="182230"/>
                <w:sz w:val="15"/>
              </w:rPr>
              <w:t>Regroupées en 6 experts physiques</w:t>
            </w:r>
          </w:p>
        </w:tc>
      </w:tr>
      <w:tr>
        <w:trPr>
          <w:cantSplit/>
        </w:trPr>
        <w:tc>
          <w:tcPr>
            <w:tcW w:type="dxa" w:w="2835"/>
            <w:vAlign w:val="center"/>
            <w:tcBorders>
              <w:bottom w:val="single" w:sz="4" w:color="D8E1EC"/>
            </w:tcBorders>
          </w:tcPr>
          <w:p>
            <w:pPr>
              <w:spacing w:after="30" w:before="30"/>
            </w:pPr>
            <w:r>
              <w:rPr>
                <w:color w:val="182230"/>
                <w:sz w:val="15"/>
              </w:rPr>
              <w:t>Profils E₀ fabricant recoupés</w:t>
            </w:r>
          </w:p>
        </w:tc>
        <w:tc>
          <w:tcPr>
            <w:tcW w:type="dxa" w:w="2268"/>
            <w:vAlign w:val="center"/>
            <w:tcBorders>
              <w:bottom w:val="single" w:sz="4" w:color="D8E1EC"/>
            </w:tcBorders>
          </w:tcPr>
          <w:p>
            <w:pPr>
              <w:spacing w:after="30" w:before="30"/>
            </w:pPr>
            <w:r>
              <w:rPr>
                <w:color w:val="182230"/>
                <w:sz w:val="15"/>
              </w:rPr>
              <w:t>21 profils / 19 matériaux</w:t>
            </w:r>
          </w:p>
        </w:tc>
        <w:tc>
          <w:tcPr>
            <w:tcW w:type="dxa" w:w="4195"/>
            <w:vAlign w:val="center"/>
            <w:tcBorders>
              <w:bottom w:val="single" w:sz="4" w:color="D8E1EC"/>
            </w:tcBorders>
          </w:tcPr>
          <w:p>
            <w:pPr>
              <w:spacing w:after="30" w:before="30"/>
            </w:pPr>
            <w:r>
              <w:rPr>
                <w:color w:val="182230"/>
                <w:sz w:val="15"/>
              </w:rPr>
              <w:t>Valeurs initiales ; aucune cinétique déduite</w:t>
            </w:r>
          </w:p>
        </w:tc>
      </w:tr>
      <w:tr>
        <w:trPr>
          <w:cantSplit/>
        </w:trPr>
        <w:tc>
          <w:tcPr>
            <w:tcW w:type="dxa" w:w="2835"/>
            <w:shd w:fill="F6F8FB"/>
            <w:vAlign w:val="center"/>
            <w:tcBorders>
              <w:bottom w:val="single" w:sz="4" w:color="D8E1EC"/>
            </w:tcBorders>
          </w:tcPr>
          <w:p>
            <w:pPr>
              <w:spacing w:after="30" w:before="30"/>
            </w:pPr>
            <w:r>
              <w:rPr>
                <w:color w:val="182230"/>
                <w:sz w:val="15"/>
              </w:rPr>
              <w:t>Séries temporelles PP acceptées</w:t>
            </w:r>
          </w:p>
        </w:tc>
        <w:tc>
          <w:tcPr>
            <w:tcW w:type="dxa" w:w="2268"/>
            <w:shd w:fill="F6F8FB"/>
            <w:vAlign w:val="center"/>
            <w:tcBorders>
              <w:bottom w:val="single" w:sz="4" w:color="D8E1EC"/>
            </w:tcBorders>
          </w:tcPr>
          <w:p>
            <w:pPr>
              <w:spacing w:after="30" w:before="30"/>
            </w:pPr>
            <w:r>
              <w:rPr>
                <w:color w:val="182230"/>
                <w:sz w:val="15"/>
              </w:rPr>
              <w:t>22 points / 6 campagnes / 3 sources</w:t>
            </w:r>
          </w:p>
        </w:tc>
        <w:tc>
          <w:tcPr>
            <w:tcW w:type="dxa" w:w="4195"/>
            <w:shd w:fill="F6F8FB"/>
            <w:vAlign w:val="center"/>
            <w:tcBorders>
              <w:bottom w:val="single" w:sz="4" w:color="D8E1EC"/>
            </w:tcBorders>
          </w:tcPr>
          <w:p>
            <w:pPr>
              <w:spacing w:after="30" w:before="30"/>
            </w:pPr>
            <w:r>
              <w:rPr>
                <w:color w:val="182230"/>
                <w:sz w:val="15"/>
              </w:rPr>
              <w:t>Le modèle H301 utilise le sous-corpus compatible</w:t>
            </w:r>
          </w:p>
        </w:tc>
      </w:tr>
      <w:tr>
        <w:trPr>
          <w:cantSplit/>
        </w:trPr>
        <w:tc>
          <w:tcPr>
            <w:tcW w:type="dxa" w:w="2835"/>
            <w:vAlign w:val="center"/>
            <w:tcBorders>
              <w:bottom w:val="single" w:sz="4" w:color="D8E1EC"/>
            </w:tcBorders>
          </w:tcPr>
          <w:p>
            <w:pPr>
              <w:spacing w:after="30" w:before="30"/>
            </w:pPr>
            <w:r>
              <w:rPr>
                <w:color w:val="182230"/>
                <w:sz w:val="15"/>
              </w:rPr>
              <w:t>Séries temporelles IIR acceptées</w:t>
            </w:r>
          </w:p>
        </w:tc>
        <w:tc>
          <w:tcPr>
            <w:tcW w:type="dxa" w:w="2268"/>
            <w:vAlign w:val="center"/>
            <w:tcBorders>
              <w:bottom w:val="single" w:sz="4" w:color="D8E1EC"/>
            </w:tcBorders>
          </w:tcPr>
          <w:p>
            <w:pPr>
              <w:spacing w:after="30" w:before="30"/>
            </w:pPr>
            <w:r>
              <w:rPr>
                <w:color w:val="182230"/>
                <w:sz w:val="15"/>
              </w:rPr>
              <w:t>21 points / 3 températures / 1 source</w:t>
            </w:r>
          </w:p>
        </w:tc>
        <w:tc>
          <w:tcPr>
            <w:tcW w:type="dxa" w:w="4195"/>
            <w:vAlign w:val="center"/>
            <w:tcBorders>
              <w:bottom w:val="single" w:sz="4" w:color="D8E1EC"/>
            </w:tcBorders>
          </w:tcPr>
          <w:p>
            <w:pPr>
              <w:spacing w:after="30" w:before="30"/>
            </w:pPr>
            <w:r>
              <w:rPr>
                <w:color w:val="182230"/>
                <w:sz w:val="15"/>
              </w:rPr>
              <w:t>Courbes exactes ; transfert thermique non validé</w:t>
            </w:r>
          </w:p>
        </w:tc>
      </w:tr>
      <w:tr>
        <w:trPr>
          <w:cantSplit/>
        </w:trPr>
        <w:tc>
          <w:tcPr>
            <w:tcW w:type="dxa" w:w="2835"/>
            <w:shd w:fill="F6F8FB"/>
            <w:vAlign w:val="center"/>
            <w:tcBorders>
              <w:bottom w:val="single" w:sz="4" w:color="D8E1EC"/>
            </w:tcBorders>
          </w:tcPr>
          <w:p>
            <w:pPr>
              <w:spacing w:after="30" w:before="30"/>
            </w:pPr>
            <w:r>
              <w:rPr>
                <w:color w:val="182230"/>
                <w:sz w:val="15"/>
              </w:rPr>
              <w:t>Lin/époxy</w:t>
            </w:r>
          </w:p>
        </w:tc>
        <w:tc>
          <w:tcPr>
            <w:tcW w:type="dxa" w:w="2268"/>
            <w:shd w:fill="F6F8FB"/>
            <w:vAlign w:val="center"/>
            <w:tcBorders>
              <w:bottom w:val="single" w:sz="4" w:color="D8E1EC"/>
            </w:tcBorders>
          </w:tcPr>
          <w:p>
            <w:pPr>
              <w:spacing w:after="30" w:before="30"/>
            </w:pPr>
            <w:r>
              <w:rPr>
                <w:color w:val="182230"/>
                <w:sz w:val="15"/>
              </w:rPr>
              <w:t>10 points / 2 températures</w:t>
            </w:r>
          </w:p>
        </w:tc>
        <w:tc>
          <w:tcPr>
            <w:tcW w:type="dxa" w:w="4195"/>
            <w:shd w:fill="F6F8FB"/>
            <w:vAlign w:val="center"/>
            <w:tcBorders>
              <w:bottom w:val="single" w:sz="4" w:color="D8E1EC"/>
            </w:tcBorders>
          </w:tcPr>
          <w:p>
            <w:pPr>
              <w:spacing w:after="30" w:before="30"/>
            </w:pPr>
            <w:r>
              <w:rPr>
                <w:color w:val="182230"/>
                <w:sz w:val="15"/>
              </w:rPr>
              <w:t>Validation pilote ; numérisation en revue</w:t>
            </w:r>
          </w:p>
        </w:tc>
      </w:tr>
    </w:tbl>
    <w:p>
      <w:pPr>
        <w:spacing w:after="0"/>
      </w:pPr>
    </w:p>
    <w:p>
      <w:r>
        <w:rPr>
          <w:i w:val="0"/>
        </w:rPr>
        <w:t>Cette distinction est fondamentale : le catalogue décrit 75 matériaux, mais le nombre de domaines possédant une cinétique évaluée est beaucoup plus faible. La couverture fonctionnelle de l'interface ne doit pas être confondue avec la couverture scientifique du moteur.</w:t>
      </w:r>
    </w:p>
    <w:p>
      <w:pPr>
        <w:pStyle w:val="Heading2"/>
        <w:keepNext/>
      </w:pPr>
      <w:r>
        <w:t>2.5 Variables d'entrée X et cible Y</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984"/>
            <w:shd w:fill="17365D"/>
            <w:vAlign w:val="center"/>
            <w:tcBorders>
              <w:bottom w:val="single" w:sz="5" w:color="FFFFFF"/>
            </w:tcBorders>
          </w:tcPr>
          <w:p>
            <w:pPr>
              <w:jc w:val="left"/>
            </w:pPr>
            <w:r>
              <w:rPr>
                <w:b/>
                <w:color w:val="FFFFFF"/>
                <w:sz w:val="14"/>
              </w:rPr>
              <w:t>Variable</w:t>
            </w:r>
          </w:p>
        </w:tc>
        <w:tc>
          <w:tcPr>
            <w:tcW w:type="dxa" w:w="3515"/>
            <w:shd w:fill="17365D"/>
            <w:vAlign w:val="center"/>
            <w:tcBorders>
              <w:bottom w:val="single" w:sz="5" w:color="FFFFFF"/>
            </w:tcBorders>
          </w:tcPr>
          <w:p>
            <w:pPr>
              <w:jc w:val="left"/>
            </w:pPr>
            <w:r>
              <w:rPr>
                <w:b/>
                <w:color w:val="FFFFFF"/>
                <w:sz w:val="14"/>
              </w:rPr>
              <w:t>Rôle dans le calcul</w:t>
            </w:r>
          </w:p>
        </w:tc>
        <w:tc>
          <w:tcPr>
            <w:tcW w:type="dxa" w:w="3798"/>
            <w:shd w:fill="17365D"/>
            <w:vAlign w:val="center"/>
            <w:tcBorders>
              <w:bottom w:val="single" w:sz="5" w:color="FFFFFF"/>
            </w:tcBorders>
          </w:tcPr>
          <w:p>
            <w:pPr>
              <w:jc w:val="left"/>
            </w:pPr>
            <w:r>
              <w:rPr>
                <w:b/>
                <w:color w:val="FFFFFF"/>
                <w:sz w:val="14"/>
              </w:rPr>
              <w:t>Risque si absente ou confondue</w:t>
            </w:r>
          </w:p>
        </w:tc>
      </w:tr>
      <w:tr>
        <w:trPr>
          <w:cantSplit/>
        </w:trPr>
        <w:tc>
          <w:tcPr>
            <w:tcW w:type="dxa" w:w="1984"/>
            <w:vAlign w:val="center"/>
            <w:tcBorders>
              <w:bottom w:val="single" w:sz="4" w:color="D8E1EC"/>
            </w:tcBorders>
          </w:tcPr>
          <w:p>
            <w:pPr>
              <w:spacing w:after="30" w:before="30"/>
            </w:pPr>
            <w:r>
              <w:rPr>
                <w:color w:val="182230"/>
                <w:sz w:val="14"/>
              </w:rPr>
              <w:t>Temps t</w:t>
            </w:r>
          </w:p>
        </w:tc>
        <w:tc>
          <w:tcPr>
            <w:tcW w:type="dxa" w:w="3515"/>
            <w:vAlign w:val="center"/>
            <w:tcBorders>
              <w:bottom w:val="single" w:sz="4" w:color="D8E1EC"/>
            </w:tcBorders>
          </w:tcPr>
          <w:p>
            <w:pPr>
              <w:spacing w:after="30" w:before="30"/>
            </w:pPr>
            <w:r>
              <w:rPr>
                <w:color w:val="182230"/>
                <w:sz w:val="14"/>
              </w:rPr>
              <w:t>Axe de la trajectoire ; jours internes</w:t>
            </w:r>
          </w:p>
        </w:tc>
        <w:tc>
          <w:tcPr>
            <w:tcW w:type="dxa" w:w="3798"/>
            <w:vAlign w:val="center"/>
            <w:tcBorders>
              <w:bottom w:val="single" w:sz="4" w:color="D8E1EC"/>
            </w:tcBorders>
          </w:tcPr>
          <w:p>
            <w:pPr>
              <w:spacing w:after="30" w:before="30"/>
            </w:pPr>
            <w:r>
              <w:rPr>
                <w:color w:val="182230"/>
                <w:sz w:val="14"/>
              </w:rPr>
              <w:t>Confusion h/j multiplie la vitesse par 24</w:t>
            </w:r>
          </w:p>
        </w:tc>
      </w:tr>
      <w:tr>
        <w:trPr>
          <w:cantSplit/>
        </w:trPr>
        <w:tc>
          <w:tcPr>
            <w:tcW w:type="dxa" w:w="1984"/>
            <w:shd w:fill="F6F8FB"/>
            <w:vAlign w:val="center"/>
            <w:tcBorders>
              <w:bottom w:val="single" w:sz="4" w:color="D8E1EC"/>
            </w:tcBorders>
          </w:tcPr>
          <w:p>
            <w:pPr>
              <w:spacing w:after="30" w:before="30"/>
            </w:pPr>
            <w:r>
              <w:rPr>
                <w:color w:val="182230"/>
                <w:sz w:val="14"/>
              </w:rPr>
              <w:t>Température T</w:t>
            </w:r>
          </w:p>
        </w:tc>
        <w:tc>
          <w:tcPr>
            <w:tcW w:type="dxa" w:w="3515"/>
            <w:shd w:fill="F6F8FB"/>
            <w:vAlign w:val="center"/>
            <w:tcBorders>
              <w:bottom w:val="single" w:sz="4" w:color="D8E1EC"/>
            </w:tcBorders>
          </w:tcPr>
          <w:p>
            <w:pPr>
              <w:spacing w:after="30" w:before="30"/>
            </w:pPr>
            <w:r>
              <w:rPr>
                <w:color w:val="182230"/>
                <w:sz w:val="14"/>
              </w:rPr>
              <w:t>Arrhenius ou sélection de courbe</w:t>
            </w:r>
          </w:p>
        </w:tc>
        <w:tc>
          <w:tcPr>
            <w:tcW w:type="dxa" w:w="3798"/>
            <w:shd w:fill="F6F8FB"/>
            <w:vAlign w:val="center"/>
            <w:tcBorders>
              <w:bottom w:val="single" w:sz="4" w:color="D8E1EC"/>
            </w:tcBorders>
          </w:tcPr>
          <w:p>
            <w:pPr>
              <w:spacing w:after="30" w:before="30"/>
            </w:pPr>
            <w:r>
              <w:rPr>
                <w:color w:val="182230"/>
                <w:sz w:val="14"/>
              </w:rPr>
              <w:t>Transfert faux si changement de mécanisme</w:t>
            </w:r>
          </w:p>
        </w:tc>
      </w:tr>
      <w:tr>
        <w:trPr>
          <w:cantSplit/>
        </w:trPr>
        <w:tc>
          <w:tcPr>
            <w:tcW w:type="dxa" w:w="1984"/>
            <w:vAlign w:val="center"/>
            <w:tcBorders>
              <w:bottom w:val="single" w:sz="4" w:color="D8E1EC"/>
            </w:tcBorders>
          </w:tcPr>
          <w:p>
            <w:pPr>
              <w:spacing w:after="30" w:before="30"/>
            </w:pPr>
            <w:r>
              <w:rPr>
                <w:color w:val="182230"/>
                <w:sz w:val="14"/>
              </w:rPr>
              <w:t>Humidité HR / activité</w:t>
            </w:r>
          </w:p>
        </w:tc>
        <w:tc>
          <w:tcPr>
            <w:tcW w:type="dxa" w:w="3515"/>
            <w:vAlign w:val="center"/>
            <w:tcBorders>
              <w:bottom w:val="single" w:sz="4" w:color="D8E1EC"/>
            </w:tcBorders>
          </w:tcPr>
          <w:p>
            <w:pPr>
              <w:spacing w:after="30" w:before="30"/>
            </w:pPr>
            <w:r>
              <w:rPr>
                <w:color w:val="182230"/>
                <w:sz w:val="14"/>
              </w:rPr>
              <w:t>Sorption et hydrolyse en air humide</w:t>
            </w:r>
          </w:p>
        </w:tc>
        <w:tc>
          <w:tcPr>
            <w:tcW w:type="dxa" w:w="3798"/>
            <w:vAlign w:val="center"/>
            <w:tcBorders>
              <w:bottom w:val="single" w:sz="4" w:color="D8E1EC"/>
            </w:tcBorders>
          </w:tcPr>
          <w:p>
            <w:pPr>
              <w:spacing w:after="30" w:before="30"/>
            </w:pPr>
            <w:r>
              <w:rPr>
                <w:color w:val="182230"/>
                <w:sz w:val="14"/>
              </w:rPr>
              <w:t>Sans loi de sorption, HR n'identifie pas l'eau absorbée</w:t>
            </w:r>
          </w:p>
        </w:tc>
      </w:tr>
      <w:tr>
        <w:trPr>
          <w:cantSplit/>
        </w:trPr>
        <w:tc>
          <w:tcPr>
            <w:tcW w:type="dxa" w:w="1984"/>
            <w:shd w:fill="F6F8FB"/>
            <w:vAlign w:val="center"/>
            <w:tcBorders>
              <w:bottom w:val="single" w:sz="4" w:color="D8E1EC"/>
            </w:tcBorders>
          </w:tcPr>
          <w:p>
            <w:pPr>
              <w:spacing w:after="30" w:before="30"/>
            </w:pPr>
            <w:r>
              <w:rPr>
                <w:color w:val="182230"/>
                <w:sz w:val="14"/>
              </w:rPr>
              <w:t>Épaisseur e</w:t>
            </w:r>
          </w:p>
        </w:tc>
        <w:tc>
          <w:tcPr>
            <w:tcW w:type="dxa" w:w="3515"/>
            <w:shd w:fill="F6F8FB"/>
            <w:vAlign w:val="center"/>
            <w:tcBorders>
              <w:bottom w:val="single" w:sz="4" w:color="D8E1EC"/>
            </w:tcBorders>
          </w:tcPr>
          <w:p>
            <w:pPr>
              <w:spacing w:after="30" w:before="30"/>
            </w:pPr>
            <w:r>
              <w:rPr>
                <w:color w:val="182230"/>
                <w:sz w:val="14"/>
              </w:rPr>
              <w:t>Temps de diffusion de Fick en e²/D</w:t>
            </w:r>
          </w:p>
        </w:tc>
        <w:tc>
          <w:tcPr>
            <w:tcW w:type="dxa" w:w="3798"/>
            <w:shd w:fill="F6F8FB"/>
            <w:vAlign w:val="center"/>
            <w:tcBorders>
              <w:bottom w:val="single" w:sz="4" w:color="D8E1EC"/>
            </w:tcBorders>
          </w:tcPr>
          <w:p>
            <w:pPr>
              <w:spacing w:after="30" w:before="30"/>
            </w:pPr>
            <w:r>
              <w:rPr>
                <w:color w:val="182230"/>
                <w:sz w:val="14"/>
              </w:rPr>
              <w:t>Sans D compatible, aucun effet ne doit être inventé</w:t>
            </w:r>
          </w:p>
        </w:tc>
      </w:tr>
      <w:tr>
        <w:trPr>
          <w:cantSplit/>
        </w:trPr>
        <w:tc>
          <w:tcPr>
            <w:tcW w:type="dxa" w:w="1984"/>
            <w:vAlign w:val="center"/>
            <w:tcBorders>
              <w:bottom w:val="single" w:sz="4" w:color="D8E1EC"/>
            </w:tcBorders>
          </w:tcPr>
          <w:p>
            <w:pPr>
              <w:spacing w:after="30" w:before="30"/>
            </w:pPr>
            <w:r>
              <w:rPr>
                <w:color w:val="182230"/>
                <w:sz w:val="14"/>
              </w:rPr>
              <w:t>Milieu / liquide</w:t>
            </w:r>
          </w:p>
        </w:tc>
        <w:tc>
          <w:tcPr>
            <w:tcW w:type="dxa" w:w="3515"/>
            <w:vAlign w:val="center"/>
            <w:tcBorders>
              <w:bottom w:val="single" w:sz="4" w:color="D8E1EC"/>
            </w:tcBorders>
          </w:tcPr>
          <w:p>
            <w:pPr>
              <w:spacing w:after="30" w:before="30"/>
            </w:pPr>
            <w:r>
              <w:rPr>
                <w:color w:val="182230"/>
                <w:sz w:val="14"/>
              </w:rPr>
              <w:t>Détermine l'activité et les mécanismes</w:t>
            </w:r>
          </w:p>
        </w:tc>
        <w:tc>
          <w:tcPr>
            <w:tcW w:type="dxa" w:w="3798"/>
            <w:vAlign w:val="center"/>
            <w:tcBorders>
              <w:bottom w:val="single" w:sz="4" w:color="D8E1EC"/>
            </w:tcBorders>
          </w:tcPr>
          <w:p>
            <w:pPr>
              <w:spacing w:after="30" w:before="30"/>
            </w:pPr>
            <w:r>
              <w:rPr>
                <w:color w:val="182230"/>
                <w:sz w:val="14"/>
              </w:rPr>
              <w:t>HR de l'air est sans objet en immersion</w:t>
            </w:r>
          </w:p>
        </w:tc>
      </w:tr>
      <w:tr>
        <w:trPr>
          <w:cantSplit/>
        </w:trPr>
        <w:tc>
          <w:tcPr>
            <w:tcW w:type="dxa" w:w="1984"/>
            <w:shd w:fill="F6F8FB"/>
            <w:vAlign w:val="center"/>
            <w:tcBorders>
              <w:bottom w:val="single" w:sz="4" w:color="D8E1EC"/>
            </w:tcBorders>
          </w:tcPr>
          <w:p>
            <w:pPr>
              <w:spacing w:after="30" w:before="30"/>
            </w:pPr>
            <w:r>
              <w:rPr>
                <w:color w:val="182230"/>
                <w:sz w:val="14"/>
              </w:rPr>
              <w:t>E₀</w:t>
            </w:r>
          </w:p>
        </w:tc>
        <w:tc>
          <w:tcPr>
            <w:tcW w:type="dxa" w:w="3515"/>
            <w:shd w:fill="F6F8FB"/>
            <w:vAlign w:val="center"/>
            <w:tcBorders>
              <w:bottom w:val="single" w:sz="4" w:color="D8E1EC"/>
            </w:tcBorders>
          </w:tcPr>
          <w:p>
            <w:pPr>
              <w:spacing w:after="30" w:before="30"/>
            </w:pPr>
            <w:r>
              <w:rPr>
                <w:color w:val="182230"/>
                <w:sz w:val="14"/>
              </w:rPr>
              <w:t>Échelle verticale de E(t)</w:t>
            </w:r>
          </w:p>
        </w:tc>
        <w:tc>
          <w:tcPr>
            <w:tcW w:type="dxa" w:w="3798"/>
            <w:shd w:fill="F6F8FB"/>
            <w:vAlign w:val="center"/>
            <w:tcBorders>
              <w:bottom w:val="single" w:sz="4" w:color="D8E1EC"/>
            </w:tcBorders>
          </w:tcPr>
          <w:p>
            <w:pPr>
              <w:spacing w:after="30" w:before="30"/>
            </w:pPr>
            <w:r>
              <w:rPr>
                <w:color w:val="182230"/>
                <w:sz w:val="14"/>
              </w:rPr>
              <w:t>Ne détermine jamais k</w:t>
            </w:r>
          </w:p>
        </w:tc>
      </w:tr>
      <w:tr>
        <w:trPr>
          <w:cantSplit/>
        </w:trPr>
        <w:tc>
          <w:tcPr>
            <w:tcW w:type="dxa" w:w="1984"/>
            <w:vAlign w:val="center"/>
            <w:tcBorders>
              <w:bottom w:val="single" w:sz="4" w:color="D8E1EC"/>
            </w:tcBorders>
          </w:tcPr>
          <w:p>
            <w:pPr>
              <w:spacing w:after="30" w:before="30"/>
            </w:pPr>
            <w:r>
              <w:rPr>
                <w:color w:val="182230"/>
                <w:sz w:val="14"/>
              </w:rPr>
              <w:t>Grade et formulation</w:t>
            </w:r>
          </w:p>
        </w:tc>
        <w:tc>
          <w:tcPr>
            <w:tcW w:type="dxa" w:w="3515"/>
            <w:vAlign w:val="center"/>
            <w:tcBorders>
              <w:bottom w:val="single" w:sz="4" w:color="D8E1EC"/>
            </w:tcBorders>
          </w:tcPr>
          <w:p>
            <w:pPr>
              <w:spacing w:after="30" w:before="30"/>
            </w:pPr>
            <w:r>
              <w:rPr>
                <w:color w:val="182230"/>
                <w:sz w:val="14"/>
              </w:rPr>
              <w:t>Identité du domaine de transfert</w:t>
            </w:r>
          </w:p>
        </w:tc>
        <w:tc>
          <w:tcPr>
            <w:tcW w:type="dxa" w:w="3798"/>
            <w:vAlign w:val="center"/>
            <w:tcBorders>
              <w:bottom w:val="single" w:sz="4" w:color="D8E1EC"/>
            </w:tcBorders>
          </w:tcPr>
          <w:p>
            <w:pPr>
              <w:spacing w:after="30" w:before="30"/>
            </w:pPr>
            <w:r>
              <w:rPr>
                <w:color w:val="182230"/>
                <w:sz w:val="14"/>
              </w:rPr>
              <w:t>Même sigle polymère ≠ même cinétique</w:t>
            </w:r>
          </w:p>
        </w:tc>
      </w:tr>
      <w:tr>
        <w:trPr>
          <w:cantSplit/>
        </w:trPr>
        <w:tc>
          <w:tcPr>
            <w:tcW w:type="dxa" w:w="1984"/>
            <w:shd w:fill="F6F8FB"/>
            <w:vAlign w:val="center"/>
            <w:tcBorders>
              <w:bottom w:val="single" w:sz="4" w:color="D8E1EC"/>
            </w:tcBorders>
          </w:tcPr>
          <w:p>
            <w:pPr>
              <w:spacing w:after="30" w:before="30"/>
            </w:pPr>
            <w:r>
              <w:rPr>
                <w:color w:val="182230"/>
                <w:sz w:val="14"/>
              </w:rPr>
              <w:t>Procédé / cristallinité</w:t>
            </w:r>
          </w:p>
        </w:tc>
        <w:tc>
          <w:tcPr>
            <w:tcW w:type="dxa" w:w="3515"/>
            <w:shd w:fill="F6F8FB"/>
            <w:vAlign w:val="center"/>
            <w:tcBorders>
              <w:bottom w:val="single" w:sz="4" w:color="D8E1EC"/>
            </w:tcBorders>
          </w:tcPr>
          <w:p>
            <w:pPr>
              <w:spacing w:after="30" w:before="30"/>
            </w:pPr>
            <w:r>
              <w:rPr>
                <w:color w:val="182230"/>
                <w:sz w:val="14"/>
              </w:rPr>
              <w:t>État initial, mobilité, interfaces</w:t>
            </w:r>
          </w:p>
        </w:tc>
        <w:tc>
          <w:tcPr>
            <w:tcW w:type="dxa" w:w="3798"/>
            <w:shd w:fill="F6F8FB"/>
            <w:vAlign w:val="center"/>
            <w:tcBorders>
              <w:bottom w:val="single" w:sz="4" w:color="D8E1EC"/>
            </w:tcBorders>
          </w:tcPr>
          <w:p>
            <w:pPr>
              <w:spacing w:after="30" w:before="30"/>
            </w:pPr>
            <w:r>
              <w:rPr>
                <w:color w:val="182230"/>
                <w:sz w:val="14"/>
              </w:rPr>
              <w:t>Variable potentiellement confondue avec le grade</w:t>
            </w:r>
          </w:p>
        </w:tc>
      </w:tr>
      <w:tr>
        <w:trPr>
          <w:cantSplit/>
        </w:trPr>
        <w:tc>
          <w:tcPr>
            <w:tcW w:type="dxa" w:w="1984"/>
            <w:vAlign w:val="center"/>
            <w:tcBorders>
              <w:bottom w:val="single" w:sz="4" w:color="D8E1EC"/>
            </w:tcBorders>
          </w:tcPr>
          <w:p>
            <w:pPr>
              <w:spacing w:after="30" w:before="30"/>
            </w:pPr>
            <w:r>
              <w:rPr>
                <w:color w:val="182230"/>
                <w:sz w:val="14"/>
              </w:rPr>
              <w:t>UV / oxygène / pH</w:t>
            </w:r>
          </w:p>
        </w:tc>
        <w:tc>
          <w:tcPr>
            <w:tcW w:type="dxa" w:w="3515"/>
            <w:vAlign w:val="center"/>
            <w:tcBorders>
              <w:bottom w:val="single" w:sz="4" w:color="D8E1EC"/>
            </w:tcBorders>
          </w:tcPr>
          <w:p>
            <w:pPr>
              <w:spacing w:after="30" w:before="30"/>
            </w:pPr>
            <w:r>
              <w:rPr>
                <w:color w:val="182230"/>
                <w:sz w:val="14"/>
              </w:rPr>
              <w:t>Dose et mécanisme selon l'expert</w:t>
            </w:r>
          </w:p>
        </w:tc>
        <w:tc>
          <w:tcPr>
            <w:tcW w:type="dxa" w:w="3798"/>
            <w:vAlign w:val="center"/>
            <w:tcBorders>
              <w:bottom w:val="single" w:sz="4" w:color="D8E1EC"/>
            </w:tcBorders>
          </w:tcPr>
          <w:p>
            <w:pPr>
              <w:spacing w:after="30" w:before="30"/>
            </w:pPr>
            <w:r>
              <w:rPr>
                <w:color w:val="182230"/>
                <w:sz w:val="14"/>
              </w:rPr>
              <w:t>Effet non calculé si non mesuré</w:t>
            </w:r>
          </w:p>
        </w:tc>
      </w:tr>
      <w:tr>
        <w:trPr>
          <w:cantSplit/>
        </w:trPr>
        <w:tc>
          <w:tcPr>
            <w:tcW w:type="dxa" w:w="1984"/>
            <w:shd w:fill="F6F8FB"/>
            <w:vAlign w:val="center"/>
            <w:tcBorders>
              <w:bottom w:val="single" w:sz="4" w:color="D8E1EC"/>
            </w:tcBorders>
          </w:tcPr>
          <w:p>
            <w:pPr>
              <w:spacing w:after="30" w:before="30"/>
            </w:pPr>
            <w:r>
              <w:rPr>
                <w:color w:val="182230"/>
                <w:sz w:val="14"/>
              </w:rPr>
              <w:t>Cible Y = E/E₀</w:t>
            </w:r>
          </w:p>
        </w:tc>
        <w:tc>
          <w:tcPr>
            <w:tcW w:type="dxa" w:w="3515"/>
            <w:shd w:fill="F6F8FB"/>
            <w:vAlign w:val="center"/>
            <w:tcBorders>
              <w:bottom w:val="single" w:sz="4" w:color="D8E1EC"/>
            </w:tcBorders>
          </w:tcPr>
          <w:p>
            <w:pPr>
              <w:spacing w:after="30" w:before="30"/>
            </w:pPr>
            <w:r>
              <w:rPr>
                <w:color w:val="182230"/>
                <w:sz w:val="14"/>
              </w:rPr>
              <w:t>Rétention mécanique normalisée</w:t>
            </w:r>
          </w:p>
        </w:tc>
        <w:tc>
          <w:tcPr>
            <w:tcW w:type="dxa" w:w="3798"/>
            <w:shd w:fill="F6F8FB"/>
            <w:vAlign w:val="center"/>
            <w:tcBorders>
              <w:bottom w:val="single" w:sz="4" w:color="D8E1EC"/>
            </w:tcBorders>
          </w:tcPr>
          <w:p>
            <w:pPr>
              <w:spacing w:after="30" w:before="30"/>
            </w:pPr>
            <w:r>
              <w:rPr>
                <w:color w:val="182230"/>
                <w:sz w:val="14"/>
              </w:rPr>
              <w:t>Ne représente ni rupture ni allongement</w:t>
            </w:r>
          </w:p>
        </w:tc>
      </w:tr>
    </w:tbl>
    <w:p>
      <w:pPr>
        <w:spacing w:after="0"/>
      </w:pPr>
    </w:p>
    <w:p>
      <w:pPr>
        <w:pStyle w:val="Heading2"/>
        <w:keepNext/>
      </w:pPr>
      <w:r>
        <w:t>2.6 Nettoyage, normalisation et revue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701"/>
            <w:shd w:fill="17365D"/>
            <w:vAlign w:val="center"/>
            <w:tcBorders>
              <w:bottom w:val="single" w:sz="5" w:color="FFFFFF"/>
            </w:tcBorders>
          </w:tcPr>
          <w:p>
            <w:pPr>
              <w:jc w:val="left"/>
            </w:pPr>
            <w:r>
              <w:rPr>
                <w:b/>
                <w:color w:val="FFFFFF"/>
                <w:sz w:val="15"/>
              </w:rPr>
              <w:t>Contrôle</w:t>
            </w:r>
          </w:p>
        </w:tc>
        <w:tc>
          <w:tcPr>
            <w:tcW w:type="dxa" w:w="3969"/>
            <w:shd w:fill="17365D"/>
            <w:vAlign w:val="center"/>
            <w:tcBorders>
              <w:bottom w:val="single" w:sz="5" w:color="FFFFFF"/>
            </w:tcBorders>
          </w:tcPr>
          <w:p>
            <w:pPr>
              <w:jc w:val="left"/>
            </w:pPr>
            <w:r>
              <w:rPr>
                <w:b/>
                <w:color w:val="FFFFFF"/>
                <w:sz w:val="15"/>
              </w:rPr>
              <w:t>Règle appliquée</w:t>
            </w:r>
          </w:p>
        </w:tc>
        <w:tc>
          <w:tcPr>
            <w:tcW w:type="dxa" w:w="3628"/>
            <w:shd w:fill="17365D"/>
            <w:vAlign w:val="center"/>
            <w:tcBorders>
              <w:bottom w:val="single" w:sz="5" w:color="FFFFFF"/>
            </w:tcBorders>
          </w:tcPr>
          <w:p>
            <w:pPr>
              <w:jc w:val="left"/>
            </w:pPr>
            <w:r>
              <w:rPr>
                <w:b/>
                <w:color w:val="FFFFFF"/>
                <w:sz w:val="15"/>
              </w:rPr>
              <w:t>Erreur évitée</w:t>
            </w:r>
          </w:p>
        </w:tc>
      </w:tr>
      <w:tr>
        <w:trPr>
          <w:cantSplit/>
        </w:trPr>
        <w:tc>
          <w:tcPr>
            <w:tcW w:type="dxa" w:w="1701"/>
            <w:vAlign w:val="center"/>
            <w:tcBorders>
              <w:bottom w:val="single" w:sz="4" w:color="D8E1EC"/>
            </w:tcBorders>
          </w:tcPr>
          <w:p>
            <w:pPr>
              <w:spacing w:after="30" w:before="30"/>
            </w:pPr>
            <w:r>
              <w:rPr>
                <w:color w:val="182230"/>
                <w:sz w:val="15"/>
              </w:rPr>
              <w:t>Unités</w:t>
            </w:r>
          </w:p>
        </w:tc>
        <w:tc>
          <w:tcPr>
            <w:tcW w:type="dxa" w:w="3969"/>
            <w:vAlign w:val="center"/>
            <w:tcBorders>
              <w:bottom w:val="single" w:sz="4" w:color="D8E1EC"/>
            </w:tcBorders>
          </w:tcPr>
          <w:p>
            <w:pPr>
              <w:spacing w:after="30" w:before="30"/>
            </w:pPr>
            <w:r>
              <w:rPr>
                <w:color w:val="182230"/>
                <w:sz w:val="15"/>
              </w:rPr>
              <w:t>MPa, jours, °C, % HR, mm et m²/s</w:t>
            </w:r>
          </w:p>
        </w:tc>
        <w:tc>
          <w:tcPr>
            <w:tcW w:type="dxa" w:w="3628"/>
            <w:vAlign w:val="center"/>
            <w:tcBorders>
              <w:bottom w:val="single" w:sz="4" w:color="D8E1EC"/>
            </w:tcBorders>
          </w:tcPr>
          <w:p>
            <w:pPr>
              <w:spacing w:after="30" w:before="30"/>
            </w:pPr>
            <w:r>
              <w:rPr>
                <w:color w:val="182230"/>
                <w:sz w:val="15"/>
              </w:rPr>
              <w:t>Facteurs 10³, 24 ou 86 400</w:t>
            </w:r>
          </w:p>
        </w:tc>
      </w:tr>
      <w:tr>
        <w:trPr>
          <w:cantSplit/>
        </w:trPr>
        <w:tc>
          <w:tcPr>
            <w:tcW w:type="dxa" w:w="1701"/>
            <w:shd w:fill="F6F8FB"/>
            <w:vAlign w:val="center"/>
            <w:tcBorders>
              <w:bottom w:val="single" w:sz="4" w:color="D8E1EC"/>
            </w:tcBorders>
          </w:tcPr>
          <w:p>
            <w:pPr>
              <w:spacing w:after="30" w:before="30"/>
            </w:pPr>
            <w:r>
              <w:rPr>
                <w:color w:val="182230"/>
                <w:sz w:val="15"/>
              </w:rPr>
              <w:t>Temps zéro</w:t>
            </w:r>
          </w:p>
        </w:tc>
        <w:tc>
          <w:tcPr>
            <w:tcW w:type="dxa" w:w="3969"/>
            <w:shd w:fill="F6F8FB"/>
            <w:vAlign w:val="center"/>
            <w:tcBorders>
              <w:bottom w:val="single" w:sz="4" w:color="D8E1EC"/>
            </w:tcBorders>
          </w:tcPr>
          <w:p>
            <w:pPr>
              <w:spacing w:after="30" w:before="30"/>
            </w:pPr>
            <w:r>
              <w:rPr>
                <w:color w:val="182230"/>
                <w:sz w:val="15"/>
              </w:rPr>
              <w:t>Présence obligatoire pour une rétention</w:t>
            </w:r>
          </w:p>
        </w:tc>
        <w:tc>
          <w:tcPr>
            <w:tcW w:type="dxa" w:w="3628"/>
            <w:shd w:fill="F6F8FB"/>
            <w:vAlign w:val="center"/>
            <w:tcBorders>
              <w:bottom w:val="single" w:sz="4" w:color="D8E1EC"/>
            </w:tcBorders>
          </w:tcPr>
          <w:p>
            <w:pPr>
              <w:spacing w:after="30" w:before="30"/>
            </w:pPr>
            <w:r>
              <w:rPr>
                <w:color w:val="182230"/>
                <w:sz w:val="15"/>
              </w:rPr>
              <w:t>Normalisation sur une autre formulation</w:t>
            </w:r>
          </w:p>
        </w:tc>
      </w:tr>
      <w:tr>
        <w:trPr>
          <w:cantSplit/>
        </w:trPr>
        <w:tc>
          <w:tcPr>
            <w:tcW w:type="dxa" w:w="1701"/>
            <w:vAlign w:val="center"/>
            <w:tcBorders>
              <w:bottom w:val="single" w:sz="4" w:color="D8E1EC"/>
            </w:tcBorders>
          </w:tcPr>
          <w:p>
            <w:pPr>
              <w:spacing w:after="30" w:before="30"/>
            </w:pPr>
            <w:r>
              <w:rPr>
                <w:color w:val="182230"/>
                <w:sz w:val="15"/>
              </w:rPr>
              <w:t>Identifiants</w:t>
            </w:r>
          </w:p>
        </w:tc>
        <w:tc>
          <w:tcPr>
            <w:tcW w:type="dxa" w:w="3969"/>
            <w:vAlign w:val="center"/>
            <w:tcBorders>
              <w:bottom w:val="single" w:sz="4" w:color="D8E1EC"/>
            </w:tcBorders>
          </w:tcPr>
          <w:p>
            <w:pPr>
              <w:spacing w:after="30" w:before="30"/>
            </w:pPr>
            <w:r>
              <w:rPr>
                <w:color w:val="182230"/>
                <w:sz w:val="15"/>
              </w:rPr>
              <w:t>source, expérience, lot et formulation séparés</w:t>
            </w:r>
          </w:p>
        </w:tc>
        <w:tc>
          <w:tcPr>
            <w:tcW w:type="dxa" w:w="3628"/>
            <w:vAlign w:val="center"/>
            <w:tcBorders>
              <w:bottom w:val="single" w:sz="4" w:color="D8E1EC"/>
            </w:tcBorders>
          </w:tcPr>
          <w:p>
            <w:pPr>
              <w:spacing w:after="30" w:before="30"/>
            </w:pPr>
            <w:r>
              <w:rPr>
                <w:color w:val="182230"/>
                <w:sz w:val="15"/>
              </w:rPr>
              <w:t>Pseudo-réplication</w:t>
            </w:r>
          </w:p>
        </w:tc>
      </w:tr>
      <w:tr>
        <w:trPr>
          <w:cantSplit/>
        </w:trPr>
        <w:tc>
          <w:tcPr>
            <w:tcW w:type="dxa" w:w="1701"/>
            <w:shd w:fill="F6F8FB"/>
            <w:vAlign w:val="center"/>
            <w:tcBorders>
              <w:bottom w:val="single" w:sz="4" w:color="D8E1EC"/>
            </w:tcBorders>
          </w:tcPr>
          <w:p>
            <w:pPr>
              <w:spacing w:after="30" w:before="30"/>
            </w:pPr>
            <w:r>
              <w:rPr>
                <w:color w:val="182230"/>
                <w:sz w:val="15"/>
              </w:rPr>
              <w:t>Valeurs</w:t>
            </w:r>
          </w:p>
        </w:tc>
        <w:tc>
          <w:tcPr>
            <w:tcW w:type="dxa" w:w="3969"/>
            <w:shd w:fill="F6F8FB"/>
            <w:vAlign w:val="center"/>
            <w:tcBorders>
              <w:bottom w:val="single" w:sz="4" w:color="D8E1EC"/>
            </w:tcBorders>
          </w:tcPr>
          <w:p>
            <w:pPr>
              <w:spacing w:after="30" w:before="30"/>
            </w:pPr>
            <w:r>
              <w:rPr>
                <w:color w:val="182230"/>
                <w:sz w:val="15"/>
              </w:rPr>
              <w:t>Finies, positives et ordonnées</w:t>
            </w:r>
          </w:p>
        </w:tc>
        <w:tc>
          <w:tcPr>
            <w:tcW w:type="dxa" w:w="3628"/>
            <w:shd w:fill="F6F8FB"/>
            <w:vAlign w:val="center"/>
            <w:tcBorders>
              <w:bottom w:val="single" w:sz="4" w:color="D8E1EC"/>
            </w:tcBorders>
          </w:tcPr>
          <w:p>
            <w:pPr>
              <w:spacing w:after="30" w:before="30"/>
            </w:pPr>
            <w:r>
              <w:rPr>
                <w:color w:val="182230"/>
                <w:sz w:val="15"/>
              </w:rPr>
              <w:t>Divergence numérique et doublons</w:t>
            </w:r>
          </w:p>
        </w:tc>
      </w:tr>
      <w:tr>
        <w:trPr>
          <w:cantSplit/>
        </w:trPr>
        <w:tc>
          <w:tcPr>
            <w:tcW w:type="dxa" w:w="1701"/>
            <w:vAlign w:val="center"/>
            <w:tcBorders>
              <w:bottom w:val="single" w:sz="4" w:color="D8E1EC"/>
            </w:tcBorders>
          </w:tcPr>
          <w:p>
            <w:pPr>
              <w:spacing w:after="30" w:before="30"/>
            </w:pPr>
            <w:r>
              <w:rPr>
                <w:color w:val="182230"/>
                <w:sz w:val="15"/>
              </w:rPr>
              <w:t>Extraction</w:t>
            </w:r>
          </w:p>
        </w:tc>
        <w:tc>
          <w:tcPr>
            <w:tcW w:type="dxa" w:w="3969"/>
            <w:vAlign w:val="center"/>
            <w:tcBorders>
              <w:bottom w:val="single" w:sz="4" w:color="D8E1EC"/>
            </w:tcBorders>
          </w:tcPr>
          <w:p>
            <w:pPr>
              <w:spacing w:after="30" w:before="30"/>
            </w:pPr>
            <w:r>
              <w:rPr>
                <w:color w:val="182230"/>
                <w:sz w:val="15"/>
              </w:rPr>
              <w:t>Table directe ou figure avec incertitude dédiée</w:t>
            </w:r>
          </w:p>
        </w:tc>
        <w:tc>
          <w:tcPr>
            <w:tcW w:type="dxa" w:w="3628"/>
            <w:vAlign w:val="center"/>
            <w:tcBorders>
              <w:bottom w:val="single" w:sz="4" w:color="D8E1EC"/>
            </w:tcBorders>
          </w:tcPr>
          <w:p>
            <w:pPr>
              <w:spacing w:after="30" w:before="30"/>
            </w:pPr>
            <w:r>
              <w:rPr>
                <w:color w:val="182230"/>
                <w:sz w:val="15"/>
              </w:rPr>
              <w:t>Fausse précision de numérisation</w:t>
            </w:r>
          </w:p>
        </w:tc>
      </w:tr>
      <w:tr>
        <w:trPr>
          <w:cantSplit/>
        </w:trPr>
        <w:tc>
          <w:tcPr>
            <w:tcW w:type="dxa" w:w="1701"/>
            <w:shd w:fill="F6F8FB"/>
            <w:vAlign w:val="center"/>
            <w:tcBorders>
              <w:bottom w:val="single" w:sz="4" w:color="D8E1EC"/>
            </w:tcBorders>
          </w:tcPr>
          <w:p>
            <w:pPr>
              <w:spacing w:after="30" w:before="30"/>
            </w:pPr>
            <w:r>
              <w:rPr>
                <w:color w:val="182230"/>
                <w:sz w:val="15"/>
              </w:rPr>
              <w:t>Acceptation</w:t>
            </w:r>
          </w:p>
        </w:tc>
        <w:tc>
          <w:tcPr>
            <w:tcW w:type="dxa" w:w="3969"/>
            <w:shd w:fill="F6F8FB"/>
            <w:vAlign w:val="center"/>
            <w:tcBorders>
              <w:bottom w:val="single" w:sz="4" w:color="D8E1EC"/>
            </w:tcBorders>
          </w:tcPr>
          <w:p>
            <w:pPr>
              <w:spacing w:after="30" w:before="30"/>
            </w:pPr>
            <w:r>
              <w:rPr>
                <w:color w:val="182230"/>
                <w:sz w:val="15"/>
              </w:rPr>
              <w:t>Revue avant participation au modèle</w:t>
            </w:r>
          </w:p>
        </w:tc>
        <w:tc>
          <w:tcPr>
            <w:tcW w:type="dxa" w:w="3628"/>
            <w:shd w:fill="F6F8FB"/>
            <w:vAlign w:val="center"/>
            <w:tcBorders>
              <w:bottom w:val="single" w:sz="4" w:color="D8E1EC"/>
            </w:tcBorders>
          </w:tcPr>
          <w:p>
            <w:pPr>
              <w:spacing w:after="30" w:before="30"/>
            </w:pPr>
            <w:r>
              <w:rPr>
                <w:color w:val="182230"/>
                <w:sz w:val="15"/>
              </w:rPr>
              <w:t>Références non vérifiées dans l'apprentissage</w:t>
            </w:r>
          </w:p>
        </w:tc>
      </w:tr>
      <w:tr>
        <w:trPr>
          <w:cantSplit/>
        </w:trPr>
        <w:tc>
          <w:tcPr>
            <w:tcW w:type="dxa" w:w="1701"/>
            <w:vAlign w:val="center"/>
            <w:tcBorders>
              <w:bottom w:val="single" w:sz="4" w:color="D8E1EC"/>
            </w:tcBorders>
          </w:tcPr>
          <w:p>
            <w:pPr>
              <w:spacing w:after="30" w:before="30"/>
            </w:pPr>
            <w:r>
              <w:rPr>
                <w:color w:val="182230"/>
                <w:sz w:val="15"/>
              </w:rPr>
              <w:t>Déduplication</w:t>
            </w:r>
          </w:p>
        </w:tc>
        <w:tc>
          <w:tcPr>
            <w:tcW w:type="dxa" w:w="3969"/>
            <w:vAlign w:val="center"/>
            <w:tcBorders>
              <w:bottom w:val="single" w:sz="4" w:color="D8E1EC"/>
            </w:tcBorders>
          </w:tcPr>
          <w:p>
            <w:pPr>
              <w:spacing w:after="30" w:before="30"/>
            </w:pPr>
            <w:r>
              <w:rPr>
                <w:color w:val="182230"/>
                <w:sz w:val="15"/>
              </w:rPr>
              <w:t>Même campagne reconnue malgré plusieurs articles</w:t>
            </w:r>
          </w:p>
        </w:tc>
        <w:tc>
          <w:tcPr>
            <w:tcW w:type="dxa" w:w="3628"/>
            <w:vAlign w:val="center"/>
            <w:tcBorders>
              <w:bottom w:val="single" w:sz="4" w:color="D8E1EC"/>
            </w:tcBorders>
          </w:tcPr>
          <w:p>
            <w:pPr>
              <w:spacing w:after="30" w:before="30"/>
            </w:pPr>
            <w:r>
              <w:rPr>
                <w:color w:val="182230"/>
                <w:sz w:val="15"/>
              </w:rPr>
              <w:t>Fausse indépendance des sources</w:t>
            </w:r>
          </w:p>
        </w:tc>
      </w:tr>
    </w:tbl>
    <w:p>
      <w:pPr>
        <w:spacing w:after="0"/>
      </w:pPr>
    </w:p>
    <w:p>
      <w:pPr>
        <w:pStyle w:val="Heading2"/>
        <w:keepNext/>
      </w:pPr>
      <w:r>
        <w:t>2.7 Séparation apprentissage - calibration - test</w:t>
      </w:r>
    </w:p>
    <w:p>
      <w:r>
        <w:rPr>
          <w:i w:val="0"/>
        </w:rPr>
        <w:t>Le jeu d'apprentissage ajuste les paramètres. Un jeu de calibration, séparé par groupes, détermine la largeur de bande. Le jeu de test externe reste invisible jusqu'au gel du modèle et de l'intervalle. Les transformations, la sélection de variables et le choix de modèle doivent être réalisés dans les plis internes ; sinon le score de test contient une fuite d'information.</w:t>
      </w:r>
    </w:p>
    <w:tbl>
      <w:tblPr>
        <w:tblW w:type="auto" w:w="0"/>
        <w:tblLayout w:type="fixed"/>
        <w:tblLook w:firstColumn="1" w:firstRow="1" w:lastColumn="0" w:lastRow="0" w:noHBand="0" w:noVBand="1" w:val="04A0"/>
      </w:tblPr>
      <w:tblGrid>
        <w:gridCol w:w="102"/>
        <w:gridCol w:w="9298"/>
      </w:tblGrid>
      <w:tr>
        <w:tc>
          <w:tcPr>
            <w:tcW w:type="dxa" w:w="4933"/>
            <w:shd w:fill="E28A32"/>
            <w:tcBorders>
              <w:top w:val="nil"/>
              <w:left w:val="nil"/>
              <w:bottom w:val="nil"/>
              <w:right w:val="nil"/>
            </w:tcBorders>
          </w:tcPr>
          <w:p/>
        </w:tc>
        <w:tc>
          <w:tcPr>
            <w:tcW w:type="dxa" w:w="4933"/>
            <w:shd w:fill="FFF4E6"/>
            <w:tcBorders>
              <w:top w:val="nil"/>
              <w:left w:val="nil"/>
              <w:bottom w:val="nil"/>
              <w:right w:val="nil"/>
            </w:tcBorders>
          </w:tcPr>
          <w:p>
            <w:pPr>
              <w:spacing w:after="40"/>
            </w:pPr>
            <w:r>
              <w:rPr>
                <w:b/>
                <w:color w:val="E28A32"/>
              </w:rPr>
              <w:t xml:space="preserve">Unité statistique  </w:t>
            </w:r>
            <w:r>
              <w:t>Une formulation, un grade, un lot ou une campagne constitue un groupe. Dix temps corrélés d'une même formulation ne valent pas dix validations indépendantes.</w:t>
            </w:r>
          </w:p>
        </w:tc>
      </w:tr>
    </w:tbl>
    <w:p>
      <w:pPr>
        <w:pStyle w:val="Heading1"/>
        <w:keepNext/>
        <w:pageBreakBefore/>
      </w:pPr>
      <w:r>
        <w:t>3. Architecture du moteur prédictif</w:t>
      </w:r>
    </w:p>
    <w:p>
      <w:pPr>
        <w:keepNext/>
        <w:jc w:val="center"/>
      </w:pPr>
      <w:r>
        <w:drawing>
          <wp:inline xmlns:a="http://schemas.openxmlformats.org/drawingml/2006/main" xmlns:pic="http://schemas.openxmlformats.org/drawingml/2006/picture">
            <wp:extent cx="5940000" cy="33412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0000" cy="3341250"/>
                    </a:xfrm>
                    <a:prstGeom prst="rect"/>
                  </pic:spPr>
                </pic:pic>
              </a:graphicData>
            </a:graphic>
          </wp:inline>
        </w:drawing>
      </w:r>
    </w:p>
    <w:p>
      <w:pPr>
        <w:pStyle w:val="Caption"/>
        <w:keepLines/>
      </w:pPr>
      <w:r>
        <w:t>Figure 2 - Le routeur privilégie la preuve compatible puis active, si nécessaire, un modèle mécaniste paramétré.</w:t>
      </w:r>
    </w:p>
    <w:p>
      <w:pPr>
        <w:pStyle w:val="Heading2"/>
        <w:keepNext/>
      </w:pPr>
      <w:r>
        <w:t>3.1 Routes de calcul</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907"/>
            <w:shd w:fill="17365D"/>
            <w:vAlign w:val="center"/>
            <w:tcBorders>
              <w:bottom w:val="single" w:sz="5" w:color="FFFFFF"/>
            </w:tcBorders>
          </w:tcPr>
          <w:p>
            <w:pPr>
              <w:jc w:val="left"/>
            </w:pPr>
            <w:r>
              <w:rPr>
                <w:b/>
                <w:color w:val="FFFFFF"/>
                <w:sz w:val="15"/>
              </w:rPr>
              <w:t>Priorité</w:t>
            </w:r>
          </w:p>
        </w:tc>
        <w:tc>
          <w:tcPr>
            <w:tcW w:type="dxa" w:w="1928"/>
            <w:shd w:fill="17365D"/>
            <w:vAlign w:val="center"/>
            <w:tcBorders>
              <w:bottom w:val="single" w:sz="5" w:color="FFFFFF"/>
            </w:tcBorders>
          </w:tcPr>
          <w:p>
            <w:pPr>
              <w:jc w:val="left"/>
            </w:pPr>
            <w:r>
              <w:rPr>
                <w:b/>
                <w:color w:val="FFFFFF"/>
                <w:sz w:val="15"/>
              </w:rPr>
              <w:t>Route</w:t>
            </w:r>
          </w:p>
        </w:tc>
        <w:tc>
          <w:tcPr>
            <w:tcW w:type="dxa" w:w="4309"/>
            <w:shd w:fill="17365D"/>
            <w:vAlign w:val="center"/>
            <w:tcBorders>
              <w:bottom w:val="single" w:sz="5" w:color="FFFFFF"/>
            </w:tcBorders>
          </w:tcPr>
          <w:p>
            <w:pPr>
              <w:jc w:val="left"/>
            </w:pPr>
            <w:r>
              <w:rPr>
                <w:b/>
                <w:color w:val="FFFFFF"/>
                <w:sz w:val="15"/>
              </w:rPr>
              <w:t>Condition d'activation</w:t>
            </w:r>
          </w:p>
        </w:tc>
        <w:tc>
          <w:tcPr>
            <w:tcW w:type="dxa" w:w="2154"/>
            <w:shd w:fill="17365D"/>
            <w:vAlign w:val="center"/>
            <w:tcBorders>
              <w:bottom w:val="single" w:sz="5" w:color="FFFFFF"/>
            </w:tcBorders>
          </w:tcPr>
          <w:p>
            <w:pPr>
              <w:jc w:val="left"/>
            </w:pPr>
            <w:r>
              <w:rPr>
                <w:b/>
                <w:color w:val="FFFFFF"/>
                <w:sz w:val="15"/>
              </w:rPr>
              <w:t>Sortie</w:t>
            </w:r>
          </w:p>
        </w:tc>
      </w:tr>
      <w:tr>
        <w:trPr>
          <w:cantSplit/>
        </w:trPr>
        <w:tc>
          <w:tcPr>
            <w:tcW w:type="dxa" w:w="907"/>
            <w:vAlign w:val="center"/>
            <w:tcBorders>
              <w:bottom w:val="single" w:sz="4" w:color="D8E1EC"/>
            </w:tcBorders>
          </w:tcPr>
          <w:p>
            <w:pPr>
              <w:spacing w:after="30" w:before="30"/>
            </w:pPr>
            <w:r>
              <w:rPr>
                <w:color w:val="182230"/>
                <w:sz w:val="15"/>
              </w:rPr>
              <w:t>1</w:t>
            </w:r>
          </w:p>
        </w:tc>
        <w:tc>
          <w:tcPr>
            <w:tcW w:type="dxa" w:w="1928"/>
            <w:vAlign w:val="center"/>
            <w:tcBorders>
              <w:bottom w:val="single" w:sz="4" w:color="D8E1EC"/>
            </w:tcBorders>
          </w:tcPr>
          <w:p>
            <w:pPr>
              <w:spacing w:after="30" w:before="30"/>
            </w:pPr>
            <w:r>
              <w:rPr>
                <w:color w:val="182230"/>
                <w:sz w:val="15"/>
              </w:rPr>
              <w:t>Courbe exacte</w:t>
            </w:r>
          </w:p>
        </w:tc>
        <w:tc>
          <w:tcPr>
            <w:tcW w:type="dxa" w:w="4309"/>
            <w:vAlign w:val="center"/>
            <w:tcBorders>
              <w:bottom w:val="single" w:sz="4" w:color="D8E1EC"/>
            </w:tcBorders>
          </w:tcPr>
          <w:p>
            <w:pPr>
              <w:spacing w:after="30" w:before="30"/>
            </w:pPr>
            <w:r>
              <w:rPr>
                <w:color w:val="182230"/>
                <w:sz w:val="15"/>
              </w:rPr>
              <w:t>Même grade, propriété, milieu et température</w:t>
            </w:r>
          </w:p>
        </w:tc>
        <w:tc>
          <w:tcPr>
            <w:tcW w:type="dxa" w:w="2154"/>
            <w:vAlign w:val="center"/>
            <w:tcBorders>
              <w:bottom w:val="single" w:sz="4" w:color="D8E1EC"/>
            </w:tcBorders>
          </w:tcPr>
          <w:p>
            <w:pPr>
              <w:spacing w:after="30" w:before="30"/>
            </w:pPr>
            <w:r>
              <w:rPr>
                <w:color w:val="182230"/>
                <w:sz w:val="15"/>
              </w:rPr>
              <w:t>Interpolation dans la fenêtre publiée</w:t>
            </w:r>
          </w:p>
        </w:tc>
      </w:tr>
      <w:tr>
        <w:trPr>
          <w:cantSplit/>
        </w:trPr>
        <w:tc>
          <w:tcPr>
            <w:tcW w:type="dxa" w:w="907"/>
            <w:shd w:fill="F6F8FB"/>
            <w:vAlign w:val="center"/>
            <w:tcBorders>
              <w:bottom w:val="single" w:sz="4" w:color="D8E1EC"/>
            </w:tcBorders>
          </w:tcPr>
          <w:p>
            <w:pPr>
              <w:spacing w:after="30" w:before="30"/>
            </w:pPr>
            <w:r>
              <w:rPr>
                <w:color w:val="182230"/>
                <w:sz w:val="15"/>
              </w:rPr>
              <w:t>2</w:t>
            </w:r>
          </w:p>
        </w:tc>
        <w:tc>
          <w:tcPr>
            <w:tcW w:type="dxa" w:w="1928"/>
            <w:shd w:fill="F6F8FB"/>
            <w:vAlign w:val="center"/>
            <w:tcBorders>
              <w:bottom w:val="single" w:sz="4" w:color="D8E1EC"/>
            </w:tcBorders>
          </w:tcPr>
          <w:p>
            <w:pPr>
              <w:spacing w:after="30" w:before="30"/>
            </w:pPr>
            <w:r>
              <w:rPr>
                <w:color w:val="182230"/>
                <w:sz w:val="15"/>
              </w:rPr>
              <w:t>Surface en température</w:t>
            </w:r>
          </w:p>
        </w:tc>
        <w:tc>
          <w:tcPr>
            <w:tcW w:type="dxa" w:w="4309"/>
            <w:shd w:fill="F6F8FB"/>
            <w:vAlign w:val="center"/>
            <w:tcBorders>
              <w:bottom w:val="single" w:sz="4" w:color="D8E1EC"/>
            </w:tcBorders>
          </w:tcPr>
          <w:p>
            <w:pPr>
              <w:spacing w:after="30" w:before="30"/>
            </w:pPr>
            <w:r>
              <w:rPr>
                <w:color w:val="182230"/>
                <w:sz w:val="15"/>
              </w:rPr>
              <w:t>Au moins deux températures compatibles ; test masqué accepté</w:t>
            </w:r>
          </w:p>
        </w:tc>
        <w:tc>
          <w:tcPr>
            <w:tcW w:type="dxa" w:w="2154"/>
            <w:shd w:fill="F6F8FB"/>
            <w:vAlign w:val="center"/>
            <w:tcBorders>
              <w:bottom w:val="single" w:sz="4" w:color="D8E1EC"/>
            </w:tcBorders>
          </w:tcPr>
          <w:p>
            <w:pPr>
              <w:spacing w:after="30" w:before="30"/>
            </w:pPr>
            <w:r>
              <w:rPr>
                <w:color w:val="182230"/>
                <w:sz w:val="15"/>
              </w:rPr>
              <w:t>Transfert limité au domaine thermique</w:t>
            </w:r>
          </w:p>
        </w:tc>
      </w:tr>
      <w:tr>
        <w:trPr>
          <w:cantSplit/>
        </w:trPr>
        <w:tc>
          <w:tcPr>
            <w:tcW w:type="dxa" w:w="907"/>
            <w:vAlign w:val="center"/>
            <w:tcBorders>
              <w:bottom w:val="single" w:sz="4" w:color="D8E1EC"/>
            </w:tcBorders>
          </w:tcPr>
          <w:p>
            <w:pPr>
              <w:spacing w:after="30" w:before="30"/>
            </w:pPr>
            <w:r>
              <w:rPr>
                <w:color w:val="182230"/>
                <w:sz w:val="15"/>
              </w:rPr>
              <w:t>3</w:t>
            </w:r>
          </w:p>
        </w:tc>
        <w:tc>
          <w:tcPr>
            <w:tcW w:type="dxa" w:w="1928"/>
            <w:vAlign w:val="center"/>
            <w:tcBorders>
              <w:bottom w:val="single" w:sz="4" w:color="D8E1EC"/>
            </w:tcBorders>
          </w:tcPr>
          <w:p>
            <w:pPr>
              <w:spacing w:after="30" w:before="30"/>
            </w:pPr>
            <w:r>
              <w:rPr>
                <w:color w:val="182230"/>
                <w:sz w:val="15"/>
              </w:rPr>
              <w:t>Ensemble du même matériau</w:t>
            </w:r>
          </w:p>
        </w:tc>
        <w:tc>
          <w:tcPr>
            <w:tcW w:type="dxa" w:w="4309"/>
            <w:vAlign w:val="center"/>
            <w:tcBorders>
              <w:bottom w:val="single" w:sz="4" w:color="D8E1EC"/>
            </w:tcBorders>
          </w:tcPr>
          <w:p>
            <w:pPr>
              <w:spacing w:after="30" w:before="30"/>
            </w:pPr>
            <w:r>
              <w:rPr>
                <w:color w:val="182230"/>
                <w:sz w:val="15"/>
              </w:rPr>
              <w:t>Plusieurs grades/formulations comparables</w:t>
            </w:r>
          </w:p>
        </w:tc>
        <w:tc>
          <w:tcPr>
            <w:tcW w:type="dxa" w:w="2154"/>
            <w:vAlign w:val="center"/>
            <w:tcBorders>
              <w:bottom w:val="single" w:sz="4" w:color="D8E1EC"/>
            </w:tcBorders>
          </w:tcPr>
          <w:p>
            <w:pPr>
              <w:spacing w:after="30" w:before="30"/>
            </w:pPr>
            <w:r>
              <w:rPr>
                <w:color w:val="182230"/>
                <w:sz w:val="15"/>
              </w:rPr>
              <w:t>Rétention médiane ou modèle hiérarchique</w:t>
            </w:r>
          </w:p>
        </w:tc>
      </w:tr>
      <w:tr>
        <w:trPr>
          <w:cantSplit/>
        </w:trPr>
        <w:tc>
          <w:tcPr>
            <w:tcW w:type="dxa" w:w="907"/>
            <w:shd w:fill="F6F8FB"/>
            <w:vAlign w:val="center"/>
            <w:tcBorders>
              <w:bottom w:val="single" w:sz="4" w:color="D8E1EC"/>
            </w:tcBorders>
          </w:tcPr>
          <w:p>
            <w:pPr>
              <w:spacing w:after="30" w:before="30"/>
            </w:pPr>
            <w:r>
              <w:rPr>
                <w:color w:val="182230"/>
                <w:sz w:val="15"/>
              </w:rPr>
              <w:t>4</w:t>
            </w:r>
          </w:p>
        </w:tc>
        <w:tc>
          <w:tcPr>
            <w:tcW w:type="dxa" w:w="1928"/>
            <w:shd w:fill="F6F8FB"/>
            <w:vAlign w:val="center"/>
            <w:tcBorders>
              <w:bottom w:val="single" w:sz="4" w:color="D8E1EC"/>
            </w:tcBorders>
          </w:tcPr>
          <w:p>
            <w:pPr>
              <w:spacing w:after="30" w:before="30"/>
            </w:pPr>
            <w:r>
              <w:rPr>
                <w:color w:val="182230"/>
                <w:sz w:val="15"/>
              </w:rPr>
              <w:t>Analogue documenté</w:t>
            </w:r>
          </w:p>
        </w:tc>
        <w:tc>
          <w:tcPr>
            <w:tcW w:type="dxa" w:w="4309"/>
            <w:shd w:fill="F6F8FB"/>
            <w:vAlign w:val="center"/>
            <w:tcBorders>
              <w:bottom w:val="single" w:sz="4" w:color="D8E1EC"/>
            </w:tcBorders>
          </w:tcPr>
          <w:p>
            <w:pPr>
              <w:spacing w:after="30" w:before="30"/>
            </w:pPr>
            <w:r>
              <w:rPr>
                <w:color w:val="182230"/>
                <w:sz w:val="15"/>
              </w:rPr>
              <w:t>Score de correspondance &gt;= 85/100</w:t>
            </w:r>
          </w:p>
        </w:tc>
        <w:tc>
          <w:tcPr>
            <w:tcW w:type="dxa" w:w="2154"/>
            <w:shd w:fill="F6F8FB"/>
            <w:vAlign w:val="center"/>
            <w:tcBorders>
              <w:bottom w:val="single" w:sz="4" w:color="D8E1EC"/>
            </w:tcBorders>
          </w:tcPr>
          <w:p>
            <w:pPr>
              <w:spacing w:after="30" w:before="30"/>
            </w:pPr>
            <w:r>
              <w:rPr>
                <w:color w:val="182230"/>
                <w:sz w:val="15"/>
              </w:rPr>
              <w:t>Présélection avec pénalité de transfert</w:t>
            </w:r>
          </w:p>
        </w:tc>
      </w:tr>
      <w:tr>
        <w:trPr>
          <w:cantSplit/>
        </w:trPr>
        <w:tc>
          <w:tcPr>
            <w:tcW w:type="dxa" w:w="907"/>
            <w:vAlign w:val="center"/>
            <w:tcBorders>
              <w:bottom w:val="single" w:sz="4" w:color="D8E1EC"/>
            </w:tcBorders>
          </w:tcPr>
          <w:p>
            <w:pPr>
              <w:spacing w:after="30" w:before="30"/>
            </w:pPr>
            <w:r>
              <w:rPr>
                <w:color w:val="182230"/>
                <w:sz w:val="15"/>
              </w:rPr>
              <w:t>5</w:t>
            </w:r>
          </w:p>
        </w:tc>
        <w:tc>
          <w:tcPr>
            <w:tcW w:type="dxa" w:w="1928"/>
            <w:vAlign w:val="center"/>
            <w:tcBorders>
              <w:bottom w:val="single" w:sz="4" w:color="D8E1EC"/>
            </w:tcBorders>
          </w:tcPr>
          <w:p>
            <w:pPr>
              <w:spacing w:after="30" w:before="30"/>
            </w:pPr>
            <w:r>
              <w:rPr>
                <w:color w:val="182230"/>
                <w:sz w:val="15"/>
              </w:rPr>
              <w:t>Modèle par mécanismes</w:t>
            </w:r>
          </w:p>
        </w:tc>
        <w:tc>
          <w:tcPr>
            <w:tcW w:type="dxa" w:w="4309"/>
            <w:vAlign w:val="center"/>
            <w:tcBorders>
              <w:bottom w:val="single" w:sz="4" w:color="D8E1EC"/>
            </w:tcBorders>
          </w:tcPr>
          <w:p>
            <w:pPr>
              <w:spacing w:after="30" w:before="30"/>
            </w:pPr>
            <w:r>
              <w:rPr>
                <w:color w:val="182230"/>
                <w:sz w:val="15"/>
              </w:rPr>
              <w:t>Coefficients sourcés et domaine cohérent</w:t>
            </w:r>
          </w:p>
        </w:tc>
        <w:tc>
          <w:tcPr>
            <w:tcW w:type="dxa" w:w="2154"/>
            <w:vAlign w:val="center"/>
            <w:tcBorders>
              <w:bottom w:val="single" w:sz="4" w:color="D8E1EC"/>
            </w:tcBorders>
          </w:tcPr>
          <w:p>
            <w:pPr>
              <w:spacing w:after="30" w:before="30"/>
            </w:pPr>
            <w:r>
              <w:rPr>
                <w:color w:val="182230"/>
                <w:sz w:val="15"/>
              </w:rPr>
              <w:t>Projection prospective paramétrée</w:t>
            </w:r>
          </w:p>
        </w:tc>
      </w:tr>
    </w:tbl>
    <w:p>
      <w:pPr>
        <w:spacing w:after="0"/>
      </w:pPr>
    </w:p>
    <w:p>
      <w:pPr>
        <w:pStyle w:val="Heading2"/>
        <w:keepNext/>
      </w:pPr>
      <w:r>
        <w:t>3.2 Niveaux de preuve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757"/>
            <w:shd w:fill="17365D"/>
            <w:vAlign w:val="center"/>
            <w:tcBorders>
              <w:bottom w:val="single" w:sz="5" w:color="FFFFFF"/>
            </w:tcBorders>
          </w:tcPr>
          <w:p>
            <w:pPr>
              <w:jc w:val="left"/>
            </w:pPr>
            <w:r>
              <w:rPr>
                <w:b/>
                <w:color w:val="FFFFFF"/>
                <w:sz w:val="16"/>
              </w:rPr>
              <w:t>Niveau</w:t>
            </w:r>
          </w:p>
        </w:tc>
        <w:tc>
          <w:tcPr>
            <w:tcW w:type="dxa" w:w="4309"/>
            <w:shd w:fill="17365D"/>
            <w:vAlign w:val="center"/>
            <w:tcBorders>
              <w:bottom w:val="single" w:sz="5" w:color="FFFFFF"/>
            </w:tcBorders>
          </w:tcPr>
          <w:p>
            <w:pPr>
              <w:jc w:val="left"/>
            </w:pPr>
            <w:r>
              <w:rPr>
                <w:b/>
                <w:color w:val="FFFFFF"/>
                <w:sz w:val="16"/>
              </w:rPr>
              <w:t>Définition</w:t>
            </w:r>
          </w:p>
        </w:tc>
        <w:tc>
          <w:tcPr>
            <w:tcW w:type="dxa" w:w="3231"/>
            <w:shd w:fill="17365D"/>
            <w:vAlign w:val="center"/>
            <w:tcBorders>
              <w:bottom w:val="single" w:sz="5" w:color="FFFFFF"/>
            </w:tcBorders>
          </w:tcPr>
          <w:p>
            <w:pPr>
              <w:jc w:val="left"/>
            </w:pPr>
            <w:r>
              <w:rPr>
                <w:b/>
                <w:color w:val="FFFFFF"/>
                <w:sz w:val="16"/>
              </w:rPr>
              <w:t>Usage autorisé</w:t>
            </w:r>
          </w:p>
        </w:tc>
      </w:tr>
      <w:tr>
        <w:trPr>
          <w:cantSplit/>
        </w:trPr>
        <w:tc>
          <w:tcPr>
            <w:tcW w:type="dxa" w:w="1757"/>
            <w:vAlign w:val="center"/>
            <w:tcBorders>
              <w:bottom w:val="single" w:sz="4" w:color="D8E1EC"/>
            </w:tcBorders>
          </w:tcPr>
          <w:p>
            <w:pPr>
              <w:spacing w:after="30" w:before="30"/>
            </w:pPr>
            <w:r>
              <w:rPr>
                <w:color w:val="182230"/>
                <w:sz w:val="16"/>
              </w:rPr>
              <w:t>1 - documentaire</w:t>
            </w:r>
          </w:p>
        </w:tc>
        <w:tc>
          <w:tcPr>
            <w:tcW w:type="dxa" w:w="4309"/>
            <w:vAlign w:val="center"/>
            <w:tcBorders>
              <w:bottom w:val="single" w:sz="4" w:color="D8E1EC"/>
            </w:tcBorders>
          </w:tcPr>
          <w:p>
            <w:pPr>
              <w:spacing w:after="30" w:before="30"/>
            </w:pPr>
            <w:r>
              <w:rPr>
                <w:color w:val="182230"/>
                <w:sz w:val="16"/>
              </w:rPr>
              <w:t>Famille ou analogue ; pas de validation du grade</w:t>
            </w:r>
          </w:p>
        </w:tc>
        <w:tc>
          <w:tcPr>
            <w:tcW w:type="dxa" w:w="3231"/>
            <w:vAlign w:val="center"/>
            <w:tcBorders>
              <w:bottom w:val="single" w:sz="4" w:color="D8E1EC"/>
            </w:tcBorders>
          </w:tcPr>
          <w:p>
            <w:pPr>
              <w:spacing w:after="30" w:before="30"/>
            </w:pPr>
            <w:r>
              <w:rPr>
                <w:color w:val="182230"/>
                <w:sz w:val="16"/>
              </w:rPr>
              <w:t>Compréhension et préparation d'essais</w:t>
            </w:r>
          </w:p>
        </w:tc>
      </w:tr>
      <w:tr>
        <w:trPr>
          <w:cantSplit/>
        </w:trPr>
        <w:tc>
          <w:tcPr>
            <w:tcW w:type="dxa" w:w="1757"/>
            <w:shd w:fill="F6F8FB"/>
            <w:vAlign w:val="center"/>
            <w:tcBorders>
              <w:bottom w:val="single" w:sz="4" w:color="D8E1EC"/>
            </w:tcBorders>
          </w:tcPr>
          <w:p>
            <w:pPr>
              <w:spacing w:after="30" w:before="30"/>
            </w:pPr>
            <w:r>
              <w:rPr>
                <w:color w:val="182230"/>
                <w:sz w:val="16"/>
              </w:rPr>
              <w:t>2 - calibré</w:t>
            </w:r>
          </w:p>
        </w:tc>
        <w:tc>
          <w:tcPr>
            <w:tcW w:type="dxa" w:w="4309"/>
            <w:shd w:fill="F6F8FB"/>
            <w:vAlign w:val="center"/>
            <w:tcBorders>
              <w:bottom w:val="single" w:sz="4" w:color="D8E1EC"/>
            </w:tcBorders>
          </w:tcPr>
          <w:p>
            <w:pPr>
              <w:spacing w:after="30" w:before="30"/>
            </w:pPr>
            <w:r>
              <w:rPr>
                <w:color w:val="182230"/>
                <w:sz w:val="16"/>
              </w:rPr>
              <w:t>Séries du même grade utilisées pour l'ajustement</w:t>
            </w:r>
          </w:p>
        </w:tc>
        <w:tc>
          <w:tcPr>
            <w:tcW w:type="dxa" w:w="3231"/>
            <w:shd w:fill="F6F8FB"/>
            <w:vAlign w:val="center"/>
            <w:tcBorders>
              <w:bottom w:val="single" w:sz="4" w:color="D8E1EC"/>
            </w:tcBorders>
          </w:tcPr>
          <w:p>
            <w:pPr>
              <w:spacing w:after="30" w:before="30"/>
            </w:pPr>
            <w:r>
              <w:rPr>
                <w:color w:val="182230"/>
                <w:sz w:val="16"/>
              </w:rPr>
              <w:t>Interpolation dans le domaine observé</w:t>
            </w:r>
          </w:p>
        </w:tc>
      </w:tr>
      <w:tr>
        <w:trPr>
          <w:cantSplit/>
        </w:trPr>
        <w:tc>
          <w:tcPr>
            <w:tcW w:type="dxa" w:w="1757"/>
            <w:vAlign w:val="center"/>
            <w:tcBorders>
              <w:bottom w:val="single" w:sz="4" w:color="D8E1EC"/>
            </w:tcBorders>
          </w:tcPr>
          <w:p>
            <w:pPr>
              <w:spacing w:after="30" w:before="30"/>
            </w:pPr>
            <w:r>
              <w:rPr>
                <w:color w:val="182230"/>
                <w:sz w:val="16"/>
              </w:rPr>
              <w:t>3 - validé externe</w:t>
            </w:r>
          </w:p>
        </w:tc>
        <w:tc>
          <w:tcPr>
            <w:tcW w:type="dxa" w:w="4309"/>
            <w:vAlign w:val="center"/>
            <w:tcBorders>
              <w:bottom w:val="single" w:sz="4" w:color="D8E1EC"/>
            </w:tcBorders>
          </w:tcPr>
          <w:p>
            <w:pPr>
              <w:spacing w:after="30" w:before="30"/>
            </w:pPr>
            <w:r>
              <w:rPr>
                <w:color w:val="182230"/>
                <w:sz w:val="16"/>
              </w:rPr>
              <w:t>Publication/laboratoire indépendant laissé hors calcul</w:t>
            </w:r>
          </w:p>
        </w:tc>
        <w:tc>
          <w:tcPr>
            <w:tcW w:type="dxa" w:w="3231"/>
            <w:vAlign w:val="center"/>
            <w:tcBorders>
              <w:bottom w:val="single" w:sz="4" w:color="D8E1EC"/>
            </w:tcBorders>
          </w:tcPr>
          <w:p>
            <w:pPr>
              <w:spacing w:after="30" w:before="30"/>
            </w:pPr>
            <w:r>
              <w:rPr>
                <w:color w:val="182230"/>
                <w:sz w:val="16"/>
              </w:rPr>
              <w:t>Prédiction dans le domaine validé</w:t>
            </w:r>
          </w:p>
        </w:tc>
      </w:tr>
      <w:tr>
        <w:trPr>
          <w:cantSplit/>
        </w:trPr>
        <w:tc>
          <w:tcPr>
            <w:tcW w:type="dxa" w:w="1757"/>
            <w:shd w:fill="F6F8FB"/>
            <w:vAlign w:val="center"/>
            <w:tcBorders>
              <w:bottom w:val="single" w:sz="4" w:color="D8E1EC"/>
            </w:tcBorders>
          </w:tcPr>
          <w:p>
            <w:pPr>
              <w:spacing w:after="30" w:before="30"/>
            </w:pPr>
            <w:r>
              <w:rPr>
                <w:color w:val="182230"/>
                <w:sz w:val="16"/>
              </w:rPr>
              <w:t>4 - qualifié</w:t>
            </w:r>
          </w:p>
        </w:tc>
        <w:tc>
          <w:tcPr>
            <w:tcW w:type="dxa" w:w="4309"/>
            <w:shd w:fill="F6F8FB"/>
            <w:vAlign w:val="center"/>
            <w:tcBorders>
              <w:bottom w:val="single" w:sz="4" w:color="D8E1EC"/>
            </w:tcBorders>
          </w:tcPr>
          <w:p>
            <w:pPr>
              <w:spacing w:after="30" w:before="30"/>
            </w:pPr>
            <w:r>
              <w:rPr>
                <w:color w:val="182230"/>
                <w:sz w:val="16"/>
              </w:rPr>
              <w:t>Protocole et critères approuvés par l'établissement</w:t>
            </w:r>
          </w:p>
        </w:tc>
        <w:tc>
          <w:tcPr>
            <w:tcW w:type="dxa" w:w="3231"/>
            <w:shd w:fill="F6F8FB"/>
            <w:vAlign w:val="center"/>
            <w:tcBorders>
              <w:bottom w:val="single" w:sz="4" w:color="D8E1EC"/>
            </w:tcBorders>
          </w:tcPr>
          <w:p>
            <w:pPr>
              <w:spacing w:after="30" w:before="30"/>
            </w:pPr>
            <w:r>
              <w:rPr>
                <w:color w:val="182230"/>
                <w:sz w:val="16"/>
              </w:rPr>
              <w:t>Décision selon la procédure de qualification</w:t>
            </w:r>
          </w:p>
        </w:tc>
      </w:tr>
    </w:tbl>
    <w:p>
      <w:pPr>
        <w:spacing w:after="0"/>
      </w:pPr>
    </w:p>
    <w:p>
      <w:pPr>
        <w:pStyle w:val="Heading2"/>
        <w:keepNext/>
      </w:pPr>
      <w:r>
        <w:t>3.3 Technologies</w:t>
      </w:r>
    </w:p>
    <w:p>
      <w:r>
        <w:rPr>
          <w:i w:val="0"/>
        </w:rPr>
        <w:t>L'application est développée en Python. NumPy/SciPy portent les calculs, PCHIP évite les oscillations d'interpolation, NiceGUI construit l'interface et Plotly affiche les courbes. SQLite conserve matériaux, séries et projets. Les exports Excel, PDF, Markdown et JSON embarquent les paramètres, la version et l'empreinte du résultat.</w:t>
      </w:r>
    </w:p>
    <w:p>
      <w:pPr>
        <w:pStyle w:val="Heading2"/>
        <w:keepNext/>
      </w:pPr>
      <w:r>
        <w:t>3.4 Couverture universelle par experts de famille</w:t>
      </w:r>
    </w:p>
    <w:p>
      <w:pPr>
        <w:keepNext/>
        <w:jc w:val="center"/>
      </w:pPr>
      <w:r>
        <w:drawing>
          <wp:inline xmlns:a="http://schemas.openxmlformats.org/drawingml/2006/main" xmlns:pic="http://schemas.openxmlformats.org/drawingml/2006/picture">
            <wp:extent cx="5544000" cy="2945250"/>
            <wp:docPr id="3" name="Picture 3"/>
            <wp:cNvGraphicFramePr>
              <a:graphicFrameLocks noChangeAspect="1"/>
            </wp:cNvGraphicFramePr>
            <a:graphic>
              <a:graphicData uri="http://schemas.openxmlformats.org/drawingml/2006/picture">
                <pic:pic>
                  <pic:nvPicPr>
                    <pic:cNvPr id="0" name="catalog_families.png"/>
                    <pic:cNvPicPr/>
                  </pic:nvPicPr>
                  <pic:blipFill>
                    <a:blip r:embed="rId12"/>
                    <a:stretch>
                      <a:fillRect/>
                    </a:stretch>
                  </pic:blipFill>
                  <pic:spPr>
                    <a:xfrm>
                      <a:off x="0" y="0"/>
                      <a:ext cx="5544000" cy="2945250"/>
                    </a:xfrm>
                    <a:prstGeom prst="rect"/>
                  </pic:spPr>
                </pic:pic>
              </a:graphicData>
            </a:graphic>
          </wp:inline>
        </w:drawing>
      </w:r>
    </w:p>
    <w:p>
      <w:pPr>
        <w:pStyle w:val="Caption"/>
        <w:keepLines/>
      </w:pPr>
      <w:r>
        <w:t>Figure 3 - Répartition des 75 fiches entre les six experts du modèle par mécanismes. Cette couverture est taxonomique, pas prédictive.</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757"/>
            <w:shd w:fill="17365D"/>
            <w:vAlign w:val="center"/>
            <w:tcBorders>
              <w:bottom w:val="single" w:sz="5" w:color="FFFFFF"/>
            </w:tcBorders>
          </w:tcPr>
          <w:p>
            <w:pPr>
              <w:jc w:val="left"/>
            </w:pPr>
            <w:r>
              <w:rPr>
                <w:b/>
                <w:color w:val="FFFFFF"/>
                <w:sz w:val="14"/>
              </w:rPr>
              <w:t>Expert</w:t>
            </w:r>
          </w:p>
        </w:tc>
        <w:tc>
          <w:tcPr>
            <w:tcW w:type="dxa" w:w="2268"/>
            <w:shd w:fill="17365D"/>
            <w:vAlign w:val="center"/>
            <w:tcBorders>
              <w:bottom w:val="single" w:sz="5" w:color="FFFFFF"/>
            </w:tcBorders>
          </w:tcPr>
          <w:p>
            <w:pPr>
              <w:jc w:val="left"/>
            </w:pPr>
            <w:r>
              <w:rPr>
                <w:b/>
                <w:color w:val="FFFFFF"/>
                <w:sz w:val="14"/>
              </w:rPr>
              <w:t>Matériaux typiques</w:t>
            </w:r>
          </w:p>
        </w:tc>
        <w:tc>
          <w:tcPr>
            <w:tcW w:type="dxa" w:w="3005"/>
            <w:shd w:fill="17365D"/>
            <w:vAlign w:val="center"/>
            <w:tcBorders>
              <w:bottom w:val="single" w:sz="5" w:color="FFFFFF"/>
            </w:tcBorders>
          </w:tcPr>
          <w:p>
            <w:pPr>
              <w:jc w:val="left"/>
            </w:pPr>
            <w:r>
              <w:rPr>
                <w:b/>
                <w:color w:val="FFFFFF"/>
                <w:sz w:val="14"/>
              </w:rPr>
              <w:t>Mécanismes proposés</w:t>
            </w:r>
          </w:p>
        </w:tc>
        <w:tc>
          <w:tcPr>
            <w:tcW w:type="dxa" w:w="2268"/>
            <w:shd w:fill="17365D"/>
            <w:vAlign w:val="center"/>
            <w:tcBorders>
              <w:bottom w:val="single" w:sz="5" w:color="FFFFFF"/>
            </w:tcBorders>
          </w:tcPr>
          <w:p>
            <w:pPr>
              <w:jc w:val="left"/>
            </w:pPr>
            <w:r>
              <w:rPr>
                <w:b/>
                <w:color w:val="FFFFFF"/>
                <w:sz w:val="14"/>
              </w:rPr>
              <w:t>Paramètres indispensables</w:t>
            </w:r>
          </w:p>
        </w:tc>
      </w:tr>
      <w:tr>
        <w:trPr>
          <w:cantSplit/>
        </w:trPr>
        <w:tc>
          <w:tcPr>
            <w:tcW w:type="dxa" w:w="1757"/>
            <w:vAlign w:val="center"/>
            <w:tcBorders>
              <w:bottom w:val="single" w:sz="4" w:color="D8E1EC"/>
            </w:tcBorders>
          </w:tcPr>
          <w:p>
            <w:pPr>
              <w:spacing w:after="30" w:before="30"/>
            </w:pPr>
            <w:r>
              <w:rPr>
                <w:color w:val="182230"/>
                <w:sz w:val="14"/>
              </w:rPr>
              <w:t>Thermoplastiques</w:t>
            </w:r>
          </w:p>
        </w:tc>
        <w:tc>
          <w:tcPr>
            <w:tcW w:type="dxa" w:w="2268"/>
            <w:vAlign w:val="center"/>
            <w:tcBorders>
              <w:bottom w:val="single" w:sz="4" w:color="D8E1EC"/>
            </w:tcBorders>
          </w:tcPr>
          <w:p>
            <w:pPr>
              <w:spacing w:after="30" w:before="30"/>
            </w:pPr>
            <w:r>
              <w:rPr>
                <w:color w:val="182230"/>
                <w:sz w:val="14"/>
              </w:rPr>
              <w:t>PP, PE, ABS, PMMA, PVC, PC, POM</w:t>
            </w:r>
          </w:p>
        </w:tc>
        <w:tc>
          <w:tcPr>
            <w:tcW w:type="dxa" w:w="3005"/>
            <w:vAlign w:val="center"/>
            <w:tcBorders>
              <w:bottom w:val="single" w:sz="4" w:color="D8E1EC"/>
            </w:tcBorders>
          </w:tcPr>
          <w:p>
            <w:pPr>
              <w:spacing w:after="30" w:before="30"/>
            </w:pPr>
            <w:r>
              <w:rPr>
                <w:color w:val="182230"/>
                <w:sz w:val="14"/>
              </w:rPr>
              <w:t>Thermique, UV, rigidification</w:t>
            </w:r>
          </w:p>
        </w:tc>
        <w:tc>
          <w:tcPr>
            <w:tcW w:type="dxa" w:w="2268"/>
            <w:vAlign w:val="center"/>
            <w:tcBorders>
              <w:bottom w:val="single" w:sz="4" w:color="D8E1EC"/>
            </w:tcBorders>
          </w:tcPr>
          <w:p>
            <w:pPr>
              <w:spacing w:after="30" w:before="30"/>
            </w:pPr>
            <w:r>
              <w:rPr>
                <w:color w:val="182230"/>
                <w:sz w:val="14"/>
              </w:rPr>
              <w:t>k, Eₐ, irradiance, stabilisation</w:t>
            </w:r>
          </w:p>
        </w:tc>
      </w:tr>
      <w:tr>
        <w:trPr>
          <w:cantSplit/>
        </w:trPr>
        <w:tc>
          <w:tcPr>
            <w:tcW w:type="dxa" w:w="1757"/>
            <w:shd w:fill="F6F8FB"/>
            <w:vAlign w:val="center"/>
            <w:tcBorders>
              <w:bottom w:val="single" w:sz="4" w:color="D8E1EC"/>
            </w:tcBorders>
          </w:tcPr>
          <w:p>
            <w:pPr>
              <w:spacing w:after="30" w:before="30"/>
            </w:pPr>
            <w:r>
              <w:rPr>
                <w:color w:val="182230"/>
                <w:sz w:val="14"/>
              </w:rPr>
              <w:t>Sensibles à l'eau</w:t>
            </w:r>
          </w:p>
        </w:tc>
        <w:tc>
          <w:tcPr>
            <w:tcW w:type="dxa" w:w="2268"/>
            <w:shd w:fill="F6F8FB"/>
            <w:vAlign w:val="center"/>
            <w:tcBorders>
              <w:bottom w:val="single" w:sz="4" w:color="D8E1EC"/>
            </w:tcBorders>
          </w:tcPr>
          <w:p>
            <w:pPr>
              <w:spacing w:after="30" w:before="30"/>
            </w:pPr>
            <w:r>
              <w:rPr>
                <w:color w:val="182230"/>
                <w:sz w:val="14"/>
              </w:rPr>
              <w:t>PA, PET/PBT, PLA/PBS, PUR/TPU</w:t>
            </w:r>
          </w:p>
        </w:tc>
        <w:tc>
          <w:tcPr>
            <w:tcW w:type="dxa" w:w="3005"/>
            <w:shd w:fill="F6F8FB"/>
            <w:vAlign w:val="center"/>
            <w:tcBorders>
              <w:bottom w:val="single" w:sz="4" w:color="D8E1EC"/>
            </w:tcBorders>
          </w:tcPr>
          <w:p>
            <w:pPr>
              <w:spacing w:after="30" w:before="30"/>
            </w:pPr>
            <w:r>
              <w:rPr>
                <w:color w:val="182230"/>
                <w:sz w:val="14"/>
              </w:rPr>
              <w:t>Diffusion, hydrolyse, plastification</w:t>
            </w:r>
          </w:p>
        </w:tc>
        <w:tc>
          <w:tcPr>
            <w:tcW w:type="dxa" w:w="2268"/>
            <w:shd w:fill="F6F8FB"/>
            <w:vAlign w:val="center"/>
            <w:tcBorders>
              <w:bottom w:val="single" w:sz="4" w:color="D8E1EC"/>
            </w:tcBorders>
          </w:tcPr>
          <w:p>
            <w:pPr>
              <w:spacing w:after="30" w:before="30"/>
            </w:pPr>
            <w:r>
              <w:rPr>
                <w:color w:val="182230"/>
                <w:sz w:val="14"/>
              </w:rPr>
              <w:t>D, e, activité, k_hyd, Eₐ</w:t>
            </w:r>
          </w:p>
        </w:tc>
      </w:tr>
      <w:tr>
        <w:trPr>
          <w:cantSplit/>
        </w:trPr>
        <w:tc>
          <w:tcPr>
            <w:tcW w:type="dxa" w:w="1757"/>
            <w:vAlign w:val="center"/>
            <w:tcBorders>
              <w:bottom w:val="single" w:sz="4" w:color="D8E1EC"/>
            </w:tcBorders>
          </w:tcPr>
          <w:p>
            <w:pPr>
              <w:spacing w:after="30" w:before="30"/>
            </w:pPr>
            <w:r>
              <w:rPr>
                <w:color w:val="182230"/>
                <w:sz w:val="14"/>
              </w:rPr>
              <w:t>Réseaux thermodurcis</w:t>
            </w:r>
          </w:p>
        </w:tc>
        <w:tc>
          <w:tcPr>
            <w:tcW w:type="dxa" w:w="2268"/>
            <w:vAlign w:val="center"/>
            <w:tcBorders>
              <w:bottom w:val="single" w:sz="4" w:color="D8E1EC"/>
            </w:tcBorders>
          </w:tcPr>
          <w:p>
            <w:pPr>
              <w:spacing w:after="30" w:before="30"/>
            </w:pPr>
            <w:r>
              <w:rPr>
                <w:color w:val="182230"/>
                <w:sz w:val="14"/>
              </w:rPr>
              <w:t>Époxy, vinylester, polyester, phénolique</w:t>
            </w:r>
          </w:p>
        </w:tc>
        <w:tc>
          <w:tcPr>
            <w:tcW w:type="dxa" w:w="3005"/>
            <w:vAlign w:val="center"/>
            <w:tcBorders>
              <w:bottom w:val="single" w:sz="4" w:color="D8E1EC"/>
            </w:tcBorders>
          </w:tcPr>
          <w:p>
            <w:pPr>
              <w:spacing w:after="30" w:before="30"/>
            </w:pPr>
            <w:r>
              <w:rPr>
                <w:color w:val="182230"/>
                <w:sz w:val="14"/>
              </w:rPr>
              <w:t>Plastification, hydrolyse, post-réticulation</w:t>
            </w:r>
          </w:p>
        </w:tc>
        <w:tc>
          <w:tcPr>
            <w:tcW w:type="dxa" w:w="2268"/>
            <w:vAlign w:val="center"/>
            <w:tcBorders>
              <w:bottom w:val="single" w:sz="4" w:color="D8E1EC"/>
            </w:tcBorders>
          </w:tcPr>
          <w:p>
            <w:pPr>
              <w:spacing w:after="30" w:before="30"/>
            </w:pPr>
            <w:r>
              <w:rPr>
                <w:color w:val="182230"/>
                <w:sz w:val="14"/>
              </w:rPr>
              <w:t>D, cure, Tg, fraction résistante</w:t>
            </w:r>
          </w:p>
        </w:tc>
      </w:tr>
      <w:tr>
        <w:trPr>
          <w:cantSplit/>
        </w:trPr>
        <w:tc>
          <w:tcPr>
            <w:tcW w:type="dxa" w:w="1757"/>
            <w:shd w:fill="F6F8FB"/>
            <w:vAlign w:val="center"/>
            <w:tcBorders>
              <w:bottom w:val="single" w:sz="4" w:color="D8E1EC"/>
            </w:tcBorders>
          </w:tcPr>
          <w:p>
            <w:pPr>
              <w:spacing w:after="30" w:before="30"/>
            </w:pPr>
            <w:r>
              <w:rPr>
                <w:color w:val="182230"/>
                <w:sz w:val="14"/>
              </w:rPr>
              <w:t>Élastomères</w:t>
            </w:r>
          </w:p>
        </w:tc>
        <w:tc>
          <w:tcPr>
            <w:tcW w:type="dxa" w:w="2268"/>
            <w:shd w:fill="F6F8FB"/>
            <w:vAlign w:val="center"/>
            <w:tcBorders>
              <w:bottom w:val="single" w:sz="4" w:color="D8E1EC"/>
            </w:tcBorders>
          </w:tcPr>
          <w:p>
            <w:pPr>
              <w:spacing w:after="30" w:before="30"/>
            </w:pPr>
            <w:r>
              <w:rPr>
                <w:color w:val="182230"/>
                <w:sz w:val="14"/>
              </w:rPr>
              <w:t>IIR, NBR, EPDM, silicone, FKM</w:t>
            </w:r>
          </w:p>
        </w:tc>
        <w:tc>
          <w:tcPr>
            <w:tcW w:type="dxa" w:w="3005"/>
            <w:shd w:fill="F6F8FB"/>
            <w:vAlign w:val="center"/>
            <w:tcBorders>
              <w:bottom w:val="single" w:sz="4" w:color="D8E1EC"/>
            </w:tcBorders>
          </w:tcPr>
          <w:p>
            <w:pPr>
              <w:spacing w:after="30" w:before="30"/>
            </w:pPr>
            <w:r>
              <w:rPr>
                <w:color w:val="182230"/>
                <w:sz w:val="14"/>
              </w:rPr>
              <w:t>Gonflement, réticulation/scission, UV</w:t>
            </w:r>
          </w:p>
        </w:tc>
        <w:tc>
          <w:tcPr>
            <w:tcW w:type="dxa" w:w="2268"/>
            <w:shd w:fill="F6F8FB"/>
            <w:vAlign w:val="center"/>
            <w:tcBorders>
              <w:bottom w:val="single" w:sz="4" w:color="D8E1EC"/>
            </w:tcBorders>
          </w:tcPr>
          <w:p>
            <w:pPr>
              <w:spacing w:after="30" w:before="30"/>
            </w:pPr>
            <w:r>
              <w:rPr>
                <w:color w:val="182230"/>
                <w:sz w:val="14"/>
              </w:rPr>
              <w:t>liquide, taux de charge, k, Eₐ</w:t>
            </w:r>
          </w:p>
        </w:tc>
      </w:tr>
      <w:tr>
        <w:trPr>
          <w:cantSplit/>
        </w:trPr>
        <w:tc>
          <w:tcPr>
            <w:tcW w:type="dxa" w:w="1757"/>
            <w:vAlign w:val="center"/>
            <w:tcBorders>
              <w:bottom w:val="single" w:sz="4" w:color="D8E1EC"/>
            </w:tcBorders>
          </w:tcPr>
          <w:p>
            <w:pPr>
              <w:spacing w:after="30" w:before="30"/>
            </w:pPr>
            <w:r>
              <w:rPr>
                <w:color w:val="182230"/>
                <w:sz w:val="14"/>
              </w:rPr>
              <w:t>Composites</w:t>
            </w:r>
          </w:p>
        </w:tc>
        <w:tc>
          <w:tcPr>
            <w:tcW w:type="dxa" w:w="2268"/>
            <w:vAlign w:val="center"/>
            <w:tcBorders>
              <w:bottom w:val="single" w:sz="4" w:color="D8E1EC"/>
            </w:tcBorders>
          </w:tcPr>
          <w:p>
            <w:pPr>
              <w:spacing w:after="30" w:before="30"/>
            </w:pPr>
            <w:r>
              <w:rPr>
                <w:color w:val="182230"/>
                <w:sz w:val="14"/>
              </w:rPr>
              <w:t>Lin/époxy</w:t>
            </w:r>
          </w:p>
        </w:tc>
        <w:tc>
          <w:tcPr>
            <w:tcW w:type="dxa" w:w="3005"/>
            <w:vAlign w:val="center"/>
            <w:tcBorders>
              <w:bottom w:val="single" w:sz="4" w:color="D8E1EC"/>
            </w:tcBorders>
          </w:tcPr>
          <w:p>
            <w:pPr>
              <w:spacing w:after="30" w:before="30"/>
            </w:pPr>
            <w:r>
              <w:rPr>
                <w:color w:val="182230"/>
                <w:sz w:val="14"/>
              </w:rPr>
              <w:t>Matrice, fibres, interface, diffusion effective</w:t>
            </w:r>
          </w:p>
        </w:tc>
        <w:tc>
          <w:tcPr>
            <w:tcW w:type="dxa" w:w="2268"/>
            <w:vAlign w:val="center"/>
            <w:tcBorders>
              <w:bottom w:val="single" w:sz="4" w:color="D8E1EC"/>
            </w:tcBorders>
          </w:tcPr>
          <w:p>
            <w:pPr>
              <w:spacing w:after="30" w:before="30"/>
            </w:pPr>
            <w:r>
              <w:rPr>
                <w:color w:val="182230"/>
                <w:sz w:val="14"/>
              </w:rPr>
              <w:t>orientation, fraction, porosité, D_effectif</w:t>
            </w:r>
          </w:p>
        </w:tc>
      </w:tr>
      <w:tr>
        <w:trPr>
          <w:cantSplit/>
        </w:trPr>
        <w:tc>
          <w:tcPr>
            <w:tcW w:type="dxa" w:w="1757"/>
            <w:shd w:fill="F6F8FB"/>
            <w:vAlign w:val="center"/>
            <w:tcBorders>
              <w:bottom w:val="single" w:sz="4" w:color="D8E1EC"/>
            </w:tcBorders>
          </w:tcPr>
          <w:p>
            <w:pPr>
              <w:spacing w:after="30" w:before="30"/>
            </w:pPr>
            <w:r>
              <w:rPr>
                <w:color w:val="182230"/>
                <w:sz w:val="14"/>
              </w:rPr>
              <w:t>Haute stabilité</w:t>
            </w:r>
          </w:p>
        </w:tc>
        <w:tc>
          <w:tcPr>
            <w:tcW w:type="dxa" w:w="2268"/>
            <w:shd w:fill="F6F8FB"/>
            <w:vAlign w:val="center"/>
            <w:tcBorders>
              <w:bottom w:val="single" w:sz="4" w:color="D8E1EC"/>
            </w:tcBorders>
          </w:tcPr>
          <w:p>
            <w:pPr>
              <w:spacing w:after="30" w:before="30"/>
            </w:pPr>
            <w:r>
              <w:rPr>
                <w:color w:val="182230"/>
                <w:sz w:val="14"/>
              </w:rPr>
              <w:t>PEEK, PPS, PSU, PI, fluoropolymères</w:t>
            </w:r>
          </w:p>
        </w:tc>
        <w:tc>
          <w:tcPr>
            <w:tcW w:type="dxa" w:w="3005"/>
            <w:shd w:fill="F6F8FB"/>
            <w:vAlign w:val="center"/>
            <w:tcBorders>
              <w:bottom w:val="single" w:sz="4" w:color="D8E1EC"/>
            </w:tcBorders>
          </w:tcPr>
          <w:p>
            <w:pPr>
              <w:spacing w:after="30" w:before="30"/>
            </w:pPr>
            <w:r>
              <w:rPr>
                <w:color w:val="182230"/>
                <w:sz w:val="14"/>
              </w:rPr>
              <w:t>Thermique, UV/irradiation</w:t>
            </w:r>
          </w:p>
        </w:tc>
        <w:tc>
          <w:tcPr>
            <w:tcW w:type="dxa" w:w="2268"/>
            <w:shd w:fill="F6F8FB"/>
            <w:vAlign w:val="center"/>
            <w:tcBorders>
              <w:bottom w:val="single" w:sz="4" w:color="D8E1EC"/>
            </w:tcBorders>
          </w:tcPr>
          <w:p>
            <w:pPr>
              <w:spacing w:after="30" w:before="30"/>
            </w:pPr>
            <w:r>
              <w:rPr>
                <w:color w:val="182230"/>
                <w:sz w:val="14"/>
              </w:rPr>
              <w:t>domaine élevé, transitions, oxygène</w:t>
            </w:r>
          </w:p>
        </w:tc>
      </w:tr>
    </w:tbl>
    <w:p>
      <w:pPr>
        <w:spacing w:after="0"/>
      </w:pPr>
    </w:p>
    <w:p>
      <w:r>
        <w:rPr>
          <w:i w:val="0"/>
        </w:rPr>
        <w:t>La famille sélectionne une liste de mécanismes candidats. Elle ne fournit aucun coefficient. Le moteur n'utilise un expert que si les paramètres sont sourcés ou appris sur un corpus compatible. Cette règle permet à tous les matériaux d'entrer dans le même contrat sans prétendre que tous disposent déjà d'une précision mesurée.</w:t>
      </w:r>
    </w:p>
    <w:p>
      <w:pPr>
        <w:pStyle w:val="Heading2"/>
        <w:keepNext/>
      </w:pPr>
      <w:r>
        <w:t>3.5 Nouveau matériau ajouté manuellement</w:t>
      </w:r>
    </w:p>
    <w:p>
      <w:pPr>
        <w:keepNext/>
        <w:jc w:val="center"/>
      </w:pPr>
      <w:r>
        <w:drawing>
          <wp:inline xmlns:a="http://schemas.openxmlformats.org/drawingml/2006/main" xmlns:pic="http://schemas.openxmlformats.org/drawingml/2006/picture">
            <wp:extent cx="5832000" cy="3353400"/>
            <wp:docPr id="4" name="Picture 4"/>
            <wp:cNvGraphicFramePr>
              <a:graphicFrameLocks noChangeAspect="1"/>
            </wp:cNvGraphicFramePr>
            <a:graphic>
              <a:graphicData uri="http://schemas.openxmlformats.org/drawingml/2006/picture">
                <pic:pic>
                  <pic:nvPicPr>
                    <pic:cNvPr id="0" name="new_material_flow.png"/>
                    <pic:cNvPicPr/>
                  </pic:nvPicPr>
                  <pic:blipFill>
                    <a:blip r:embed="rId13"/>
                    <a:stretch>
                      <a:fillRect/>
                    </a:stretch>
                  </pic:blipFill>
                  <pic:spPr>
                    <a:xfrm>
                      <a:off x="0" y="0"/>
                      <a:ext cx="5832000" cy="3353400"/>
                    </a:xfrm>
                    <a:prstGeom prst="rect"/>
                  </pic:spPr>
                </pic:pic>
              </a:graphicData>
            </a:graphic>
          </wp:inline>
        </w:drawing>
      </w:r>
    </w:p>
    <w:p>
      <w:pPr>
        <w:pStyle w:val="Caption"/>
        <w:keepLines/>
      </w:pPr>
      <w:r>
        <w:t>Figure 4 - Décision appliquée à un nouveau grade sans série de vieillissement fournie par l'utilisateur.</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3458"/>
            <w:shd w:fill="17365D"/>
            <w:vAlign w:val="center"/>
            <w:tcBorders>
              <w:bottom w:val="single" w:sz="5" w:color="FFFFFF"/>
            </w:tcBorders>
          </w:tcPr>
          <w:p>
            <w:pPr>
              <w:jc w:val="left"/>
            </w:pPr>
            <w:r>
              <w:rPr>
                <w:b/>
                <w:color w:val="FFFFFF"/>
                <w:sz w:val="15"/>
              </w:rPr>
              <w:t>Composante du score analogue</w:t>
            </w:r>
          </w:p>
        </w:tc>
        <w:tc>
          <w:tcPr>
            <w:tcW w:type="dxa" w:w="1417"/>
            <w:shd w:fill="17365D"/>
            <w:vAlign w:val="center"/>
            <w:tcBorders>
              <w:bottom w:val="single" w:sz="5" w:color="FFFFFF"/>
            </w:tcBorders>
          </w:tcPr>
          <w:p>
            <w:pPr>
              <w:jc w:val="left"/>
            </w:pPr>
            <w:r>
              <w:rPr>
                <w:b/>
                <w:color w:val="FFFFFF"/>
                <w:sz w:val="15"/>
              </w:rPr>
              <w:t>Poids maximal</w:t>
            </w:r>
          </w:p>
        </w:tc>
        <w:tc>
          <w:tcPr>
            <w:tcW w:type="dxa" w:w="4422"/>
            <w:shd w:fill="17365D"/>
            <w:vAlign w:val="center"/>
            <w:tcBorders>
              <w:bottom w:val="single" w:sz="5" w:color="FFFFFF"/>
            </w:tcBorders>
          </w:tcPr>
          <w:p>
            <w:pPr>
              <w:jc w:val="left"/>
            </w:pPr>
            <w:r>
              <w:rPr>
                <w:b/>
                <w:color w:val="FFFFFF"/>
                <w:sz w:val="15"/>
              </w:rPr>
              <w:t>Interprétation</w:t>
            </w:r>
          </w:p>
        </w:tc>
      </w:tr>
      <w:tr>
        <w:trPr>
          <w:cantSplit/>
        </w:trPr>
        <w:tc>
          <w:tcPr>
            <w:tcW w:type="dxa" w:w="3458"/>
            <w:vAlign w:val="center"/>
            <w:tcBorders>
              <w:bottom w:val="single" w:sz="4" w:color="D8E1EC"/>
            </w:tcBorders>
          </w:tcPr>
          <w:p>
            <w:pPr>
              <w:spacing w:after="30" w:before="30"/>
            </w:pPr>
            <w:r>
              <w:rPr>
                <w:color w:val="182230"/>
                <w:sz w:val="15"/>
              </w:rPr>
              <w:t>Même famille chimique</w:t>
            </w:r>
          </w:p>
        </w:tc>
        <w:tc>
          <w:tcPr>
            <w:tcW w:type="dxa" w:w="1417"/>
            <w:vAlign w:val="center"/>
            <w:tcBorders>
              <w:bottom w:val="single" w:sz="4" w:color="D8E1EC"/>
            </w:tcBorders>
          </w:tcPr>
          <w:p>
            <w:pPr>
              <w:spacing w:after="30" w:before="30"/>
            </w:pPr>
            <w:r>
              <w:rPr>
                <w:color w:val="182230"/>
                <w:sz w:val="15"/>
              </w:rPr>
              <w:t>35</w:t>
            </w:r>
          </w:p>
        </w:tc>
        <w:tc>
          <w:tcPr>
            <w:tcW w:type="dxa" w:w="4422"/>
            <w:vAlign w:val="center"/>
            <w:tcBorders>
              <w:bottom w:val="single" w:sz="4" w:color="D8E1EC"/>
            </w:tcBorders>
          </w:tcPr>
          <w:p>
            <w:pPr>
              <w:spacing w:after="30" w:before="30"/>
            </w:pPr>
            <w:r>
              <w:rPr>
                <w:color w:val="182230"/>
                <w:sz w:val="15"/>
              </w:rPr>
              <w:t>Condition structurante ; correspondance partielle = 15</w:t>
            </w:r>
          </w:p>
        </w:tc>
      </w:tr>
      <w:tr>
        <w:trPr>
          <w:cantSplit/>
        </w:trPr>
        <w:tc>
          <w:tcPr>
            <w:tcW w:type="dxa" w:w="3458"/>
            <w:shd w:fill="F6F8FB"/>
            <w:vAlign w:val="center"/>
            <w:tcBorders>
              <w:bottom w:val="single" w:sz="4" w:color="D8E1EC"/>
            </w:tcBorders>
          </w:tcPr>
          <w:p>
            <w:pPr>
              <w:spacing w:after="30" w:before="30"/>
            </w:pPr>
            <w:r>
              <w:rPr>
                <w:color w:val="182230"/>
                <w:sz w:val="15"/>
              </w:rPr>
              <w:t>Polymère de base concordant</w:t>
            </w:r>
          </w:p>
        </w:tc>
        <w:tc>
          <w:tcPr>
            <w:tcW w:type="dxa" w:w="1417"/>
            <w:shd w:fill="F6F8FB"/>
            <w:vAlign w:val="center"/>
            <w:tcBorders>
              <w:bottom w:val="single" w:sz="4" w:color="D8E1EC"/>
            </w:tcBorders>
          </w:tcPr>
          <w:p>
            <w:pPr>
              <w:spacing w:after="30" w:before="30"/>
            </w:pPr>
            <w:r>
              <w:rPr>
                <w:color w:val="182230"/>
                <w:sz w:val="15"/>
              </w:rPr>
              <w:t>20</w:t>
            </w:r>
          </w:p>
        </w:tc>
        <w:tc>
          <w:tcPr>
            <w:tcW w:type="dxa" w:w="4422"/>
            <w:shd w:fill="F6F8FB"/>
            <w:vAlign w:val="center"/>
            <w:tcBorders>
              <w:bottom w:val="single" w:sz="4" w:color="D8E1EC"/>
            </w:tcBorders>
          </w:tcPr>
          <w:p>
            <w:pPr>
              <w:spacing w:after="30" w:before="30"/>
            </w:pPr>
            <w:r>
              <w:rPr>
                <w:color w:val="182230"/>
                <w:sz w:val="15"/>
              </w:rPr>
              <w:t>Évite de transférer par simple valeur de module</w:t>
            </w:r>
          </w:p>
        </w:tc>
      </w:tr>
      <w:tr>
        <w:trPr>
          <w:cantSplit/>
        </w:trPr>
        <w:tc>
          <w:tcPr>
            <w:tcW w:type="dxa" w:w="3458"/>
            <w:vAlign w:val="center"/>
            <w:tcBorders>
              <w:bottom w:val="single" w:sz="4" w:color="D8E1EC"/>
            </w:tcBorders>
          </w:tcPr>
          <w:p>
            <w:pPr>
              <w:spacing w:after="30" w:before="30"/>
            </w:pPr>
            <w:r>
              <w:rPr>
                <w:color w:val="182230"/>
                <w:sz w:val="15"/>
              </w:rPr>
              <w:t>Mécanismes communs</w:t>
            </w:r>
          </w:p>
        </w:tc>
        <w:tc>
          <w:tcPr>
            <w:tcW w:type="dxa" w:w="1417"/>
            <w:vAlign w:val="center"/>
            <w:tcBorders>
              <w:bottom w:val="single" w:sz="4" w:color="D8E1EC"/>
            </w:tcBorders>
          </w:tcPr>
          <w:p>
            <w:pPr>
              <w:spacing w:after="30" w:before="30"/>
            </w:pPr>
            <w:r>
              <w:rPr>
                <w:color w:val="182230"/>
                <w:sz w:val="15"/>
              </w:rPr>
              <w:t>15</w:t>
            </w:r>
          </w:p>
        </w:tc>
        <w:tc>
          <w:tcPr>
            <w:tcW w:type="dxa" w:w="4422"/>
            <w:vAlign w:val="center"/>
            <w:tcBorders>
              <w:bottom w:val="single" w:sz="4" w:color="D8E1EC"/>
            </w:tcBorders>
          </w:tcPr>
          <w:p>
            <w:pPr>
              <w:spacing w:after="30" w:before="30"/>
            </w:pPr>
            <w:r>
              <w:rPr>
                <w:color w:val="182230"/>
                <w:sz w:val="15"/>
              </w:rPr>
              <w:t>Recouvrement des mécanismes déclarés</w:t>
            </w:r>
          </w:p>
        </w:tc>
      </w:tr>
      <w:tr>
        <w:trPr>
          <w:cantSplit/>
        </w:trPr>
        <w:tc>
          <w:tcPr>
            <w:tcW w:type="dxa" w:w="3458"/>
            <w:shd w:fill="F6F8FB"/>
            <w:vAlign w:val="center"/>
            <w:tcBorders>
              <w:bottom w:val="single" w:sz="4" w:color="D8E1EC"/>
            </w:tcBorders>
          </w:tcPr>
          <w:p>
            <w:pPr>
              <w:spacing w:after="30" w:before="30"/>
            </w:pPr>
            <w:r>
              <w:rPr>
                <w:color w:val="182230"/>
                <w:sz w:val="15"/>
              </w:rPr>
              <w:t>Module initial du même ordre</w:t>
            </w:r>
          </w:p>
        </w:tc>
        <w:tc>
          <w:tcPr>
            <w:tcW w:type="dxa" w:w="1417"/>
            <w:shd w:fill="F6F8FB"/>
            <w:vAlign w:val="center"/>
            <w:tcBorders>
              <w:bottom w:val="single" w:sz="4" w:color="D8E1EC"/>
            </w:tcBorders>
          </w:tcPr>
          <w:p>
            <w:pPr>
              <w:spacing w:after="30" w:before="30"/>
            </w:pPr>
            <w:r>
              <w:rPr>
                <w:color w:val="182230"/>
                <w:sz w:val="15"/>
              </w:rPr>
              <w:t>10</w:t>
            </w:r>
          </w:p>
        </w:tc>
        <w:tc>
          <w:tcPr>
            <w:tcW w:type="dxa" w:w="4422"/>
            <w:shd w:fill="F6F8FB"/>
            <w:vAlign w:val="center"/>
            <w:tcBorders>
              <w:bottom w:val="single" w:sz="4" w:color="D8E1EC"/>
            </w:tcBorders>
          </w:tcPr>
          <w:p>
            <w:pPr>
              <w:spacing w:after="30" w:before="30"/>
            </w:pPr>
            <w:r>
              <w:rPr>
                <w:color w:val="182230"/>
                <w:sz w:val="15"/>
              </w:rPr>
              <w:t>Décroît avec |log(E₀,cible/E₀,source)|</w:t>
            </w:r>
          </w:p>
        </w:tc>
      </w:tr>
      <w:tr>
        <w:trPr>
          <w:cantSplit/>
        </w:trPr>
        <w:tc>
          <w:tcPr>
            <w:tcW w:type="dxa" w:w="3458"/>
            <w:vAlign w:val="center"/>
            <w:tcBorders>
              <w:bottom w:val="single" w:sz="4" w:color="D8E1EC"/>
            </w:tcBorders>
          </w:tcPr>
          <w:p>
            <w:pPr>
              <w:spacing w:after="30" w:before="30"/>
            </w:pPr>
            <w:r>
              <w:rPr>
                <w:color w:val="182230"/>
                <w:sz w:val="15"/>
              </w:rPr>
              <w:t>Procédé ou état retrouvé</w:t>
            </w:r>
          </w:p>
        </w:tc>
        <w:tc>
          <w:tcPr>
            <w:tcW w:type="dxa" w:w="1417"/>
            <w:vAlign w:val="center"/>
            <w:tcBorders>
              <w:bottom w:val="single" w:sz="4" w:color="D8E1EC"/>
            </w:tcBorders>
          </w:tcPr>
          <w:p>
            <w:pPr>
              <w:spacing w:after="30" w:before="30"/>
            </w:pPr>
            <w:r>
              <w:rPr>
                <w:color w:val="182230"/>
                <w:sz w:val="15"/>
              </w:rPr>
              <w:t>5</w:t>
            </w:r>
          </w:p>
        </w:tc>
        <w:tc>
          <w:tcPr>
            <w:tcW w:type="dxa" w:w="4422"/>
            <w:vAlign w:val="center"/>
            <w:tcBorders>
              <w:bottom w:val="single" w:sz="4" w:color="D8E1EC"/>
            </w:tcBorders>
          </w:tcPr>
          <w:p>
            <w:pPr>
              <w:spacing w:after="30" w:before="30"/>
            </w:pPr>
            <w:r>
              <w:rPr>
                <w:color w:val="182230"/>
                <w:sz w:val="15"/>
              </w:rPr>
              <w:t>Injection, extrusion, réticulation, etc.</w:t>
            </w:r>
          </w:p>
        </w:tc>
      </w:tr>
      <w:tr>
        <w:trPr>
          <w:cantSplit/>
        </w:trPr>
        <w:tc>
          <w:tcPr>
            <w:tcW w:type="dxa" w:w="3458"/>
            <w:shd w:fill="F6F8FB"/>
            <w:vAlign w:val="center"/>
            <w:tcBorders>
              <w:bottom w:val="single" w:sz="4" w:color="D8E1EC"/>
            </w:tcBorders>
          </w:tcPr>
          <w:p>
            <w:pPr>
              <w:spacing w:after="30" w:before="30"/>
            </w:pPr>
            <w:r>
              <w:rPr>
                <w:color w:val="182230"/>
                <w:sz w:val="15"/>
              </w:rPr>
              <w:t>Renfort / charge compatible</w:t>
            </w:r>
          </w:p>
        </w:tc>
        <w:tc>
          <w:tcPr>
            <w:tcW w:type="dxa" w:w="1417"/>
            <w:shd w:fill="F6F8FB"/>
            <w:vAlign w:val="center"/>
            <w:tcBorders>
              <w:bottom w:val="single" w:sz="4" w:color="D8E1EC"/>
            </w:tcBorders>
          </w:tcPr>
          <w:p>
            <w:pPr>
              <w:spacing w:after="30" w:before="30"/>
            </w:pPr>
            <w:r>
              <w:rPr>
                <w:color w:val="182230"/>
                <w:sz w:val="15"/>
              </w:rPr>
              <w:t>5</w:t>
            </w:r>
          </w:p>
        </w:tc>
        <w:tc>
          <w:tcPr>
            <w:tcW w:type="dxa" w:w="4422"/>
            <w:shd w:fill="F6F8FB"/>
            <w:vAlign w:val="center"/>
            <w:tcBorders>
              <w:bottom w:val="single" w:sz="4" w:color="D8E1EC"/>
            </w:tcBorders>
          </w:tcPr>
          <w:p>
            <w:pPr>
              <w:spacing w:after="30" w:before="30"/>
            </w:pPr>
            <w:r>
              <w:rPr>
                <w:color w:val="182230"/>
                <w:sz w:val="15"/>
              </w:rPr>
              <w:t>Pénalité -20 si absent du corpus source</w:t>
            </w:r>
          </w:p>
        </w:tc>
      </w:tr>
      <w:tr>
        <w:trPr>
          <w:cantSplit/>
        </w:trPr>
        <w:tc>
          <w:tcPr>
            <w:tcW w:type="dxa" w:w="3458"/>
            <w:vAlign w:val="center"/>
            <w:tcBorders>
              <w:bottom w:val="single" w:sz="4" w:color="D8E1EC"/>
            </w:tcBorders>
          </w:tcPr>
          <w:p>
            <w:pPr>
              <w:spacing w:after="30" w:before="30"/>
            </w:pPr>
            <w:r>
              <w:rPr>
                <w:color w:val="182230"/>
                <w:sz w:val="15"/>
              </w:rPr>
              <w:t>Milieu identique</w:t>
            </w:r>
          </w:p>
        </w:tc>
        <w:tc>
          <w:tcPr>
            <w:tcW w:type="dxa" w:w="1417"/>
            <w:vAlign w:val="center"/>
            <w:tcBorders>
              <w:bottom w:val="single" w:sz="4" w:color="D8E1EC"/>
            </w:tcBorders>
          </w:tcPr>
          <w:p>
            <w:pPr>
              <w:spacing w:after="30" w:before="30"/>
            </w:pPr>
            <w:r>
              <w:rPr>
                <w:color w:val="182230"/>
                <w:sz w:val="15"/>
              </w:rPr>
              <w:t>10</w:t>
            </w:r>
          </w:p>
        </w:tc>
        <w:tc>
          <w:tcPr>
            <w:tcW w:type="dxa" w:w="4422"/>
            <w:vAlign w:val="center"/>
            <w:tcBorders>
              <w:bottom w:val="single" w:sz="4" w:color="D8E1EC"/>
            </w:tcBorders>
          </w:tcPr>
          <w:p>
            <w:pPr>
              <w:spacing w:after="30" w:before="30"/>
            </w:pPr>
            <w:r>
              <w:rPr>
                <w:color w:val="182230"/>
                <w:sz w:val="15"/>
              </w:rPr>
              <w:t>Pénalité -20 si différent</w:t>
            </w:r>
          </w:p>
        </w:tc>
      </w:tr>
    </w:tbl>
    <w:p>
      <w:pPr>
        <w:spacing w:after="0"/>
      </w:pPr>
    </w:p>
    <w:p>
      <w:r>
        <w:rPr>
          <w:i w:val="0"/>
        </w:rPr>
        <w:t>Le seuil de transfert est 85/100. Il ne suffit pas : l'analogue doit aussi posséder au moins six prédictions masquées, une MAPE &lt;= 10 %, une erreur maximale &lt;= 20 %, une couverture entre 80 et 100 % et un horizon compris dans sa fenêtre observée.</w:t>
      </w:r>
    </w:p>
    <w:p>
      <w:pPr>
        <w:pStyle w:val="Heading2"/>
        <w:keepNext/>
      </w:pPr>
      <w:r>
        <w:t>3.6 Résultat selon l'information disponible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3061"/>
            <w:shd w:fill="17365D"/>
            <w:vAlign w:val="center"/>
            <w:tcBorders>
              <w:bottom w:val="single" w:sz="5" w:color="FFFFFF"/>
            </w:tcBorders>
          </w:tcPr>
          <w:p>
            <w:pPr>
              <w:jc w:val="left"/>
            </w:pPr>
            <w:r>
              <w:rPr>
                <w:b/>
                <w:color w:val="FFFFFF"/>
                <w:sz w:val="14"/>
              </w:rPr>
              <w:t>Données disponibles</w:t>
            </w:r>
          </w:p>
        </w:tc>
        <w:tc>
          <w:tcPr>
            <w:tcW w:type="dxa" w:w="2438"/>
            <w:shd w:fill="17365D"/>
            <w:vAlign w:val="center"/>
            <w:tcBorders>
              <w:bottom w:val="single" w:sz="5" w:color="FFFFFF"/>
            </w:tcBorders>
          </w:tcPr>
          <w:p>
            <w:pPr>
              <w:jc w:val="left"/>
            </w:pPr>
            <w:r>
              <w:rPr>
                <w:b/>
                <w:color w:val="FFFFFF"/>
                <w:sz w:val="14"/>
              </w:rPr>
              <w:t>Route</w:t>
            </w:r>
          </w:p>
        </w:tc>
        <w:tc>
          <w:tcPr>
            <w:tcW w:type="dxa" w:w="3798"/>
            <w:shd w:fill="17365D"/>
            <w:vAlign w:val="center"/>
            <w:tcBorders>
              <w:bottom w:val="single" w:sz="5" w:color="FFFFFF"/>
            </w:tcBorders>
          </w:tcPr>
          <w:p>
            <w:pPr>
              <w:jc w:val="left"/>
            </w:pPr>
            <w:r>
              <w:rPr>
                <w:b/>
                <w:color w:val="FFFFFF"/>
                <w:sz w:val="14"/>
              </w:rPr>
              <w:t>Résultat publié</w:t>
            </w:r>
          </w:p>
        </w:tc>
      </w:tr>
      <w:tr>
        <w:trPr>
          <w:cantSplit/>
        </w:trPr>
        <w:tc>
          <w:tcPr>
            <w:tcW w:type="dxa" w:w="3061"/>
            <w:vAlign w:val="center"/>
            <w:tcBorders>
              <w:bottom w:val="single" w:sz="4" w:color="D8E1EC"/>
            </w:tcBorders>
          </w:tcPr>
          <w:p>
            <w:pPr>
              <w:spacing w:after="30" w:before="30"/>
            </w:pPr>
            <w:r>
              <w:rPr>
                <w:color w:val="182230"/>
                <w:sz w:val="14"/>
              </w:rPr>
              <w:t>E₀ et famille seulement</w:t>
            </w:r>
          </w:p>
        </w:tc>
        <w:tc>
          <w:tcPr>
            <w:tcW w:type="dxa" w:w="2438"/>
            <w:vAlign w:val="center"/>
            <w:tcBorders>
              <w:bottom w:val="single" w:sz="4" w:color="D8E1EC"/>
            </w:tcBorders>
          </w:tcPr>
          <w:p>
            <w:pPr>
              <w:spacing w:after="30" w:before="30"/>
            </w:pPr>
            <w:r>
              <w:rPr>
                <w:color w:val="182230"/>
                <w:sz w:val="14"/>
              </w:rPr>
              <w:t>Documentaire</w:t>
            </w:r>
          </w:p>
        </w:tc>
        <w:tc>
          <w:tcPr>
            <w:tcW w:type="dxa" w:w="3798"/>
            <w:vAlign w:val="center"/>
            <w:tcBorders>
              <w:bottom w:val="single" w:sz="4" w:color="D8E1EC"/>
            </w:tcBorders>
          </w:tcPr>
          <w:p>
            <w:pPr>
              <w:spacing w:after="30" w:before="30"/>
            </w:pPr>
            <w:r>
              <w:rPr>
                <w:color w:val="182230"/>
                <w:sz w:val="14"/>
              </w:rPr>
              <w:t>Courbe pédagogique ; aucune durée exploitable</w:t>
            </w:r>
          </w:p>
        </w:tc>
      </w:tr>
      <w:tr>
        <w:trPr>
          <w:cantSplit/>
        </w:trPr>
        <w:tc>
          <w:tcPr>
            <w:tcW w:type="dxa" w:w="3061"/>
            <w:shd w:fill="F6F8FB"/>
            <w:vAlign w:val="center"/>
            <w:tcBorders>
              <w:bottom w:val="single" w:sz="4" w:color="D8E1EC"/>
            </w:tcBorders>
          </w:tcPr>
          <w:p>
            <w:pPr>
              <w:spacing w:after="30" w:before="30"/>
            </w:pPr>
            <w:r>
              <w:rPr>
                <w:color w:val="182230"/>
                <w:sz w:val="14"/>
              </w:rPr>
              <w:t>Analogue &gt;= 85/100 et validé</w:t>
            </w:r>
          </w:p>
        </w:tc>
        <w:tc>
          <w:tcPr>
            <w:tcW w:type="dxa" w:w="2438"/>
            <w:shd w:fill="F6F8FB"/>
            <w:vAlign w:val="center"/>
            <w:tcBorders>
              <w:bottom w:val="single" w:sz="4" w:color="D8E1EC"/>
            </w:tcBorders>
          </w:tcPr>
          <w:p>
            <w:pPr>
              <w:spacing w:after="30" w:before="30"/>
            </w:pPr>
            <w:r>
              <w:rPr>
                <w:color w:val="182230"/>
                <w:sz w:val="14"/>
              </w:rPr>
              <w:t>Transfert normalisé</w:t>
            </w:r>
          </w:p>
        </w:tc>
        <w:tc>
          <w:tcPr>
            <w:tcW w:type="dxa" w:w="3798"/>
            <w:shd w:fill="F6F8FB"/>
            <w:vAlign w:val="center"/>
            <w:tcBorders>
              <w:bottom w:val="single" w:sz="4" w:color="D8E1EC"/>
            </w:tcBorders>
          </w:tcPr>
          <w:p>
            <w:pPr>
              <w:spacing w:after="30" w:before="30"/>
            </w:pPr>
            <w:r>
              <w:rPr>
                <w:color w:val="182230"/>
                <w:sz w:val="14"/>
              </w:rPr>
              <w:t>Présélection limitée à la fenêtre source</w:t>
            </w:r>
          </w:p>
        </w:tc>
      </w:tr>
      <w:tr>
        <w:trPr>
          <w:cantSplit/>
        </w:trPr>
        <w:tc>
          <w:tcPr>
            <w:tcW w:type="dxa" w:w="3061"/>
            <w:vAlign w:val="center"/>
            <w:tcBorders>
              <w:bottom w:val="single" w:sz="4" w:color="D8E1EC"/>
            </w:tcBorders>
          </w:tcPr>
          <w:p>
            <w:pPr>
              <w:spacing w:after="30" w:before="30"/>
            </w:pPr>
            <w:r>
              <w:rPr>
                <w:color w:val="182230"/>
                <w:sz w:val="14"/>
              </w:rPr>
              <w:t>Coefficients D, k, Eₐ, etc. sourcés</w:t>
            </w:r>
          </w:p>
        </w:tc>
        <w:tc>
          <w:tcPr>
            <w:tcW w:type="dxa" w:w="2438"/>
            <w:vAlign w:val="center"/>
            <w:tcBorders>
              <w:bottom w:val="single" w:sz="4" w:color="D8E1EC"/>
            </w:tcBorders>
          </w:tcPr>
          <w:p>
            <w:pPr>
              <w:spacing w:after="30" w:before="30"/>
            </w:pPr>
            <w:r>
              <w:rPr>
                <w:color w:val="182230"/>
                <w:sz w:val="14"/>
              </w:rPr>
              <w:t>Modèle par mécanismes</w:t>
            </w:r>
          </w:p>
        </w:tc>
        <w:tc>
          <w:tcPr>
            <w:tcW w:type="dxa" w:w="3798"/>
            <w:vAlign w:val="center"/>
            <w:tcBorders>
              <w:bottom w:val="single" w:sz="4" w:color="D8E1EC"/>
            </w:tcBorders>
          </w:tcPr>
          <w:p>
            <w:pPr>
              <w:spacing w:after="30" w:before="30"/>
            </w:pPr>
            <w:r>
              <w:rPr>
                <w:color w:val="182230"/>
                <w:sz w:val="14"/>
              </w:rPr>
              <w:t>Projection de recherche à valider</w:t>
            </w:r>
          </w:p>
        </w:tc>
      </w:tr>
      <w:tr>
        <w:trPr>
          <w:cantSplit/>
        </w:trPr>
        <w:tc>
          <w:tcPr>
            <w:tcW w:type="dxa" w:w="3061"/>
            <w:shd w:fill="F6F8FB"/>
            <w:vAlign w:val="center"/>
            <w:tcBorders>
              <w:bottom w:val="single" w:sz="4" w:color="D8E1EC"/>
            </w:tcBorders>
          </w:tcPr>
          <w:p>
            <w:pPr>
              <w:spacing w:after="30" w:before="30"/>
            </w:pPr>
            <w:r>
              <w:rPr>
                <w:color w:val="182230"/>
                <w:sz w:val="14"/>
              </w:rPr>
              <w:t>Série propre au grade</w:t>
            </w:r>
          </w:p>
        </w:tc>
        <w:tc>
          <w:tcPr>
            <w:tcW w:type="dxa" w:w="2438"/>
            <w:shd w:fill="F6F8FB"/>
            <w:vAlign w:val="center"/>
            <w:tcBorders>
              <w:bottom w:val="single" w:sz="4" w:color="D8E1EC"/>
            </w:tcBorders>
          </w:tcPr>
          <w:p>
            <w:pPr>
              <w:spacing w:after="30" w:before="30"/>
            </w:pPr>
            <w:r>
              <w:rPr>
                <w:color w:val="182230"/>
                <w:sz w:val="14"/>
              </w:rPr>
              <w:t>Courbe exacte / ajustement</w:t>
            </w:r>
          </w:p>
        </w:tc>
        <w:tc>
          <w:tcPr>
            <w:tcW w:type="dxa" w:w="3798"/>
            <w:shd w:fill="F6F8FB"/>
            <w:vAlign w:val="center"/>
            <w:tcBorders>
              <w:bottom w:val="single" w:sz="4" w:color="D8E1EC"/>
            </w:tcBorders>
          </w:tcPr>
          <w:p>
            <w:pPr>
              <w:spacing w:after="30" w:before="30"/>
            </w:pPr>
            <w:r>
              <w:rPr>
                <w:color w:val="182230"/>
                <w:sz w:val="14"/>
              </w:rPr>
              <w:t>Interpolation dans le domaine mesuré</w:t>
            </w:r>
          </w:p>
        </w:tc>
      </w:tr>
      <w:tr>
        <w:trPr>
          <w:cantSplit/>
        </w:trPr>
        <w:tc>
          <w:tcPr>
            <w:tcW w:type="dxa" w:w="3061"/>
            <w:vAlign w:val="center"/>
            <w:tcBorders>
              <w:bottom w:val="single" w:sz="4" w:color="D8E1EC"/>
            </w:tcBorders>
          </w:tcPr>
          <w:p>
            <w:pPr>
              <w:spacing w:after="30" w:before="30"/>
            </w:pPr>
            <w:r>
              <w:rPr>
                <w:color w:val="182230"/>
                <w:sz w:val="14"/>
              </w:rPr>
              <w:t>Plusieurs grades et sources</w:t>
            </w:r>
          </w:p>
        </w:tc>
        <w:tc>
          <w:tcPr>
            <w:tcW w:type="dxa" w:w="2438"/>
            <w:vAlign w:val="center"/>
            <w:tcBorders>
              <w:bottom w:val="single" w:sz="4" w:color="D8E1EC"/>
            </w:tcBorders>
          </w:tcPr>
          <w:p>
            <w:pPr>
              <w:spacing w:after="30" w:before="30"/>
            </w:pPr>
            <w:r>
              <w:rPr>
                <w:color w:val="182230"/>
                <w:sz w:val="14"/>
              </w:rPr>
              <w:t>Hiérarchique / expert environnemental</w:t>
            </w:r>
          </w:p>
        </w:tc>
        <w:tc>
          <w:tcPr>
            <w:tcW w:type="dxa" w:w="3798"/>
            <w:vAlign w:val="center"/>
            <w:tcBorders>
              <w:bottom w:val="single" w:sz="4" w:color="D8E1EC"/>
            </w:tcBorders>
          </w:tcPr>
          <w:p>
            <w:pPr>
              <w:spacing w:after="30" w:before="30"/>
            </w:pPr>
            <w:r>
              <w:rPr>
                <w:color w:val="182230"/>
                <w:sz w:val="14"/>
              </w:rPr>
              <w:t>Effets appris et testés hors groupe</w:t>
            </w:r>
          </w:p>
        </w:tc>
      </w:tr>
      <w:tr>
        <w:trPr>
          <w:cantSplit/>
        </w:trPr>
        <w:tc>
          <w:tcPr>
            <w:tcW w:type="dxa" w:w="3061"/>
            <w:shd w:fill="F6F8FB"/>
            <w:vAlign w:val="center"/>
            <w:tcBorders>
              <w:bottom w:val="single" w:sz="4" w:color="D8E1EC"/>
            </w:tcBorders>
          </w:tcPr>
          <w:p>
            <w:pPr>
              <w:spacing w:after="30" w:before="30"/>
            </w:pPr>
            <w:r>
              <w:rPr>
                <w:color w:val="182230"/>
                <w:sz w:val="14"/>
              </w:rPr>
              <w:t>Test externe après gel</w:t>
            </w:r>
          </w:p>
        </w:tc>
        <w:tc>
          <w:tcPr>
            <w:tcW w:type="dxa" w:w="2438"/>
            <w:shd w:fill="F6F8FB"/>
            <w:vAlign w:val="center"/>
            <w:tcBorders>
              <w:bottom w:val="single" w:sz="4" w:color="D8E1EC"/>
            </w:tcBorders>
          </w:tcPr>
          <w:p>
            <w:pPr>
              <w:spacing w:after="30" w:before="30"/>
            </w:pPr>
            <w:r>
              <w:rPr>
                <w:color w:val="182230"/>
                <w:sz w:val="14"/>
              </w:rPr>
              <w:t>Qualification</w:t>
            </w:r>
          </w:p>
        </w:tc>
        <w:tc>
          <w:tcPr>
            <w:tcW w:type="dxa" w:w="3798"/>
            <w:shd w:fill="F6F8FB"/>
            <w:vAlign w:val="center"/>
            <w:tcBorders>
              <w:bottom w:val="single" w:sz="4" w:color="D8E1EC"/>
            </w:tcBorders>
          </w:tcPr>
          <w:p>
            <w:pPr>
              <w:spacing w:after="30" w:before="30"/>
            </w:pPr>
            <w:r>
              <w:rPr>
                <w:color w:val="182230"/>
                <w:sz w:val="14"/>
              </w:rPr>
              <w:t>Performance externe attachée au domaine</w:t>
            </w:r>
          </w:p>
        </w:tc>
      </w:tr>
    </w:tbl>
    <w:p>
      <w:pPr>
        <w:spacing w:after="0"/>
      </w:pPr>
    </w:p>
    <w:p>
      <w:pPr>
        <w:pStyle w:val="Heading1"/>
        <w:keepNext/>
        <w:pageBreakBefore/>
      </w:pPr>
      <w:r>
        <w:t>4. Modèles physiques et apprentissage</w:t>
      </w:r>
    </w:p>
    <w:p>
      <w:pPr>
        <w:pStyle w:val="Heading2"/>
        <w:keepNext/>
      </w:pPr>
      <w:r>
        <w:t>4.1 Variable cible</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R(t) = E(t) / E₀</w:t>
            </w:r>
          </w:p>
        </w:tc>
        <w:tc>
          <w:tcPr>
            <w:tcW w:type="dxa" w:w="4933"/>
          </w:tcPr>
          <w:p>
            <w:pPr>
              <w:jc w:val="right"/>
            </w:pPr>
            <w:r>
              <w:rPr>
                <w:sz w:val="18"/>
              </w:rPr>
              <w:t>(1)</w:t>
            </w:r>
          </w:p>
        </w:tc>
      </w:tr>
    </w:tbl>
    <w:p>
      <w:r>
        <w:rPr>
          <w:i w:val="0"/>
        </w:rPr>
        <w:t>La normalisation sépare la cinétique de la valeur initiale. Elle permet de transférer une rétention entre formulations proches, tout en restituant E(t) = E₀ R(t) dans l'unité d'ingénierie.</w:t>
      </w:r>
    </w:p>
    <w:p>
      <w:r>
        <w:rPr>
          <w:i w:val="0"/>
        </w:rPr>
        <w:t>Exemple numérique PP H301. Pour R-PP1x, E₀ = 604,1 MPa et E(120 j) = 555,8 MPa. La rétention vaut 555,8 / 604,1 = 0,9200, soit 92,00 %. La perte relative vaut 1 - 0,9200 = 0,0800, soit 8,00 %. Si cette rétention était appliquée à un grade comparable dont E₀ = 1 500 MPa, le module restitué serait 1 500 × 0,9200 = 1 380 MPa. Ce dernier calcul ne devient prédictif que si la comparabilité du grade et du milieu est démontrée.</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14"/>
            <w:shd w:fill="17365D"/>
            <w:vAlign w:val="center"/>
            <w:tcBorders>
              <w:bottom w:val="single" w:sz="5" w:color="FFFFFF"/>
            </w:tcBorders>
          </w:tcPr>
          <w:p>
            <w:pPr>
              <w:jc w:val="left"/>
            </w:pPr>
            <w:r>
              <w:rPr>
                <w:b/>
                <w:color w:val="FFFFFF"/>
                <w:sz w:val="14"/>
              </w:rPr>
              <w:t>Étape</w:t>
            </w:r>
          </w:p>
        </w:tc>
        <w:tc>
          <w:tcPr>
            <w:tcW w:type="dxa" w:w="3061"/>
            <w:shd w:fill="17365D"/>
            <w:vAlign w:val="center"/>
            <w:tcBorders>
              <w:bottom w:val="single" w:sz="5" w:color="FFFFFF"/>
            </w:tcBorders>
          </w:tcPr>
          <w:p>
            <w:pPr>
              <w:jc w:val="left"/>
            </w:pPr>
            <w:r>
              <w:rPr>
                <w:b/>
                <w:color w:val="FFFFFF"/>
                <w:sz w:val="14"/>
              </w:rPr>
              <w:t>Calcul</w:t>
            </w:r>
          </w:p>
        </w:tc>
        <w:tc>
          <w:tcPr>
            <w:tcW w:type="dxa" w:w="1701"/>
            <w:shd w:fill="17365D"/>
            <w:vAlign w:val="center"/>
            <w:tcBorders>
              <w:bottom w:val="single" w:sz="5" w:color="FFFFFF"/>
            </w:tcBorders>
          </w:tcPr>
          <w:p>
            <w:pPr>
              <w:jc w:val="left"/>
            </w:pPr>
            <w:r>
              <w:rPr>
                <w:b/>
                <w:color w:val="FFFFFF"/>
                <w:sz w:val="14"/>
              </w:rPr>
              <w:t>Résultat</w:t>
            </w:r>
          </w:p>
        </w:tc>
        <w:tc>
          <w:tcPr>
            <w:tcW w:type="dxa" w:w="2721"/>
            <w:shd w:fill="17365D"/>
            <w:vAlign w:val="center"/>
            <w:tcBorders>
              <w:bottom w:val="single" w:sz="5" w:color="FFFFFF"/>
            </w:tcBorders>
          </w:tcPr>
          <w:p>
            <w:pPr>
              <w:jc w:val="left"/>
            </w:pPr>
            <w:r>
              <w:rPr>
                <w:b/>
                <w:color w:val="FFFFFF"/>
                <w:sz w:val="14"/>
              </w:rPr>
              <w:t>Contrôle</w:t>
            </w:r>
          </w:p>
        </w:tc>
      </w:tr>
      <w:tr>
        <w:trPr>
          <w:cantSplit/>
        </w:trPr>
        <w:tc>
          <w:tcPr>
            <w:tcW w:type="dxa" w:w="1814"/>
            <w:vAlign w:val="center"/>
            <w:tcBorders>
              <w:bottom w:val="single" w:sz="4" w:color="D8E1EC"/>
            </w:tcBorders>
          </w:tcPr>
          <w:p>
            <w:pPr>
              <w:spacing w:after="30" w:before="30"/>
            </w:pPr>
            <w:r>
              <w:rPr>
                <w:color w:val="182230"/>
                <w:sz w:val="14"/>
              </w:rPr>
              <w:t>Normaliser</w:t>
            </w:r>
          </w:p>
        </w:tc>
        <w:tc>
          <w:tcPr>
            <w:tcW w:type="dxa" w:w="3061"/>
            <w:vAlign w:val="center"/>
            <w:tcBorders>
              <w:bottom w:val="single" w:sz="4" w:color="D8E1EC"/>
            </w:tcBorders>
          </w:tcPr>
          <w:p>
            <w:pPr>
              <w:spacing w:after="30" w:before="30"/>
            </w:pPr>
            <w:r>
              <w:rPr>
                <w:color w:val="182230"/>
                <w:sz w:val="14"/>
              </w:rPr>
              <w:t>R120 = 555,8 / 604,1</w:t>
            </w:r>
          </w:p>
        </w:tc>
        <w:tc>
          <w:tcPr>
            <w:tcW w:type="dxa" w:w="1701"/>
            <w:vAlign w:val="center"/>
            <w:tcBorders>
              <w:bottom w:val="single" w:sz="4" w:color="D8E1EC"/>
            </w:tcBorders>
          </w:tcPr>
          <w:p>
            <w:pPr>
              <w:spacing w:after="30" w:before="30"/>
            </w:pPr>
            <w:r>
              <w:rPr>
                <w:color w:val="182230"/>
                <w:sz w:val="14"/>
              </w:rPr>
              <w:t>0,9200</w:t>
            </w:r>
          </w:p>
        </w:tc>
        <w:tc>
          <w:tcPr>
            <w:tcW w:type="dxa" w:w="2721"/>
            <w:vAlign w:val="center"/>
            <w:tcBorders>
              <w:bottom w:val="single" w:sz="4" w:color="D8E1EC"/>
            </w:tcBorders>
          </w:tcPr>
          <w:p>
            <w:pPr>
              <w:spacing w:after="30" w:before="30"/>
            </w:pPr>
            <w:r>
              <w:rPr>
                <w:color w:val="182230"/>
                <w:sz w:val="14"/>
              </w:rPr>
              <w:t>Valeur comprise entre 0 et 1</w:t>
            </w:r>
          </w:p>
        </w:tc>
      </w:tr>
      <w:tr>
        <w:trPr>
          <w:cantSplit/>
        </w:trPr>
        <w:tc>
          <w:tcPr>
            <w:tcW w:type="dxa" w:w="1814"/>
            <w:shd w:fill="F6F8FB"/>
            <w:vAlign w:val="center"/>
            <w:tcBorders>
              <w:bottom w:val="single" w:sz="4" w:color="D8E1EC"/>
            </w:tcBorders>
          </w:tcPr>
          <w:p>
            <w:pPr>
              <w:spacing w:after="30" w:before="30"/>
            </w:pPr>
            <w:r>
              <w:rPr>
                <w:color w:val="182230"/>
                <w:sz w:val="14"/>
              </w:rPr>
              <w:t>Exprimer la conservation</w:t>
            </w:r>
          </w:p>
        </w:tc>
        <w:tc>
          <w:tcPr>
            <w:tcW w:type="dxa" w:w="3061"/>
            <w:shd w:fill="F6F8FB"/>
            <w:vAlign w:val="center"/>
            <w:tcBorders>
              <w:bottom w:val="single" w:sz="4" w:color="D8E1EC"/>
            </w:tcBorders>
          </w:tcPr>
          <w:p>
            <w:pPr>
              <w:spacing w:after="30" w:before="30"/>
            </w:pPr>
            <w:r>
              <w:rPr>
                <w:color w:val="182230"/>
                <w:sz w:val="14"/>
              </w:rPr>
              <w:t>100 × R120</w:t>
            </w:r>
          </w:p>
        </w:tc>
        <w:tc>
          <w:tcPr>
            <w:tcW w:type="dxa" w:w="1701"/>
            <w:shd w:fill="F6F8FB"/>
            <w:vAlign w:val="center"/>
            <w:tcBorders>
              <w:bottom w:val="single" w:sz="4" w:color="D8E1EC"/>
            </w:tcBorders>
          </w:tcPr>
          <w:p>
            <w:pPr>
              <w:spacing w:after="30" w:before="30"/>
            </w:pPr>
            <w:r>
              <w:rPr>
                <w:color w:val="182230"/>
                <w:sz w:val="14"/>
              </w:rPr>
              <w:t>92,00 %</w:t>
            </w:r>
          </w:p>
        </w:tc>
        <w:tc>
          <w:tcPr>
            <w:tcW w:type="dxa" w:w="2721"/>
            <w:shd w:fill="F6F8FB"/>
            <w:vAlign w:val="center"/>
            <w:tcBorders>
              <w:bottom w:val="single" w:sz="4" w:color="D8E1EC"/>
            </w:tcBorders>
          </w:tcPr>
          <w:p>
            <w:pPr>
              <w:spacing w:after="30" w:before="30"/>
            </w:pPr>
            <w:r>
              <w:rPr>
                <w:color w:val="182230"/>
                <w:sz w:val="14"/>
              </w:rPr>
              <w:t>Unité supprimée par normalisation</w:t>
            </w:r>
          </w:p>
        </w:tc>
      </w:tr>
      <w:tr>
        <w:trPr>
          <w:cantSplit/>
        </w:trPr>
        <w:tc>
          <w:tcPr>
            <w:tcW w:type="dxa" w:w="1814"/>
            <w:vAlign w:val="center"/>
            <w:tcBorders>
              <w:bottom w:val="single" w:sz="4" w:color="D8E1EC"/>
            </w:tcBorders>
          </w:tcPr>
          <w:p>
            <w:pPr>
              <w:spacing w:after="30" w:before="30"/>
            </w:pPr>
            <w:r>
              <w:rPr>
                <w:color w:val="182230"/>
                <w:sz w:val="14"/>
              </w:rPr>
              <w:t>Exprimer la perte</w:t>
            </w:r>
          </w:p>
        </w:tc>
        <w:tc>
          <w:tcPr>
            <w:tcW w:type="dxa" w:w="3061"/>
            <w:vAlign w:val="center"/>
            <w:tcBorders>
              <w:bottom w:val="single" w:sz="4" w:color="D8E1EC"/>
            </w:tcBorders>
          </w:tcPr>
          <w:p>
            <w:pPr>
              <w:spacing w:after="30" w:before="30"/>
            </w:pPr>
            <w:r>
              <w:rPr>
                <w:color w:val="182230"/>
                <w:sz w:val="14"/>
              </w:rPr>
              <w:t>100 × (1 - R120)</w:t>
            </w:r>
          </w:p>
        </w:tc>
        <w:tc>
          <w:tcPr>
            <w:tcW w:type="dxa" w:w="1701"/>
            <w:vAlign w:val="center"/>
            <w:tcBorders>
              <w:bottom w:val="single" w:sz="4" w:color="D8E1EC"/>
            </w:tcBorders>
          </w:tcPr>
          <w:p>
            <w:pPr>
              <w:spacing w:after="30" w:before="30"/>
            </w:pPr>
            <w:r>
              <w:rPr>
                <w:color w:val="182230"/>
                <w:sz w:val="14"/>
              </w:rPr>
              <w:t>8,00 %</w:t>
            </w:r>
          </w:p>
        </w:tc>
        <w:tc>
          <w:tcPr>
            <w:tcW w:type="dxa" w:w="2721"/>
            <w:vAlign w:val="center"/>
            <w:tcBorders>
              <w:bottom w:val="single" w:sz="4" w:color="D8E1EC"/>
            </w:tcBorders>
          </w:tcPr>
          <w:p>
            <w:pPr>
              <w:spacing w:after="30" w:before="30"/>
            </w:pPr>
            <w:r>
              <w:rPr>
                <w:color w:val="182230"/>
                <w:sz w:val="14"/>
              </w:rPr>
              <w:t>Conservation + perte = 100 %</w:t>
            </w:r>
          </w:p>
        </w:tc>
      </w:tr>
      <w:tr>
        <w:trPr>
          <w:cantSplit/>
        </w:trPr>
        <w:tc>
          <w:tcPr>
            <w:tcW w:type="dxa" w:w="1814"/>
            <w:shd w:fill="F6F8FB"/>
            <w:vAlign w:val="center"/>
            <w:tcBorders>
              <w:bottom w:val="single" w:sz="4" w:color="D8E1EC"/>
            </w:tcBorders>
          </w:tcPr>
          <w:p>
            <w:pPr>
              <w:spacing w:after="30" w:before="30"/>
            </w:pPr>
            <w:r>
              <w:rPr>
                <w:color w:val="182230"/>
                <w:sz w:val="14"/>
              </w:rPr>
              <w:t>Restituer en MPa</w:t>
            </w:r>
          </w:p>
        </w:tc>
        <w:tc>
          <w:tcPr>
            <w:tcW w:type="dxa" w:w="3061"/>
            <w:shd w:fill="F6F8FB"/>
            <w:vAlign w:val="center"/>
            <w:tcBorders>
              <w:bottom w:val="single" w:sz="4" w:color="D8E1EC"/>
            </w:tcBorders>
          </w:tcPr>
          <w:p>
            <w:pPr>
              <w:spacing w:after="30" w:before="30"/>
            </w:pPr>
            <w:r>
              <w:rPr>
                <w:color w:val="182230"/>
                <w:sz w:val="14"/>
              </w:rPr>
              <w:t>E120 = E₀ × R120</w:t>
            </w:r>
          </w:p>
        </w:tc>
        <w:tc>
          <w:tcPr>
            <w:tcW w:type="dxa" w:w="1701"/>
            <w:shd w:fill="F6F8FB"/>
            <w:vAlign w:val="center"/>
            <w:tcBorders>
              <w:bottom w:val="single" w:sz="4" w:color="D8E1EC"/>
            </w:tcBorders>
          </w:tcPr>
          <w:p>
            <w:pPr>
              <w:spacing w:after="30" w:before="30"/>
            </w:pPr>
            <w:r>
              <w:rPr>
                <w:color w:val="182230"/>
                <w:sz w:val="14"/>
              </w:rPr>
              <w:t>555,8 MPa</w:t>
            </w:r>
          </w:p>
        </w:tc>
        <w:tc>
          <w:tcPr>
            <w:tcW w:type="dxa" w:w="2721"/>
            <w:shd w:fill="F6F8FB"/>
            <w:vAlign w:val="center"/>
            <w:tcBorders>
              <w:bottom w:val="single" w:sz="4" w:color="D8E1EC"/>
            </w:tcBorders>
          </w:tcPr>
          <w:p>
            <w:pPr>
              <w:spacing w:after="30" w:before="30"/>
            </w:pPr>
            <w:r>
              <w:rPr>
                <w:color w:val="182230"/>
                <w:sz w:val="14"/>
              </w:rPr>
              <w:t>Retour exact au point source</w:t>
            </w:r>
          </w:p>
        </w:tc>
      </w:tr>
    </w:tbl>
    <w:p>
      <w:pPr>
        <w:spacing w:after="0"/>
      </w:pPr>
    </w:p>
    <w:p>
      <w:pPr>
        <w:pStyle w:val="Heading2"/>
        <w:keepNext/>
      </w:pPr>
      <w:r>
        <w:t>4.2 Transfert thermique d'Arrhenius</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k(T) = kref exp[(Eₐ/Rg)(1/Tref - 1/T)]</w:t>
            </w:r>
          </w:p>
        </w:tc>
        <w:tc>
          <w:tcPr>
            <w:tcW w:type="dxa" w:w="4933"/>
          </w:tcPr>
          <w:p>
            <w:pPr>
              <w:jc w:val="right"/>
            </w:pPr>
            <w:r>
              <w:rPr>
                <w:sz w:val="18"/>
              </w:rPr>
              <w:t>(2)</w:t>
            </w:r>
          </w:p>
        </w:tc>
      </w:tr>
    </w:tbl>
    <w:p>
      <w:r>
        <w:rPr>
          <w:i w:val="0"/>
        </w:rPr>
        <w:t>L'hypothèse exige un mécanisme dominant invariant. SeaMat refuse le transfert lorsqu'il traverse Tg ou dépasse Tm si ces transitions sont renseignées. L'article IIR illustre que la linéarité d'Arrhenius sur un indicateur de durée ne garantit pas la reconstruction de chaque point du module [2].</w:t>
      </w:r>
    </w:p>
    <w:p>
      <w:r>
        <w:rPr>
          <w:i w:val="0"/>
        </w:rPr>
        <w:t>Calcul illustratif, indépendant des résultats PP. Avec Eₐ = 60 kJ/mol, Tref = 23 °C = 296,15 K, T = 60 °C = 333,15 K et Rg = 8,314 J·mol⁻¹·K⁻¹ : (1/Tref - 1/T) = 3,751 × 10⁻⁴ K⁻¹ ; Eₐ/Rg = 7 216 K ; l'exposant vaut 2,707 ; k(60 °C)/k(23 °C) = exp(2,707) = 14,98. Trente jours à 60 °C correspondent donc, dans cette hypothèse, à environ 449 jours à 23 °C. SeaMat ne conserve cette équivalence que si le mécanisme, le milieu et les transitions thermiques restent identiques.</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Borders>
              <w:bottom w:val="single" w:sz="5" w:color="FFFFFF"/>
            </w:tcBorders>
          </w:tcPr>
          <w:p>
            <w:pPr>
              <w:jc w:val="left"/>
            </w:pPr>
            <w:r>
              <w:rPr>
                <w:b/>
                <w:color w:val="FFFFFF"/>
                <w:sz w:val="14"/>
              </w:rPr>
              <w:t>Étape Arrhenius</w:t>
            </w:r>
          </w:p>
        </w:tc>
        <w:tc>
          <w:tcPr>
            <w:tcW w:type="dxa" w:w="4252"/>
            <w:shd w:fill="17365D"/>
            <w:vAlign w:val="center"/>
            <w:tcBorders>
              <w:bottom w:val="single" w:sz="5" w:color="FFFFFF"/>
            </w:tcBorders>
          </w:tcPr>
          <w:p>
            <w:pPr>
              <w:jc w:val="left"/>
            </w:pPr>
            <w:r>
              <w:rPr>
                <w:b/>
                <w:color w:val="FFFFFF"/>
                <w:sz w:val="14"/>
              </w:rPr>
              <w:t>Valeur</w:t>
            </w:r>
          </w:p>
        </w:tc>
        <w:tc>
          <w:tcPr>
            <w:tcW w:type="dxa" w:w="2778"/>
            <w:shd w:fill="17365D"/>
            <w:vAlign w:val="center"/>
            <w:tcBorders>
              <w:bottom w:val="single" w:sz="5" w:color="FFFFFF"/>
            </w:tcBorders>
          </w:tcPr>
          <w:p>
            <w:pPr>
              <w:jc w:val="left"/>
            </w:pPr>
            <w:r>
              <w:rPr>
                <w:b/>
                <w:color w:val="FFFFFF"/>
                <w:sz w:val="14"/>
              </w:rPr>
              <w:t>Vérification d'unité</w:t>
            </w:r>
          </w:p>
        </w:tc>
      </w:tr>
      <w:tr>
        <w:trPr>
          <w:cantSplit/>
        </w:trPr>
        <w:tc>
          <w:tcPr>
            <w:tcW w:type="dxa" w:w="2268"/>
            <w:vAlign w:val="center"/>
            <w:tcBorders>
              <w:bottom w:val="single" w:sz="4" w:color="D8E1EC"/>
            </w:tcBorders>
          </w:tcPr>
          <w:p>
            <w:pPr>
              <w:spacing w:after="30" w:before="30"/>
            </w:pPr>
            <w:r>
              <w:rPr>
                <w:color w:val="182230"/>
                <w:sz w:val="14"/>
              </w:rPr>
              <w:t>Conversion des températures</w:t>
            </w:r>
          </w:p>
        </w:tc>
        <w:tc>
          <w:tcPr>
            <w:tcW w:type="dxa" w:w="4252"/>
            <w:vAlign w:val="center"/>
            <w:tcBorders>
              <w:bottom w:val="single" w:sz="4" w:color="D8E1EC"/>
            </w:tcBorders>
          </w:tcPr>
          <w:p>
            <w:pPr>
              <w:spacing w:after="30" w:before="30"/>
            </w:pPr>
            <w:r>
              <w:rPr>
                <w:color w:val="182230"/>
                <w:sz w:val="14"/>
              </w:rPr>
              <w:t>296,15 K et 333,15 K</w:t>
            </w:r>
          </w:p>
        </w:tc>
        <w:tc>
          <w:tcPr>
            <w:tcW w:type="dxa" w:w="2778"/>
            <w:vAlign w:val="center"/>
            <w:tcBorders>
              <w:bottom w:val="single" w:sz="4" w:color="D8E1EC"/>
            </w:tcBorders>
          </w:tcPr>
          <w:p>
            <w:pPr>
              <w:spacing w:after="30" w:before="30"/>
            </w:pPr>
            <w:r>
              <w:rPr>
                <w:color w:val="182230"/>
                <w:sz w:val="14"/>
              </w:rPr>
              <w:t>Le kelvin est obligatoire dans 1/T</w:t>
            </w:r>
          </w:p>
        </w:tc>
      </w:tr>
      <w:tr>
        <w:trPr>
          <w:cantSplit/>
        </w:trPr>
        <w:tc>
          <w:tcPr>
            <w:tcW w:type="dxa" w:w="2268"/>
            <w:shd w:fill="F6F8FB"/>
            <w:vAlign w:val="center"/>
            <w:tcBorders>
              <w:bottom w:val="single" w:sz="4" w:color="D8E1EC"/>
            </w:tcBorders>
          </w:tcPr>
          <w:p>
            <w:pPr>
              <w:spacing w:after="30" w:before="30"/>
            </w:pPr>
            <w:r>
              <w:rPr>
                <w:color w:val="182230"/>
                <w:sz w:val="14"/>
              </w:rPr>
              <w:t>Conversion de l'énergie</w:t>
            </w:r>
          </w:p>
        </w:tc>
        <w:tc>
          <w:tcPr>
            <w:tcW w:type="dxa" w:w="4252"/>
            <w:shd w:fill="F6F8FB"/>
            <w:vAlign w:val="center"/>
            <w:tcBorders>
              <w:bottom w:val="single" w:sz="4" w:color="D8E1EC"/>
            </w:tcBorders>
          </w:tcPr>
          <w:p>
            <w:pPr>
              <w:spacing w:after="30" w:before="30"/>
            </w:pPr>
            <w:r>
              <w:rPr>
                <w:color w:val="182230"/>
                <w:sz w:val="14"/>
              </w:rPr>
              <w:t>60 kJ/mol = 60 000 J/mol</w:t>
            </w:r>
          </w:p>
        </w:tc>
        <w:tc>
          <w:tcPr>
            <w:tcW w:type="dxa" w:w="2778"/>
            <w:shd w:fill="F6F8FB"/>
            <w:vAlign w:val="center"/>
            <w:tcBorders>
              <w:bottom w:val="single" w:sz="4" w:color="D8E1EC"/>
            </w:tcBorders>
          </w:tcPr>
          <w:p>
            <w:pPr>
              <w:spacing w:after="30" w:before="30"/>
            </w:pPr>
            <w:r>
              <w:rPr>
                <w:color w:val="182230"/>
                <w:sz w:val="14"/>
              </w:rPr>
              <w:t>Même unité énergétique que Rg</w:t>
            </w:r>
          </w:p>
        </w:tc>
      </w:tr>
      <w:tr>
        <w:trPr>
          <w:cantSplit/>
        </w:trPr>
        <w:tc>
          <w:tcPr>
            <w:tcW w:type="dxa" w:w="2268"/>
            <w:vAlign w:val="center"/>
            <w:tcBorders>
              <w:bottom w:val="single" w:sz="4" w:color="D8E1EC"/>
            </w:tcBorders>
          </w:tcPr>
          <w:p>
            <w:pPr>
              <w:spacing w:after="30" w:before="30"/>
            </w:pPr>
            <w:r>
              <w:rPr>
                <w:color w:val="182230"/>
                <w:sz w:val="14"/>
              </w:rPr>
              <w:t>Exposant</w:t>
            </w:r>
          </w:p>
        </w:tc>
        <w:tc>
          <w:tcPr>
            <w:tcW w:type="dxa" w:w="4252"/>
            <w:vAlign w:val="center"/>
            <w:tcBorders>
              <w:bottom w:val="single" w:sz="4" w:color="D8E1EC"/>
            </w:tcBorders>
          </w:tcPr>
          <w:p>
            <w:pPr>
              <w:spacing w:after="30" w:before="30"/>
            </w:pPr>
            <w:r>
              <w:rPr>
                <w:color w:val="182230"/>
                <w:sz w:val="14"/>
              </w:rPr>
              <w:t>(60 000/8,314) × (1/296,15 - 1/333,15) = 2,707</w:t>
            </w:r>
          </w:p>
        </w:tc>
        <w:tc>
          <w:tcPr>
            <w:tcW w:type="dxa" w:w="2778"/>
            <w:vAlign w:val="center"/>
            <w:tcBorders>
              <w:bottom w:val="single" w:sz="4" w:color="D8E1EC"/>
            </w:tcBorders>
          </w:tcPr>
          <w:p>
            <w:pPr>
              <w:spacing w:after="30" w:before="30"/>
            </w:pPr>
            <w:r>
              <w:rPr>
                <w:color w:val="182230"/>
                <w:sz w:val="14"/>
              </w:rPr>
              <w:t>Sans dimension</w:t>
            </w:r>
          </w:p>
        </w:tc>
      </w:tr>
      <w:tr>
        <w:trPr>
          <w:cantSplit/>
        </w:trPr>
        <w:tc>
          <w:tcPr>
            <w:tcW w:type="dxa" w:w="2268"/>
            <w:shd w:fill="F6F8FB"/>
            <w:vAlign w:val="center"/>
            <w:tcBorders>
              <w:bottom w:val="single" w:sz="4" w:color="D8E1EC"/>
            </w:tcBorders>
          </w:tcPr>
          <w:p>
            <w:pPr>
              <w:spacing w:after="30" w:before="30"/>
            </w:pPr>
            <w:r>
              <w:rPr>
                <w:color w:val="182230"/>
                <w:sz w:val="14"/>
              </w:rPr>
              <w:t>Facteur d'accélération</w:t>
            </w:r>
          </w:p>
        </w:tc>
        <w:tc>
          <w:tcPr>
            <w:tcW w:type="dxa" w:w="4252"/>
            <w:shd w:fill="F6F8FB"/>
            <w:vAlign w:val="center"/>
            <w:tcBorders>
              <w:bottom w:val="single" w:sz="4" w:color="D8E1EC"/>
            </w:tcBorders>
          </w:tcPr>
          <w:p>
            <w:pPr>
              <w:spacing w:after="30" w:before="30"/>
            </w:pPr>
            <w:r>
              <w:rPr>
                <w:color w:val="182230"/>
                <w:sz w:val="14"/>
              </w:rPr>
              <w:t>AF = exp(2,707) = 14,98</w:t>
            </w:r>
          </w:p>
        </w:tc>
        <w:tc>
          <w:tcPr>
            <w:tcW w:type="dxa" w:w="2778"/>
            <w:shd w:fill="F6F8FB"/>
            <w:vAlign w:val="center"/>
            <w:tcBorders>
              <w:bottom w:val="single" w:sz="4" w:color="D8E1EC"/>
            </w:tcBorders>
          </w:tcPr>
          <w:p>
            <w:pPr>
              <w:spacing w:after="30" w:before="30"/>
            </w:pPr>
            <w:r>
              <w:rPr>
                <w:color w:val="182230"/>
                <w:sz w:val="14"/>
              </w:rPr>
              <w:t>Rapport de vitesses</w:t>
            </w:r>
          </w:p>
        </w:tc>
      </w:tr>
      <w:tr>
        <w:trPr>
          <w:cantSplit/>
        </w:trPr>
        <w:tc>
          <w:tcPr>
            <w:tcW w:type="dxa" w:w="2268"/>
            <w:vAlign w:val="center"/>
            <w:tcBorders>
              <w:bottom w:val="single" w:sz="4" w:color="D8E1EC"/>
            </w:tcBorders>
          </w:tcPr>
          <w:p>
            <w:pPr>
              <w:spacing w:after="30" w:before="30"/>
            </w:pPr>
            <w:r>
              <w:rPr>
                <w:color w:val="182230"/>
                <w:sz w:val="14"/>
              </w:rPr>
              <w:t>Temps équivalent</w:t>
            </w:r>
          </w:p>
        </w:tc>
        <w:tc>
          <w:tcPr>
            <w:tcW w:type="dxa" w:w="4252"/>
            <w:vAlign w:val="center"/>
            <w:tcBorders>
              <w:bottom w:val="single" w:sz="4" w:color="D8E1EC"/>
            </w:tcBorders>
          </w:tcPr>
          <w:p>
            <w:pPr>
              <w:spacing w:after="30" w:before="30"/>
            </w:pPr>
            <w:r>
              <w:rPr>
                <w:color w:val="182230"/>
                <w:sz w:val="14"/>
              </w:rPr>
              <w:t>30 × 14,98 = 449 jours à 23 °C</w:t>
            </w:r>
          </w:p>
        </w:tc>
        <w:tc>
          <w:tcPr>
            <w:tcW w:type="dxa" w:w="2778"/>
            <w:vAlign w:val="center"/>
            <w:tcBorders>
              <w:bottom w:val="single" w:sz="4" w:color="D8E1EC"/>
            </w:tcBorders>
          </w:tcPr>
          <w:p>
            <w:pPr>
              <w:spacing w:after="30" w:before="30"/>
            </w:pPr>
            <w:r>
              <w:rPr>
                <w:color w:val="182230"/>
                <w:sz w:val="14"/>
              </w:rPr>
              <w:t>Valide seulement à mécanisme invariant</w:t>
            </w:r>
          </w:p>
        </w:tc>
      </w:tr>
    </w:tbl>
    <w:p>
      <w:pPr>
        <w:spacing w:after="0"/>
      </w:pPr>
    </w:p>
    <w:p>
      <w:pPr>
        <w:pStyle w:val="Heading2"/>
        <w:keepNext/>
      </w:pPr>
      <w:r>
        <w:t>4.3 Diffusion moyenne dans une plaque</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M(t)/M∞ = 1 - (8/π²) Σ exp[-(2n+1)²π²Dt/e²] / (2n+1)²</w:t>
            </w:r>
          </w:p>
        </w:tc>
        <w:tc>
          <w:tcPr>
            <w:tcW w:type="dxa" w:w="4933"/>
          </w:tcPr>
          <w:p>
            <w:pPr>
              <w:jc w:val="right"/>
            </w:pPr>
            <w:r>
              <w:rPr>
                <w:sz w:val="18"/>
              </w:rPr>
              <w:t>(3)</w:t>
            </w:r>
          </w:p>
        </w:tc>
      </w:tr>
    </w:tbl>
    <w:p>
      <w:r>
        <w:rPr>
          <w:i w:val="0"/>
        </w:rPr>
        <w:t>La solution de Fick traite une plaque initialement sèche alimentée par ses deux faces. Elle rend l'effet de l'épaisseur explicite, mais ne modélise ni gonflement, ni fissuration, ni consommation locale d'eau.</w:t>
      </w:r>
    </w:p>
    <w:p>
      <w:r>
        <w:rPr>
          <w:i w:val="0"/>
        </w:rPr>
        <w:t>Exemple numérique. Pour D = 1,0 × 10⁻¹³ m²/s, e = 2,0 mm = 2,0 × 10⁻³ m et t = 30 jours = 2,592 × 10⁶ s, le nombre de Fourier vaut Fo = Dt/e² = 0,0648. La somme de série conduit à M/M∞ = 0,572 : environ 57,2 % de la prise d'eau d'équilibre est atteinte. À D et temps identiques, e = 4 mm donne Fo = 0,0162 et M/M∞ = 0,287. Doubler l'épaisseur divise Fo par quatre et ralentit fortement la pénétration, ce qui vérifie la dépendance e² attendue.</w:t>
      </w:r>
    </w:p>
    <w:p>
      <w:pPr>
        <w:pStyle w:val="Heading2"/>
        <w:keepNext/>
      </w:pPr>
      <w:r>
        <w:t>4.4 Modèle réduit couplé</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R(t) = [r + (1-r) exp(-d(t))] [1-p w(t)] [1+g(1-exp(-kᵣt))]</w:t>
            </w:r>
          </w:p>
        </w:tc>
        <w:tc>
          <w:tcPr>
            <w:tcW w:type="dxa" w:w="4933"/>
          </w:tcPr>
          <w:p>
            <w:pPr>
              <w:jc w:val="right"/>
            </w:pPr>
            <w:r>
              <w:rPr>
                <w:sz w:val="18"/>
              </w:rPr>
              <w:t>(4)</w:t>
            </w:r>
          </w:p>
        </w:tc>
      </w:tr>
    </w:tbl>
    <w:p>
      <w:r>
        <w:rPr>
          <w:i w:val="0"/>
        </w:rPr>
        <w:t>Le dommage d(t) additionne seulement les mécanismes activés : thermique, UV et hydrolyse. w(t) est la fraction d'eau moyenne ; p représente la plastification réversible ; g et kᵣ décrivent une rigidification saturante. Les coefficients sont propres au grade et au milieu ; ils ne sont jamais déduits automatiquement de la famille.</w:t>
      </w:r>
    </w:p>
    <w:p>
      <w:pPr>
        <w:pStyle w:val="Heading2"/>
        <w:keepNext/>
      </w:pPr>
      <w:r>
        <w:t>4.5 Modèles data driven</w:t>
      </w:r>
    </w:p>
    <w:p>
      <w:r>
        <w:rPr>
          <w:i w:val="0"/>
        </w:rPr>
        <w:t>SeaMat peut comparer Ridge, Random Forest et gradient boosting par validation GroupKFold. Cette voie n'est publiée que si elle surpasse une référence simple sur des expériences entières masquées. Avec quatre formulations PP et trois températures IIR, un réseau profond ou une courbe d'apprentissage serait statistiquement trompeur : le nombre d'unités indépendantes est insuffisant.</w:t>
      </w:r>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Décision d'ingénierie  </w:t>
            </w:r>
            <w:r>
              <w:t>La complexité algorithmique n'est pas une preuve. Pour les corpus actuels, le moteur de production privilégie des lois transparentes, une validation masquée et un refus explicite hors domaine.</w:t>
            </w:r>
          </w:p>
        </w:tc>
      </w:tr>
    </w:tbl>
    <w:p>
      <w:pPr>
        <w:pStyle w:val="Heading2"/>
        <w:keepNext/>
      </w:pPr>
      <w:r>
        <w:t>4.6 Approches comparées</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587"/>
            <w:shd w:fill="17365D"/>
            <w:vAlign w:val="center"/>
            <w:tcBorders>
              <w:bottom w:val="single" w:sz="5" w:color="FFFFFF"/>
            </w:tcBorders>
          </w:tcPr>
          <w:p>
            <w:pPr>
              <w:jc w:val="left"/>
            </w:pPr>
            <w:r>
              <w:rPr>
                <w:b/>
                <w:color w:val="FFFFFF"/>
                <w:sz w:val="14"/>
              </w:rPr>
              <w:t>Approche</w:t>
            </w:r>
          </w:p>
        </w:tc>
        <w:tc>
          <w:tcPr>
            <w:tcW w:type="dxa" w:w="2608"/>
            <w:shd w:fill="17365D"/>
            <w:vAlign w:val="center"/>
            <w:tcBorders>
              <w:bottom w:val="single" w:sz="5" w:color="FFFFFF"/>
            </w:tcBorders>
          </w:tcPr>
          <w:p>
            <w:pPr>
              <w:jc w:val="left"/>
            </w:pPr>
            <w:r>
              <w:rPr>
                <w:b/>
                <w:color w:val="FFFFFF"/>
                <w:sz w:val="14"/>
              </w:rPr>
              <w:t>Ce qu'elle apprend</w:t>
            </w:r>
          </w:p>
        </w:tc>
        <w:tc>
          <w:tcPr>
            <w:tcW w:type="dxa" w:w="2438"/>
            <w:shd w:fill="17365D"/>
            <w:vAlign w:val="center"/>
            <w:tcBorders>
              <w:bottom w:val="single" w:sz="5" w:color="FFFFFF"/>
            </w:tcBorders>
          </w:tcPr>
          <w:p>
            <w:pPr>
              <w:jc w:val="left"/>
            </w:pPr>
            <w:r>
              <w:rPr>
                <w:b/>
                <w:color w:val="FFFFFF"/>
                <w:sz w:val="14"/>
              </w:rPr>
              <w:t>Avantage</w:t>
            </w:r>
          </w:p>
        </w:tc>
        <w:tc>
          <w:tcPr>
            <w:tcW w:type="dxa" w:w="2665"/>
            <w:shd w:fill="17365D"/>
            <w:vAlign w:val="center"/>
            <w:tcBorders>
              <w:bottom w:val="single" w:sz="5" w:color="FFFFFF"/>
            </w:tcBorders>
          </w:tcPr>
          <w:p>
            <w:pPr>
              <w:jc w:val="left"/>
            </w:pPr>
            <w:r>
              <w:rPr>
                <w:b/>
                <w:color w:val="FFFFFF"/>
                <w:sz w:val="14"/>
              </w:rPr>
              <w:t>Limite dans ce projet</w:t>
            </w:r>
          </w:p>
        </w:tc>
      </w:tr>
      <w:tr>
        <w:trPr>
          <w:cantSplit/>
        </w:trPr>
        <w:tc>
          <w:tcPr>
            <w:tcW w:type="dxa" w:w="1587"/>
            <w:vAlign w:val="center"/>
            <w:tcBorders>
              <w:bottom w:val="single" w:sz="4" w:color="D8E1EC"/>
            </w:tcBorders>
          </w:tcPr>
          <w:p>
            <w:pPr>
              <w:spacing w:after="30" w:before="30"/>
            </w:pPr>
            <w:r>
              <w:rPr>
                <w:color w:val="182230"/>
                <w:sz w:val="14"/>
              </w:rPr>
              <w:t>Ridge</w:t>
            </w:r>
          </w:p>
        </w:tc>
        <w:tc>
          <w:tcPr>
            <w:tcW w:type="dxa" w:w="2608"/>
            <w:vAlign w:val="center"/>
            <w:tcBorders>
              <w:bottom w:val="single" w:sz="4" w:color="D8E1EC"/>
            </w:tcBorders>
          </w:tcPr>
          <w:p>
            <w:pPr>
              <w:spacing w:after="30" w:before="30"/>
            </w:pPr>
            <w:r>
              <w:rPr>
                <w:color w:val="182230"/>
                <w:sz w:val="14"/>
              </w:rPr>
              <w:t>Relation linéaire régularisée entre X et E/E₀</w:t>
            </w:r>
          </w:p>
        </w:tc>
        <w:tc>
          <w:tcPr>
            <w:tcW w:type="dxa" w:w="2438"/>
            <w:vAlign w:val="center"/>
            <w:tcBorders>
              <w:bottom w:val="single" w:sz="4" w:color="D8E1EC"/>
            </w:tcBorders>
          </w:tcPr>
          <w:p>
            <w:pPr>
              <w:spacing w:after="30" w:before="30"/>
            </w:pPr>
            <w:r>
              <w:rPr>
                <w:color w:val="182230"/>
                <w:sz w:val="14"/>
              </w:rPr>
              <w:t>Baseline stable et interprétable</w:t>
            </w:r>
          </w:p>
        </w:tc>
        <w:tc>
          <w:tcPr>
            <w:tcW w:type="dxa" w:w="2665"/>
            <w:vAlign w:val="center"/>
            <w:tcBorders>
              <w:bottom w:val="single" w:sz="4" w:color="D8E1EC"/>
            </w:tcBorders>
          </w:tcPr>
          <w:p>
            <w:pPr>
              <w:spacing w:after="30" w:before="30"/>
            </w:pPr>
            <w:r>
              <w:rPr>
                <w:color w:val="182230"/>
                <w:sz w:val="14"/>
              </w:rPr>
              <w:t>Interactions et régimes multiples limités</w:t>
            </w:r>
          </w:p>
        </w:tc>
      </w:tr>
      <w:tr>
        <w:trPr>
          <w:cantSplit/>
        </w:trPr>
        <w:tc>
          <w:tcPr>
            <w:tcW w:type="dxa" w:w="1587"/>
            <w:shd w:fill="F6F8FB"/>
            <w:vAlign w:val="center"/>
            <w:tcBorders>
              <w:bottom w:val="single" w:sz="4" w:color="D8E1EC"/>
            </w:tcBorders>
          </w:tcPr>
          <w:p>
            <w:pPr>
              <w:spacing w:after="30" w:before="30"/>
            </w:pPr>
            <w:r>
              <w:rPr>
                <w:color w:val="182230"/>
                <w:sz w:val="14"/>
              </w:rPr>
              <w:t>Random Forest</w:t>
            </w:r>
          </w:p>
        </w:tc>
        <w:tc>
          <w:tcPr>
            <w:tcW w:type="dxa" w:w="2608"/>
            <w:shd w:fill="F6F8FB"/>
            <w:vAlign w:val="center"/>
            <w:tcBorders>
              <w:bottom w:val="single" w:sz="4" w:color="D8E1EC"/>
            </w:tcBorders>
          </w:tcPr>
          <w:p>
            <w:pPr>
              <w:spacing w:after="30" w:before="30"/>
            </w:pPr>
            <w:r>
              <w:rPr>
                <w:color w:val="182230"/>
                <w:sz w:val="14"/>
              </w:rPr>
              <w:t>Découpages non linéaires et interactions</w:t>
            </w:r>
          </w:p>
        </w:tc>
        <w:tc>
          <w:tcPr>
            <w:tcW w:type="dxa" w:w="2438"/>
            <w:shd w:fill="F6F8FB"/>
            <w:vAlign w:val="center"/>
            <w:tcBorders>
              <w:bottom w:val="single" w:sz="4" w:color="D8E1EC"/>
            </w:tcBorders>
          </w:tcPr>
          <w:p>
            <w:pPr>
              <w:spacing w:after="30" w:before="30"/>
            </w:pPr>
            <w:r>
              <w:rPr>
                <w:color w:val="182230"/>
                <w:sz w:val="14"/>
              </w:rPr>
              <w:t>Robuste sans forme analytique</w:t>
            </w:r>
          </w:p>
        </w:tc>
        <w:tc>
          <w:tcPr>
            <w:tcW w:type="dxa" w:w="2665"/>
            <w:shd w:fill="F6F8FB"/>
            <w:vAlign w:val="center"/>
            <w:tcBorders>
              <w:bottom w:val="single" w:sz="4" w:color="D8E1EC"/>
            </w:tcBorders>
          </w:tcPr>
          <w:p>
            <w:pPr>
              <w:spacing w:after="30" w:before="30"/>
            </w:pPr>
            <w:r>
              <w:rPr>
                <w:color w:val="182230"/>
                <w:sz w:val="14"/>
              </w:rPr>
              <w:t>Extrapole mal hors plage ; paliers</w:t>
            </w:r>
          </w:p>
        </w:tc>
      </w:tr>
      <w:tr>
        <w:trPr>
          <w:cantSplit/>
        </w:trPr>
        <w:tc>
          <w:tcPr>
            <w:tcW w:type="dxa" w:w="1587"/>
            <w:vAlign w:val="center"/>
            <w:tcBorders>
              <w:bottom w:val="single" w:sz="4" w:color="D8E1EC"/>
            </w:tcBorders>
          </w:tcPr>
          <w:p>
            <w:pPr>
              <w:spacing w:after="30" w:before="30"/>
            </w:pPr>
            <w:r>
              <w:rPr>
                <w:color w:val="182230"/>
                <w:sz w:val="14"/>
              </w:rPr>
              <w:t>Gradient boosting</w:t>
            </w:r>
          </w:p>
        </w:tc>
        <w:tc>
          <w:tcPr>
            <w:tcW w:type="dxa" w:w="2608"/>
            <w:vAlign w:val="center"/>
            <w:tcBorders>
              <w:bottom w:val="single" w:sz="4" w:color="D8E1EC"/>
            </w:tcBorders>
          </w:tcPr>
          <w:p>
            <w:pPr>
              <w:spacing w:after="30" w:before="30"/>
            </w:pPr>
            <w:r>
              <w:rPr>
                <w:color w:val="182230"/>
                <w:sz w:val="14"/>
              </w:rPr>
              <w:t>Corrections successives des résidus</w:t>
            </w:r>
          </w:p>
        </w:tc>
        <w:tc>
          <w:tcPr>
            <w:tcW w:type="dxa" w:w="2438"/>
            <w:vAlign w:val="center"/>
            <w:tcBorders>
              <w:bottom w:val="single" w:sz="4" w:color="D8E1EC"/>
            </w:tcBorders>
          </w:tcPr>
          <w:p>
            <w:pPr>
              <w:spacing w:after="30" w:before="30"/>
            </w:pPr>
            <w:r>
              <w:rPr>
                <w:color w:val="182230"/>
                <w:sz w:val="14"/>
              </w:rPr>
              <w:t>Précis sur données tabulaires suffisantes</w:t>
            </w:r>
          </w:p>
        </w:tc>
        <w:tc>
          <w:tcPr>
            <w:tcW w:type="dxa" w:w="2665"/>
            <w:vAlign w:val="center"/>
            <w:tcBorders>
              <w:bottom w:val="single" w:sz="4" w:color="D8E1EC"/>
            </w:tcBorders>
          </w:tcPr>
          <w:p>
            <w:pPr>
              <w:spacing w:after="30" w:before="30"/>
            </w:pPr>
            <w:r>
              <w:rPr>
                <w:color w:val="182230"/>
                <w:sz w:val="14"/>
              </w:rPr>
              <w:t>Sensible au petit nombre de groupes</w:t>
            </w:r>
          </w:p>
        </w:tc>
      </w:tr>
      <w:tr>
        <w:trPr>
          <w:cantSplit/>
        </w:trPr>
        <w:tc>
          <w:tcPr>
            <w:tcW w:type="dxa" w:w="1587"/>
            <w:shd w:fill="F6F8FB"/>
            <w:vAlign w:val="center"/>
            <w:tcBorders>
              <w:bottom w:val="single" w:sz="4" w:color="D8E1EC"/>
            </w:tcBorders>
          </w:tcPr>
          <w:p>
            <w:pPr>
              <w:spacing w:after="30" w:before="30"/>
            </w:pPr>
            <w:r>
              <w:rPr>
                <w:color w:val="182230"/>
                <w:sz w:val="14"/>
              </w:rPr>
              <w:t>MLP</w:t>
            </w:r>
          </w:p>
        </w:tc>
        <w:tc>
          <w:tcPr>
            <w:tcW w:type="dxa" w:w="2608"/>
            <w:shd w:fill="F6F8FB"/>
            <w:vAlign w:val="center"/>
            <w:tcBorders>
              <w:bottom w:val="single" w:sz="4" w:color="D8E1EC"/>
            </w:tcBorders>
          </w:tcPr>
          <w:p>
            <w:pPr>
              <w:spacing w:after="30" w:before="30"/>
            </w:pPr>
            <w:r>
              <w:rPr>
                <w:color w:val="182230"/>
                <w:sz w:val="14"/>
              </w:rPr>
              <w:t>Représentation non linéaire générale</w:t>
            </w:r>
          </w:p>
        </w:tc>
        <w:tc>
          <w:tcPr>
            <w:tcW w:type="dxa" w:w="2438"/>
            <w:shd w:fill="F6F8FB"/>
            <w:vAlign w:val="center"/>
            <w:tcBorders>
              <w:bottom w:val="single" w:sz="4" w:color="D8E1EC"/>
            </w:tcBorders>
          </w:tcPr>
          <w:p>
            <w:pPr>
              <w:spacing w:after="30" w:before="30"/>
            </w:pPr>
            <w:r>
              <w:rPr>
                <w:color w:val="182230"/>
                <w:sz w:val="14"/>
              </w:rPr>
              <w:t>Flexible</w:t>
            </w:r>
          </w:p>
        </w:tc>
        <w:tc>
          <w:tcPr>
            <w:tcW w:type="dxa" w:w="2665"/>
            <w:shd w:fill="F6F8FB"/>
            <w:vAlign w:val="center"/>
            <w:tcBorders>
              <w:bottom w:val="single" w:sz="4" w:color="D8E1EC"/>
            </w:tcBorders>
          </w:tcPr>
          <w:p>
            <w:pPr>
              <w:spacing w:after="30" w:before="30"/>
            </w:pPr>
            <w:r>
              <w:rPr>
                <w:color w:val="182230"/>
                <w:sz w:val="14"/>
              </w:rPr>
              <w:t>Très fort risque d'overfitting ici</w:t>
            </w:r>
          </w:p>
        </w:tc>
      </w:tr>
      <w:tr>
        <w:trPr>
          <w:cantSplit/>
        </w:trPr>
        <w:tc>
          <w:tcPr>
            <w:tcW w:type="dxa" w:w="1587"/>
            <w:vAlign w:val="center"/>
            <w:tcBorders>
              <w:bottom w:val="single" w:sz="4" w:color="D8E1EC"/>
            </w:tcBorders>
          </w:tcPr>
          <w:p>
            <w:pPr>
              <w:spacing w:after="30" w:before="30"/>
            </w:pPr>
            <w:r>
              <w:rPr>
                <w:color w:val="182230"/>
                <w:sz w:val="14"/>
              </w:rPr>
              <w:t>PINN</w:t>
            </w:r>
          </w:p>
        </w:tc>
        <w:tc>
          <w:tcPr>
            <w:tcW w:type="dxa" w:w="2608"/>
            <w:vAlign w:val="center"/>
            <w:tcBorders>
              <w:bottom w:val="single" w:sz="4" w:color="D8E1EC"/>
            </w:tcBorders>
          </w:tcPr>
          <w:p>
            <w:pPr>
              <w:spacing w:after="30" w:before="30"/>
            </w:pPr>
            <w:r>
              <w:rPr>
                <w:color w:val="182230"/>
                <w:sz w:val="14"/>
              </w:rPr>
              <w:t>Équations physiques dans la fonction de coût</w:t>
            </w:r>
          </w:p>
        </w:tc>
        <w:tc>
          <w:tcPr>
            <w:tcW w:type="dxa" w:w="2438"/>
            <w:vAlign w:val="center"/>
            <w:tcBorders>
              <w:bottom w:val="single" w:sz="4" w:color="D8E1EC"/>
            </w:tcBorders>
          </w:tcPr>
          <w:p>
            <w:pPr>
              <w:spacing w:after="30" w:before="30"/>
            </w:pPr>
            <w:r>
              <w:rPr>
                <w:color w:val="182230"/>
                <w:sz w:val="14"/>
              </w:rPr>
              <w:t>Contraintes Fick/Arrhenius explicites</w:t>
            </w:r>
          </w:p>
        </w:tc>
        <w:tc>
          <w:tcPr>
            <w:tcW w:type="dxa" w:w="2665"/>
            <w:vAlign w:val="center"/>
            <w:tcBorders>
              <w:bottom w:val="single" w:sz="4" w:color="D8E1EC"/>
            </w:tcBorders>
          </w:tcPr>
          <w:p>
            <w:pPr>
              <w:spacing w:after="30" w:before="30"/>
            </w:pPr>
            <w:r>
              <w:rPr>
                <w:color w:val="182230"/>
                <w:sz w:val="14"/>
              </w:rPr>
              <w:t>Nécessite paramètres, conditions aux limites et données</w:t>
            </w:r>
          </w:p>
        </w:tc>
      </w:tr>
      <w:tr>
        <w:trPr>
          <w:cantSplit/>
        </w:trPr>
        <w:tc>
          <w:tcPr>
            <w:tcW w:type="dxa" w:w="1587"/>
            <w:shd w:fill="F6F8FB"/>
            <w:vAlign w:val="center"/>
            <w:tcBorders>
              <w:bottom w:val="single" w:sz="4" w:color="D8E1EC"/>
            </w:tcBorders>
          </w:tcPr>
          <w:p>
            <w:pPr>
              <w:spacing w:after="30" w:before="30"/>
            </w:pPr>
            <w:r>
              <w:rPr>
                <w:color w:val="182230"/>
                <w:sz w:val="14"/>
              </w:rPr>
              <w:t>Hybride SeaMat</w:t>
            </w:r>
          </w:p>
        </w:tc>
        <w:tc>
          <w:tcPr>
            <w:tcW w:type="dxa" w:w="2608"/>
            <w:shd w:fill="F6F8FB"/>
            <w:vAlign w:val="center"/>
            <w:tcBorders>
              <w:bottom w:val="single" w:sz="4" w:color="D8E1EC"/>
            </w:tcBorders>
          </w:tcPr>
          <w:p>
            <w:pPr>
              <w:spacing w:after="30" w:before="30"/>
            </w:pPr>
            <w:r>
              <w:rPr>
                <w:color w:val="182230"/>
                <w:sz w:val="14"/>
              </w:rPr>
              <w:t>Route de preuve + experts + correction statistique</w:t>
            </w:r>
          </w:p>
        </w:tc>
        <w:tc>
          <w:tcPr>
            <w:tcW w:type="dxa" w:w="2438"/>
            <w:shd w:fill="F6F8FB"/>
            <w:vAlign w:val="center"/>
            <w:tcBorders>
              <w:bottom w:val="single" w:sz="4" w:color="D8E1EC"/>
            </w:tcBorders>
          </w:tcPr>
          <w:p>
            <w:pPr>
              <w:spacing w:after="30" w:before="30"/>
            </w:pPr>
            <w:r>
              <w:rPr>
                <w:color w:val="182230"/>
                <w:sz w:val="14"/>
              </w:rPr>
              <w:t>Traçable et capable de refuser</w:t>
            </w:r>
          </w:p>
        </w:tc>
        <w:tc>
          <w:tcPr>
            <w:tcW w:type="dxa" w:w="2665"/>
            <w:shd w:fill="F6F8FB"/>
            <w:vAlign w:val="center"/>
            <w:tcBorders>
              <w:bottom w:val="single" w:sz="4" w:color="D8E1EC"/>
            </w:tcBorders>
          </w:tcPr>
          <w:p>
            <w:pPr>
              <w:spacing w:after="30" w:before="30"/>
            </w:pPr>
            <w:r>
              <w:rPr>
                <w:color w:val="182230"/>
                <w:sz w:val="14"/>
              </w:rPr>
              <w:t>Précision limitée par la couverture du corpus</w:t>
            </w:r>
          </w:p>
        </w:tc>
      </w:tr>
    </w:tbl>
    <w:p>
      <w:pPr>
        <w:spacing w:after="0"/>
      </w:pPr>
    </w:p>
    <w:p>
      <w:pPr>
        <w:pStyle w:val="Heading2"/>
        <w:keepNext/>
      </w:pPr>
      <w:r>
        <w:t>4.7 Architecture hiérarchique cible</w:t>
      </w:r>
    </w:p>
    <w:p>
      <w:r>
        <w:rPr>
          <w:i w:val="0"/>
        </w:rPr>
        <w:t>Pour une famille suffisamment documentée, les paramètres cinétiques sont décomposés en une moyenne de famille, un effet grade/formulation, un effet laboratoire/lot et un résidu. Un nouveau grade reçoit une distribution de paramètres conditionnée par sa composition et son procédé. La correction data driven apprend uniquement les résidus du modèle physique ; elle ne peut violer E(0)=E₀, la positivité ou les limites de domaine.</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θgrade = θfamille + Δcomposition + Δprocédé + ugrade</w:t>
            </w:r>
          </w:p>
        </w:tc>
        <w:tc>
          <w:tcPr>
            <w:tcW w:type="dxa" w:w="4933"/>
          </w:tcPr>
          <w:p>
            <w:pPr>
              <w:jc w:val="right"/>
            </w:pPr>
            <w:r>
              <w:rPr>
                <w:sz w:val="18"/>
              </w:rPr>
              <w:t>(5)</w:t>
            </w:r>
          </w:p>
        </w:tc>
      </w:tr>
    </w:tbl>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Rprédit(t) = Rphysique(t; θgrade) · exp[fML(X,t)]</w:t>
            </w:r>
          </w:p>
        </w:tc>
        <w:tc>
          <w:tcPr>
            <w:tcW w:type="dxa" w:w="4933"/>
          </w:tcPr>
          <w:p>
            <w:pPr>
              <w:jc w:val="right"/>
            </w:pPr>
            <w:r>
              <w:rPr>
                <w:sz w:val="18"/>
              </w:rPr>
              <w:t>(6)</w:t>
            </w:r>
          </w:p>
        </w:tc>
      </w:tr>
    </w:tbl>
    <w:p>
      <w:r>
        <w:rPr>
          <w:i w:val="0"/>
        </w:rPr>
        <w:t>Cette architecture est la cible pour les familles multi-grades. Elle n'est activée que si le masquage d'un grade complet prouve un gain face à la médiane des analogues. Avec le corpus actuel, seul le routage transparent est suffisamment démontré pour la production.</w:t>
      </w:r>
    </w:p>
    <w:p>
      <w:pPr>
        <w:pStyle w:val="Heading2"/>
        <w:keepNext/>
      </w:pPr>
      <w:r>
        <w:t>4.8 Contraintes physiques vérifiées</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814"/>
            <w:shd w:fill="17365D"/>
            <w:vAlign w:val="center"/>
            <w:tcBorders>
              <w:bottom w:val="single" w:sz="5" w:color="FFFFFF"/>
            </w:tcBorders>
          </w:tcPr>
          <w:p>
            <w:pPr>
              <w:jc w:val="left"/>
            </w:pPr>
            <w:r>
              <w:rPr>
                <w:b/>
                <w:color w:val="FFFFFF"/>
                <w:sz w:val="14"/>
              </w:rPr>
              <w:t>Contrainte</w:t>
            </w:r>
          </w:p>
        </w:tc>
        <w:tc>
          <w:tcPr>
            <w:tcW w:type="dxa" w:w="4025"/>
            <w:shd w:fill="17365D"/>
            <w:vAlign w:val="center"/>
            <w:tcBorders>
              <w:bottom w:val="single" w:sz="5" w:color="FFFFFF"/>
            </w:tcBorders>
          </w:tcPr>
          <w:p>
            <w:pPr>
              <w:jc w:val="left"/>
            </w:pPr>
            <w:r>
              <w:rPr>
                <w:b/>
                <w:color w:val="FFFFFF"/>
                <w:sz w:val="14"/>
              </w:rPr>
              <w:t>Test</w:t>
            </w:r>
          </w:p>
        </w:tc>
        <w:tc>
          <w:tcPr>
            <w:tcW w:type="dxa" w:w="3458"/>
            <w:shd w:fill="17365D"/>
            <w:vAlign w:val="center"/>
            <w:tcBorders>
              <w:bottom w:val="single" w:sz="5" w:color="FFFFFF"/>
            </w:tcBorders>
          </w:tcPr>
          <w:p>
            <w:pPr>
              <w:jc w:val="left"/>
            </w:pPr>
            <w:r>
              <w:rPr>
                <w:b/>
                <w:color w:val="FFFFFF"/>
                <w:sz w:val="14"/>
              </w:rPr>
              <w:t>Décision</w:t>
            </w:r>
          </w:p>
        </w:tc>
      </w:tr>
      <w:tr>
        <w:trPr>
          <w:cantSplit/>
        </w:trPr>
        <w:tc>
          <w:tcPr>
            <w:tcW w:type="dxa" w:w="1814"/>
            <w:vAlign w:val="center"/>
            <w:tcBorders>
              <w:bottom w:val="single" w:sz="4" w:color="D8E1EC"/>
            </w:tcBorders>
          </w:tcPr>
          <w:p>
            <w:pPr>
              <w:spacing w:after="30" w:before="30"/>
            </w:pPr>
            <w:r>
              <w:rPr>
                <w:color w:val="182230"/>
                <w:sz w:val="14"/>
              </w:rPr>
              <w:t>Condition initiale</w:t>
            </w:r>
          </w:p>
        </w:tc>
        <w:tc>
          <w:tcPr>
            <w:tcW w:type="dxa" w:w="4025"/>
            <w:vAlign w:val="center"/>
            <w:tcBorders>
              <w:bottom w:val="single" w:sz="4" w:color="D8E1EC"/>
            </w:tcBorders>
          </w:tcPr>
          <w:p>
            <w:pPr>
              <w:spacing w:after="30" w:before="30"/>
            </w:pPr>
            <w:r>
              <w:rPr>
                <w:color w:val="182230"/>
                <w:sz w:val="14"/>
              </w:rPr>
              <w:t>R(0)=1 à la précision machine</w:t>
            </w:r>
          </w:p>
        </w:tc>
        <w:tc>
          <w:tcPr>
            <w:tcW w:type="dxa" w:w="3458"/>
            <w:vAlign w:val="center"/>
            <w:tcBorders>
              <w:bottom w:val="single" w:sz="4" w:color="D8E1EC"/>
            </w:tcBorders>
          </w:tcPr>
          <w:p>
            <w:pPr>
              <w:spacing w:after="30" w:before="30"/>
            </w:pPr>
            <w:r>
              <w:rPr>
                <w:color w:val="182230"/>
                <w:sz w:val="14"/>
              </w:rPr>
              <w:t>Bloquer sinon</w:t>
            </w:r>
          </w:p>
        </w:tc>
      </w:tr>
      <w:tr>
        <w:trPr>
          <w:cantSplit/>
        </w:trPr>
        <w:tc>
          <w:tcPr>
            <w:tcW w:type="dxa" w:w="1814"/>
            <w:shd w:fill="F6F8FB"/>
            <w:vAlign w:val="center"/>
            <w:tcBorders>
              <w:bottom w:val="single" w:sz="4" w:color="D8E1EC"/>
            </w:tcBorders>
          </w:tcPr>
          <w:p>
            <w:pPr>
              <w:spacing w:after="30" w:before="30"/>
            </w:pPr>
            <w:r>
              <w:rPr>
                <w:color w:val="182230"/>
                <w:sz w:val="14"/>
              </w:rPr>
              <w:t>Positivité</w:t>
            </w:r>
          </w:p>
        </w:tc>
        <w:tc>
          <w:tcPr>
            <w:tcW w:type="dxa" w:w="4025"/>
            <w:shd w:fill="F6F8FB"/>
            <w:vAlign w:val="center"/>
            <w:tcBorders>
              <w:bottom w:val="single" w:sz="4" w:color="D8E1EC"/>
            </w:tcBorders>
          </w:tcPr>
          <w:p>
            <w:pPr>
              <w:spacing w:after="30" w:before="30"/>
            </w:pPr>
            <w:r>
              <w:rPr>
                <w:color w:val="182230"/>
                <w:sz w:val="14"/>
              </w:rPr>
              <w:t>E(t)&gt;0 et paramètres finis</w:t>
            </w:r>
          </w:p>
        </w:tc>
        <w:tc>
          <w:tcPr>
            <w:tcW w:type="dxa" w:w="3458"/>
            <w:shd w:fill="F6F8FB"/>
            <w:vAlign w:val="center"/>
            <w:tcBorders>
              <w:bottom w:val="single" w:sz="4" w:color="D8E1EC"/>
            </w:tcBorders>
          </w:tcPr>
          <w:p>
            <w:pPr>
              <w:spacing w:after="30" w:before="30"/>
            </w:pPr>
            <w:r>
              <w:rPr>
                <w:color w:val="182230"/>
                <w:sz w:val="14"/>
              </w:rPr>
              <w:t>Bloquer les trajectoires invalides</w:t>
            </w:r>
          </w:p>
        </w:tc>
      </w:tr>
      <w:tr>
        <w:trPr>
          <w:cantSplit/>
        </w:trPr>
        <w:tc>
          <w:tcPr>
            <w:tcW w:type="dxa" w:w="1814"/>
            <w:vAlign w:val="center"/>
            <w:tcBorders>
              <w:bottom w:val="single" w:sz="4" w:color="D8E1EC"/>
            </w:tcBorders>
          </w:tcPr>
          <w:p>
            <w:pPr>
              <w:spacing w:after="30" w:before="30"/>
            </w:pPr>
            <w:r>
              <w:rPr>
                <w:color w:val="182230"/>
                <w:sz w:val="14"/>
              </w:rPr>
              <w:t>Transitions</w:t>
            </w:r>
          </w:p>
        </w:tc>
        <w:tc>
          <w:tcPr>
            <w:tcW w:type="dxa" w:w="4025"/>
            <w:vAlign w:val="center"/>
            <w:tcBorders>
              <w:bottom w:val="single" w:sz="4" w:color="D8E1EC"/>
            </w:tcBorders>
          </w:tcPr>
          <w:p>
            <w:pPr>
              <w:spacing w:after="30" w:before="30"/>
            </w:pPr>
            <w:r>
              <w:rPr>
                <w:color w:val="182230"/>
                <w:sz w:val="14"/>
              </w:rPr>
              <w:t>Pas de transfert simple à travers Tg ou au-dessus de Tm</w:t>
            </w:r>
          </w:p>
        </w:tc>
        <w:tc>
          <w:tcPr>
            <w:tcW w:type="dxa" w:w="3458"/>
            <w:vAlign w:val="center"/>
            <w:tcBorders>
              <w:bottom w:val="single" w:sz="4" w:color="D8E1EC"/>
            </w:tcBorders>
          </w:tcPr>
          <w:p>
            <w:pPr>
              <w:spacing w:after="30" w:before="30"/>
            </w:pPr>
            <w:r>
              <w:rPr>
                <w:color w:val="182230"/>
                <w:sz w:val="14"/>
              </w:rPr>
              <w:t>Refus avec justification</w:t>
            </w:r>
          </w:p>
        </w:tc>
      </w:tr>
      <w:tr>
        <w:trPr>
          <w:cantSplit/>
        </w:trPr>
        <w:tc>
          <w:tcPr>
            <w:tcW w:type="dxa" w:w="1814"/>
            <w:shd w:fill="F6F8FB"/>
            <w:vAlign w:val="center"/>
            <w:tcBorders>
              <w:bottom w:val="single" w:sz="4" w:color="D8E1EC"/>
            </w:tcBorders>
          </w:tcPr>
          <w:p>
            <w:pPr>
              <w:spacing w:after="30" w:before="30"/>
            </w:pPr>
            <w:r>
              <w:rPr>
                <w:color w:val="182230"/>
                <w:sz w:val="14"/>
              </w:rPr>
              <w:t>Diffusion</w:t>
            </w:r>
          </w:p>
        </w:tc>
        <w:tc>
          <w:tcPr>
            <w:tcW w:type="dxa" w:w="4025"/>
            <w:shd w:fill="F6F8FB"/>
            <w:vAlign w:val="center"/>
            <w:tcBorders>
              <w:bottom w:val="single" w:sz="4" w:color="D8E1EC"/>
            </w:tcBorders>
          </w:tcPr>
          <w:p>
            <w:pPr>
              <w:spacing w:after="30" w:before="30"/>
            </w:pPr>
            <w:r>
              <w:rPr>
                <w:color w:val="182230"/>
                <w:sz w:val="14"/>
              </w:rPr>
              <w:t>Temps caractéristique proportionnel à e²/D</w:t>
            </w:r>
          </w:p>
        </w:tc>
        <w:tc>
          <w:tcPr>
            <w:tcW w:type="dxa" w:w="3458"/>
            <w:shd w:fill="F6F8FB"/>
            <w:vAlign w:val="center"/>
            <w:tcBorders>
              <w:bottom w:val="single" w:sz="4" w:color="D8E1EC"/>
            </w:tcBorders>
          </w:tcPr>
          <w:p>
            <w:pPr>
              <w:spacing w:after="30" w:before="30"/>
            </w:pPr>
            <w:r>
              <w:rPr>
                <w:color w:val="182230"/>
                <w:sz w:val="14"/>
              </w:rPr>
              <w:t>Test analytique multi-épaisseurs</w:t>
            </w:r>
          </w:p>
        </w:tc>
      </w:tr>
      <w:tr>
        <w:trPr>
          <w:cantSplit/>
        </w:trPr>
        <w:tc>
          <w:tcPr>
            <w:tcW w:type="dxa" w:w="1814"/>
            <w:vAlign w:val="center"/>
            <w:tcBorders>
              <w:bottom w:val="single" w:sz="4" w:color="D8E1EC"/>
            </w:tcBorders>
          </w:tcPr>
          <w:p>
            <w:pPr>
              <w:spacing w:after="30" w:before="30"/>
            </w:pPr>
            <w:r>
              <w:rPr>
                <w:color w:val="182230"/>
                <w:sz w:val="14"/>
              </w:rPr>
              <w:t>Arrhenius</w:t>
            </w:r>
          </w:p>
        </w:tc>
        <w:tc>
          <w:tcPr>
            <w:tcW w:type="dxa" w:w="4025"/>
            <w:vAlign w:val="center"/>
            <w:tcBorders>
              <w:bottom w:val="single" w:sz="4" w:color="D8E1EC"/>
            </w:tcBorders>
          </w:tcPr>
          <w:p>
            <w:pPr>
              <w:spacing w:after="30" w:before="30"/>
            </w:pPr>
            <w:r>
              <w:rPr>
                <w:color w:val="182230"/>
                <w:sz w:val="14"/>
              </w:rPr>
              <w:t>k augmente selon Eₐ et T dans un même mécanisme</w:t>
            </w:r>
          </w:p>
        </w:tc>
        <w:tc>
          <w:tcPr>
            <w:tcW w:type="dxa" w:w="3458"/>
            <w:vAlign w:val="center"/>
            <w:tcBorders>
              <w:bottom w:val="single" w:sz="4" w:color="D8E1EC"/>
            </w:tcBorders>
          </w:tcPr>
          <w:p>
            <w:pPr>
              <w:spacing w:after="30" w:before="30"/>
            </w:pPr>
            <w:r>
              <w:rPr>
                <w:color w:val="182230"/>
                <w:sz w:val="14"/>
              </w:rPr>
              <w:t>Test de sensibilité et domaine</w:t>
            </w:r>
          </w:p>
        </w:tc>
      </w:tr>
      <w:tr>
        <w:trPr>
          <w:cantSplit/>
        </w:trPr>
        <w:tc>
          <w:tcPr>
            <w:tcW w:type="dxa" w:w="1814"/>
            <w:shd w:fill="F6F8FB"/>
            <w:vAlign w:val="center"/>
            <w:tcBorders>
              <w:bottom w:val="single" w:sz="4" w:color="D8E1EC"/>
            </w:tcBorders>
          </w:tcPr>
          <w:p>
            <w:pPr>
              <w:spacing w:after="30" w:before="30"/>
            </w:pPr>
            <w:r>
              <w:rPr>
                <w:color w:val="182230"/>
                <w:sz w:val="14"/>
              </w:rPr>
              <w:t>Non-monotonie</w:t>
            </w:r>
          </w:p>
        </w:tc>
        <w:tc>
          <w:tcPr>
            <w:tcW w:type="dxa" w:w="4025"/>
            <w:shd w:fill="F6F8FB"/>
            <w:vAlign w:val="center"/>
            <w:tcBorders>
              <w:bottom w:val="single" w:sz="4" w:color="D8E1EC"/>
            </w:tcBorders>
          </w:tcPr>
          <w:p>
            <w:pPr>
              <w:spacing w:after="30" w:before="30"/>
            </w:pPr>
            <w:r>
              <w:rPr>
                <w:color w:val="182230"/>
                <w:sz w:val="14"/>
              </w:rPr>
              <w:t>Rigidification puis perte autorisées</w:t>
            </w:r>
          </w:p>
        </w:tc>
        <w:tc>
          <w:tcPr>
            <w:tcW w:type="dxa" w:w="3458"/>
            <w:shd w:fill="F6F8FB"/>
            <w:vAlign w:val="center"/>
            <w:tcBorders>
              <w:bottom w:val="single" w:sz="4" w:color="D8E1EC"/>
            </w:tcBorders>
          </w:tcPr>
          <w:p>
            <w:pPr>
              <w:spacing w:after="30" w:before="30"/>
            </w:pPr>
            <w:r>
              <w:rPr>
                <w:color w:val="182230"/>
                <w:sz w:val="14"/>
              </w:rPr>
              <w:t>Ne pas forcer une décroissance</w:t>
            </w:r>
          </w:p>
        </w:tc>
      </w:tr>
      <w:tr>
        <w:trPr>
          <w:cantSplit/>
        </w:trPr>
        <w:tc>
          <w:tcPr>
            <w:tcW w:type="dxa" w:w="1814"/>
            <w:vAlign w:val="center"/>
            <w:tcBorders>
              <w:bottom w:val="single" w:sz="4" w:color="D8E1EC"/>
            </w:tcBorders>
          </w:tcPr>
          <w:p>
            <w:pPr>
              <w:spacing w:after="30" w:before="30"/>
            </w:pPr>
            <w:r>
              <w:rPr>
                <w:color w:val="182230"/>
                <w:sz w:val="14"/>
              </w:rPr>
              <w:t>Seuil</w:t>
            </w:r>
          </w:p>
        </w:tc>
        <w:tc>
          <w:tcPr>
            <w:tcW w:type="dxa" w:w="4025"/>
            <w:vAlign w:val="center"/>
            <w:tcBorders>
              <w:bottom w:val="single" w:sz="4" w:color="D8E1EC"/>
            </w:tcBorders>
          </w:tcPr>
          <w:p>
            <w:pPr>
              <w:spacing w:after="30" w:before="30"/>
            </w:pPr>
            <w:r>
              <w:rPr>
                <w:color w:val="182230"/>
                <w:sz w:val="14"/>
              </w:rPr>
              <w:t>Le seuil ne modifie jamais la courbe</w:t>
            </w:r>
          </w:p>
        </w:tc>
        <w:tc>
          <w:tcPr>
            <w:tcW w:type="dxa" w:w="3458"/>
            <w:vAlign w:val="center"/>
            <w:tcBorders>
              <w:bottom w:val="single" w:sz="4" w:color="D8E1EC"/>
            </w:tcBorders>
          </w:tcPr>
          <w:p>
            <w:pPr>
              <w:spacing w:after="30" w:before="30"/>
            </w:pPr>
            <w:r>
              <w:rPr>
                <w:color w:val="182230"/>
                <w:sz w:val="14"/>
              </w:rPr>
              <w:t>Test de non-régression</w:t>
            </w:r>
          </w:p>
        </w:tc>
      </w:tr>
    </w:tbl>
    <w:p>
      <w:pPr>
        <w:spacing w:after="0"/>
      </w:pPr>
    </w:p>
    <w:p>
      <w:pPr>
        <w:pStyle w:val="Heading1"/>
        <w:keepNext/>
        <w:pageBreakBefore/>
      </w:pPr>
      <w:r>
        <w:t>5. Protocole de validation et indicateurs</w:t>
      </w:r>
    </w:p>
    <w:p>
      <w:pPr>
        <w:pStyle w:val="Heading2"/>
        <w:keepNext/>
      </w:pPr>
      <w:r>
        <w:t>5.1 Prévention des fuites d'information</w:t>
      </w:r>
    </w:p>
    <w:p>
      <w:r>
        <w:rPr>
          <w:i w:val="0"/>
        </w:rPr>
        <w:t>Le découpage aléatoire point par point est interdit : des temps voisins de la même éprouvette seraient présents dans apprentissage et test. Les groupes cohérents sont masqués en totalité. Pour le PP, une formulation entière est retirée ; pour l'IIR, la courbe à 100 °C est retirée ; pour le lin/époxy, une campagne de température est retirée.</w:t>
      </w:r>
    </w:p>
    <w:p>
      <w:pPr>
        <w:pStyle w:val="Heading2"/>
        <w:keepNext/>
      </w:pPr>
      <w:r>
        <w:t>5.2 Indicateurs</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MAE = (1/n) Σ |ŷᵢ - yᵢ|</w:t>
            </w:r>
          </w:p>
        </w:tc>
        <w:tc>
          <w:tcPr>
            <w:tcW w:type="dxa" w:w="4933"/>
          </w:tcPr>
          <w:p>
            <w:pPr>
              <w:jc w:val="right"/>
            </w:pPr>
            <w:r>
              <w:rPr>
                <w:sz w:val="18"/>
              </w:rPr>
              <w:t>(7)</w:t>
            </w:r>
          </w:p>
        </w:tc>
      </w:tr>
    </w:tbl>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RMSE = √[(1/n) Σ (ŷᵢ - yᵢ)²]</w:t>
            </w:r>
          </w:p>
        </w:tc>
        <w:tc>
          <w:tcPr>
            <w:tcW w:type="dxa" w:w="4933"/>
          </w:tcPr>
          <w:p>
            <w:pPr>
              <w:jc w:val="right"/>
            </w:pPr>
            <w:r>
              <w:rPr>
                <w:sz w:val="18"/>
              </w:rPr>
              <w:t>(8)</w:t>
            </w:r>
          </w:p>
        </w:tc>
      </w:tr>
    </w:tbl>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MAPE = (100/n) Σ |ŷᵢ - yᵢ| / |yᵢ|</w:t>
            </w:r>
          </w:p>
        </w:tc>
        <w:tc>
          <w:tcPr>
            <w:tcW w:type="dxa" w:w="4933"/>
          </w:tcPr>
          <w:p>
            <w:pPr>
              <w:jc w:val="right"/>
            </w:pPr>
            <w:r>
              <w:rPr>
                <w:sz w:val="18"/>
              </w:rPr>
              <w:t>(9)</w:t>
            </w:r>
          </w:p>
        </w:tc>
      </w:tr>
    </w:tbl>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R² = 1 - Σ(yᵢ-ŷᵢ)² / Σ(yᵢ-ȳ)²</w:t>
            </w:r>
          </w:p>
        </w:tc>
        <w:tc>
          <w:tcPr>
            <w:tcW w:type="dxa" w:w="4933"/>
          </w:tcPr>
          <w:p>
            <w:pPr>
              <w:jc w:val="right"/>
            </w:pPr>
            <w:r>
              <w:rPr>
                <w:sz w:val="18"/>
              </w:rPr>
              <w:t>(10)</w:t>
            </w:r>
          </w:p>
        </w:tc>
      </w:tr>
    </w:tbl>
    <w:p>
      <w:r>
        <w:rPr>
          <w:i w:val="0"/>
        </w:rPr>
        <w:t>La couverture de bande est le pourcentage de valeurs masquées situées entre les bornes. Elle doit être rapportée avec le nombre de groupes indépendants : huit points temporels issus de quatre formulations ne constituent pas huit publications indépendantes.</w:t>
      </w:r>
    </w:p>
    <w:p>
      <w:r>
        <w:rPr>
          <w:i w:val="0"/>
        </w:rPr>
        <w:t>Exemple sur une prédiction masquée. Pour R-PP1x à 30 jours, y = 561,8 MPa et ŷ = 549,73 MPa. L'erreur signée vaut -12,07 MPa ; l'erreur absolue vaut 12,07 MPa ; l'APE vaut 100 × 12,07 / 561,8 = 2,15 %. La MAE moyenne ensuite les huit erreurs absolues ; la RMSE élève les erreurs au carré avant la moyenne et pénalise donc davantage les grandes erreurs ; la MAPE moyenne les huit APE ; R² compare la somme des erreurs quadratiques à celle d'une prédiction constante égale à la moyenne observée.</w:t>
      </w:r>
    </w:p>
    <w:p>
      <w:pPr>
        <w:pStyle w:val="Heading2"/>
        <w:keepNext/>
      </w:pPr>
      <w:r>
        <w:t>5.3 Références simples</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814"/>
            <w:shd w:fill="17365D"/>
            <w:vAlign w:val="center"/>
            <w:tcBorders>
              <w:bottom w:val="single" w:sz="5" w:color="FFFFFF"/>
            </w:tcBorders>
          </w:tcPr>
          <w:p>
            <w:pPr>
              <w:jc w:val="left"/>
            </w:pPr>
            <w:r>
              <w:rPr>
                <w:b/>
                <w:color w:val="FFFFFF"/>
                <w:sz w:val="16"/>
              </w:rPr>
              <w:t>Référence</w:t>
            </w:r>
          </w:p>
        </w:tc>
        <w:tc>
          <w:tcPr>
            <w:tcW w:type="dxa" w:w="3515"/>
            <w:shd w:fill="17365D"/>
            <w:vAlign w:val="center"/>
            <w:tcBorders>
              <w:bottom w:val="single" w:sz="5" w:color="FFFFFF"/>
            </w:tcBorders>
          </w:tcPr>
          <w:p>
            <w:pPr>
              <w:jc w:val="left"/>
            </w:pPr>
            <w:r>
              <w:rPr>
                <w:b/>
                <w:color w:val="FFFFFF"/>
                <w:sz w:val="16"/>
              </w:rPr>
              <w:t>Principe</w:t>
            </w:r>
          </w:p>
        </w:tc>
        <w:tc>
          <w:tcPr>
            <w:tcW w:type="dxa" w:w="3969"/>
            <w:shd w:fill="17365D"/>
            <w:vAlign w:val="center"/>
            <w:tcBorders>
              <w:bottom w:val="single" w:sz="5" w:color="FFFFFF"/>
            </w:tcBorders>
          </w:tcPr>
          <w:p>
            <w:pPr>
              <w:jc w:val="left"/>
            </w:pPr>
            <w:r>
              <w:rPr>
                <w:b/>
                <w:color w:val="FFFFFF"/>
                <w:sz w:val="16"/>
              </w:rPr>
              <w:t>Intérêt</w:t>
            </w:r>
          </w:p>
        </w:tc>
      </w:tr>
      <w:tr>
        <w:trPr>
          <w:cantSplit/>
        </w:trPr>
        <w:tc>
          <w:tcPr>
            <w:tcW w:type="dxa" w:w="1814"/>
            <w:vAlign w:val="center"/>
            <w:tcBorders>
              <w:bottom w:val="single" w:sz="4" w:color="D8E1EC"/>
            </w:tcBorders>
          </w:tcPr>
          <w:p>
            <w:pPr>
              <w:spacing w:after="30" w:before="30"/>
            </w:pPr>
            <w:r>
              <w:rPr>
                <w:color w:val="182230"/>
                <w:sz w:val="16"/>
              </w:rPr>
              <w:t>Persistance</w:t>
            </w:r>
          </w:p>
        </w:tc>
        <w:tc>
          <w:tcPr>
            <w:tcW w:type="dxa" w:w="3515"/>
            <w:vAlign w:val="center"/>
            <w:tcBorders>
              <w:bottom w:val="single" w:sz="4" w:color="D8E1EC"/>
            </w:tcBorders>
          </w:tcPr>
          <w:p>
            <w:pPr>
              <w:spacing w:after="30" w:before="30"/>
            </w:pPr>
            <w:r>
              <w:rPr>
                <w:color w:val="182230"/>
                <w:sz w:val="16"/>
              </w:rPr>
              <w:t>E120 = E30</w:t>
            </w:r>
          </w:p>
        </w:tc>
        <w:tc>
          <w:tcPr>
            <w:tcW w:type="dxa" w:w="3969"/>
            <w:vAlign w:val="center"/>
            <w:tcBorders>
              <w:bottom w:val="single" w:sz="4" w:color="D8E1EC"/>
            </w:tcBorders>
          </w:tcPr>
          <w:p>
            <w:pPr>
              <w:spacing w:after="30" w:before="30"/>
            </w:pPr>
            <w:r>
              <w:rPr>
                <w:color w:val="182230"/>
                <w:sz w:val="16"/>
              </w:rPr>
              <w:t>Mesure le gain par rapport à l'absence de vieillissement tardif.</w:t>
            </w:r>
          </w:p>
        </w:tc>
      </w:tr>
      <w:tr>
        <w:trPr>
          <w:cantSplit/>
        </w:trPr>
        <w:tc>
          <w:tcPr>
            <w:tcW w:type="dxa" w:w="1814"/>
            <w:shd w:fill="F6F8FB"/>
            <w:vAlign w:val="center"/>
            <w:tcBorders>
              <w:bottom w:val="single" w:sz="4" w:color="D8E1EC"/>
            </w:tcBorders>
          </w:tcPr>
          <w:p>
            <w:pPr>
              <w:spacing w:after="30" w:before="30"/>
            </w:pPr>
            <w:r>
              <w:rPr>
                <w:color w:val="182230"/>
                <w:sz w:val="16"/>
              </w:rPr>
              <w:t>Linéaire</w:t>
            </w:r>
          </w:p>
        </w:tc>
        <w:tc>
          <w:tcPr>
            <w:tcW w:type="dxa" w:w="3515"/>
            <w:shd w:fill="F6F8FB"/>
            <w:vAlign w:val="center"/>
            <w:tcBorders>
              <w:bottom w:val="single" w:sz="4" w:color="D8E1EC"/>
            </w:tcBorders>
          </w:tcPr>
          <w:p>
            <w:pPr>
              <w:spacing w:after="30" w:before="30"/>
            </w:pPr>
            <w:r>
              <w:rPr>
                <w:color w:val="182230"/>
                <w:sz w:val="16"/>
              </w:rPr>
              <w:t>Prolonge la pente 0-30 jours</w:t>
            </w:r>
          </w:p>
        </w:tc>
        <w:tc>
          <w:tcPr>
            <w:tcW w:type="dxa" w:w="3969"/>
            <w:shd w:fill="F6F8FB"/>
            <w:vAlign w:val="center"/>
            <w:tcBorders>
              <w:bottom w:val="single" w:sz="4" w:color="D8E1EC"/>
            </w:tcBorders>
          </w:tcPr>
          <w:p>
            <w:pPr>
              <w:spacing w:after="30" w:before="30"/>
            </w:pPr>
            <w:r>
              <w:rPr>
                <w:color w:val="182230"/>
                <w:sz w:val="16"/>
              </w:rPr>
              <w:t>Détecte les extrapolations trop agressives.</w:t>
            </w:r>
          </w:p>
        </w:tc>
      </w:tr>
      <w:tr>
        <w:trPr>
          <w:cantSplit/>
        </w:trPr>
        <w:tc>
          <w:tcPr>
            <w:tcW w:type="dxa" w:w="1814"/>
            <w:vAlign w:val="center"/>
            <w:tcBorders>
              <w:bottom w:val="single" w:sz="4" w:color="D8E1EC"/>
            </w:tcBorders>
          </w:tcPr>
          <w:p>
            <w:pPr>
              <w:spacing w:after="30" w:before="30"/>
            </w:pPr>
            <w:r>
              <w:rPr>
                <w:color w:val="182230"/>
                <w:sz w:val="16"/>
              </w:rPr>
              <w:t>Exponentielle</w:t>
            </w:r>
          </w:p>
        </w:tc>
        <w:tc>
          <w:tcPr>
            <w:tcW w:type="dxa" w:w="3515"/>
            <w:vAlign w:val="center"/>
            <w:tcBorders>
              <w:bottom w:val="single" w:sz="4" w:color="D8E1EC"/>
            </w:tcBorders>
          </w:tcPr>
          <w:p>
            <w:pPr>
              <w:spacing w:after="30" w:before="30"/>
            </w:pPr>
            <w:r>
              <w:rPr>
                <w:color w:val="182230"/>
                <w:sz w:val="16"/>
              </w:rPr>
              <w:t>Ajuste k sur 0 et 30 jours</w:t>
            </w:r>
          </w:p>
        </w:tc>
        <w:tc>
          <w:tcPr>
            <w:tcW w:type="dxa" w:w="3969"/>
            <w:vAlign w:val="center"/>
            <w:tcBorders>
              <w:bottom w:val="single" w:sz="4" w:color="D8E1EC"/>
            </w:tcBorders>
          </w:tcPr>
          <w:p>
            <w:pPr>
              <w:spacing w:after="30" w:before="30"/>
            </w:pPr>
            <w:r>
              <w:rPr>
                <w:color w:val="182230"/>
                <w:sz w:val="16"/>
              </w:rPr>
              <w:t>Teste une cinétique monotone à un paramètre.</w:t>
            </w:r>
          </w:p>
        </w:tc>
      </w:tr>
      <w:tr>
        <w:trPr>
          <w:cantSplit/>
        </w:trPr>
        <w:tc>
          <w:tcPr>
            <w:tcW w:type="dxa" w:w="1814"/>
            <w:shd w:fill="F6F8FB"/>
            <w:vAlign w:val="center"/>
            <w:tcBorders>
              <w:bottom w:val="single" w:sz="4" w:color="D8E1EC"/>
            </w:tcBorders>
          </w:tcPr>
          <w:p>
            <w:pPr>
              <w:spacing w:after="30" w:before="30"/>
            </w:pPr>
            <w:r>
              <w:rPr>
                <w:color w:val="182230"/>
                <w:sz w:val="16"/>
              </w:rPr>
              <w:t>Rétention des pairs</w:t>
            </w:r>
          </w:p>
        </w:tc>
        <w:tc>
          <w:tcPr>
            <w:tcW w:type="dxa" w:w="3515"/>
            <w:shd w:fill="F6F8FB"/>
            <w:vAlign w:val="center"/>
            <w:tcBorders>
              <w:bottom w:val="single" w:sz="4" w:color="D8E1EC"/>
            </w:tcBorders>
          </w:tcPr>
          <w:p>
            <w:pPr>
              <w:spacing w:after="30" w:before="30"/>
            </w:pPr>
            <w:r>
              <w:rPr>
                <w:color w:val="182230"/>
                <w:sz w:val="16"/>
              </w:rPr>
              <w:t>Médiane des formulations comparables</w:t>
            </w:r>
          </w:p>
        </w:tc>
        <w:tc>
          <w:tcPr>
            <w:tcW w:type="dxa" w:w="3969"/>
            <w:shd w:fill="F6F8FB"/>
            <w:vAlign w:val="center"/>
            <w:tcBorders>
              <w:bottom w:val="single" w:sz="4" w:color="D8E1EC"/>
            </w:tcBorders>
          </w:tcPr>
          <w:p>
            <w:pPr>
              <w:spacing w:after="30" w:before="30"/>
            </w:pPr>
            <w:r>
              <w:rPr>
                <w:color w:val="182230"/>
                <w:sz w:val="16"/>
              </w:rPr>
              <w:t>Cas réaliste sans vieillissement de la cible.</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C44747"/>
            <w:tcBorders>
              <w:top w:val="nil"/>
              <w:left w:val="nil"/>
              <w:bottom w:val="nil"/>
              <w:right w:val="nil"/>
            </w:tcBorders>
          </w:tcPr>
          <w:p/>
        </w:tc>
        <w:tc>
          <w:tcPr>
            <w:tcW w:type="dxa" w:w="4933"/>
            <w:shd w:fill="FCEEEE"/>
            <w:tcBorders>
              <w:top w:val="nil"/>
              <w:left w:val="nil"/>
              <w:bottom w:val="nil"/>
              <w:right w:val="nil"/>
            </w:tcBorders>
          </w:tcPr>
          <w:p>
            <w:pPr>
              <w:spacing w:after="40"/>
            </w:pPr>
            <w:r>
              <w:rPr>
                <w:b/>
                <w:color w:val="C44747"/>
              </w:rPr>
              <w:t xml:space="preserve">Règle  </w:t>
            </w:r>
            <w:r>
              <w:t>Une valeur R² négative signifie que la prédiction est moins informative que la moyenne du jeu testé. Cette route ne doit pas être présentée comme validée.</w:t>
            </w:r>
          </w:p>
        </w:tc>
      </w:tr>
    </w:tbl>
    <w:p>
      <w:pPr>
        <w:pStyle w:val="Heading2"/>
        <w:keepNext/>
      </w:pPr>
      <w:r>
        <w:t>5.4 Que signifie précisément le pourcentage affiché ?</w:t>
      </w:r>
    </w:p>
    <w:p>
      <w:pPr>
        <w:keepNext/>
        <w:jc w:val="center"/>
      </w:pPr>
      <w:r>
        <w:drawing>
          <wp:inline xmlns:a="http://schemas.openxmlformats.org/drawingml/2006/main" xmlns:pic="http://schemas.openxmlformats.org/drawingml/2006/picture">
            <wp:extent cx="5688000" cy="3199500"/>
            <wp:docPr id="5" name="Picture 5"/>
            <wp:cNvGraphicFramePr>
              <a:graphicFrameLocks noChangeAspect="1"/>
            </wp:cNvGraphicFramePr>
            <a:graphic>
              <a:graphicData uri="http://schemas.openxmlformats.org/drawingml/2006/picture">
                <pic:pic>
                  <pic:nvPicPr>
                    <pic:cNvPr id="0" name="precision_ladder.png"/>
                    <pic:cNvPicPr/>
                  </pic:nvPicPr>
                  <pic:blipFill>
                    <a:blip r:embed="rId14"/>
                    <a:stretch>
                      <a:fillRect/>
                    </a:stretch>
                  </pic:blipFill>
                  <pic:spPr>
                    <a:xfrm>
                      <a:off x="0" y="0"/>
                      <a:ext cx="5688000" cy="3199500"/>
                    </a:xfrm>
                    <a:prstGeom prst="rect"/>
                  </pic:spPr>
                </pic:pic>
              </a:graphicData>
            </a:graphic>
          </wp:inline>
        </w:drawing>
      </w:r>
    </w:p>
    <w:p>
      <w:pPr>
        <w:pStyle w:val="Caption"/>
        <w:keepLines/>
      </w:pPr>
      <w:r>
        <w:t>Figure 5 - Les cinq niveaux nécessaires pour parler de précision ou de fiabilité.</w:t>
      </w:r>
    </w:p>
    <w:p>
      <w:r>
        <w:rPr>
          <w:i w:val="0"/>
        </w:rPr>
        <w:t>Le mot « précision » est ambigu. SeaMat sépare la justesse numérique, l'erreur de la courbe centrale, la couverture de l'intervalle, l'applicabilité au cas demandé et la qualification externe. Un logiciel peut être numériquement exact tout en étant scientifiquement faux, ou avoir une bonne erreur moyenne avec une bande mal calibrée.</w:t>
      </w:r>
    </w:p>
    <w:p>
      <w:pPr>
        <w:pStyle w:val="Heading2"/>
        <w:keepNext/>
      </w:pPr>
      <w:r>
        <w:t>5.5 Score à une tolérance choisie</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Précisionτ = 100 · card{j : APEj &lt;= τ} / Nmasqué</w:t>
            </w:r>
          </w:p>
        </w:tc>
        <w:tc>
          <w:tcPr>
            <w:tcW w:type="dxa" w:w="4933"/>
          </w:tcPr>
          <w:p>
            <w:pPr>
              <w:jc w:val="right"/>
            </w:pPr>
            <w:r>
              <w:rPr>
                <w:sz w:val="18"/>
              </w:rPr>
              <w:t>(11)</w:t>
            </w:r>
          </w:p>
        </w:tc>
      </w:tr>
    </w:tbl>
    <w:p>
      <w:r>
        <w:rPr>
          <w:i w:val="0"/>
        </w:rPr>
        <w:t>L'APE est calculée sur la rétention E/E₀, hors temps zéro et uniquement dans l'horizon demandé. La tolérance τ, choisie à ±5 %, ±10 % ou ±20 %, change le critère d'acceptation, jamais la courbe. Pour le PP H301, aucun des huit points n'est à moins de 2 %, alors que les huit sont à moins de 5 %. Le score passe donc de 0 % à 100 % : ce saut reflète la petite taille du contrôle et ne signifie pas que la probabilité de succès vaut 100 %.</w:t>
      </w:r>
    </w:p>
    <w:p>
      <w:r>
        <w:rPr>
          <w:i w:val="0"/>
        </w:rPr>
        <w:t>La limite statistique est importante : avec 8 succès sur 8 à ±5 %, la borne basse unilatérale exacte à 95 % de la probabilité de succès n'est que 0,05^(1/8) = 68,8 %. Autrement dit, le résultat observé est 100 %, mais le petit échantillon reste compatible avec une couverture future nettement plus faible. C'est pourquoi l'interface distingue « précision observée sur références » et « précision de votre grade ».</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324"/>
            <w:shd w:fill="17365D"/>
            <w:vAlign w:val="center"/>
            <w:tcBorders>
              <w:bottom w:val="single" w:sz="5" w:color="FFFFFF"/>
            </w:tcBorders>
          </w:tcPr>
          <w:p>
            <w:pPr>
              <w:jc w:val="left"/>
            </w:pPr>
            <w:r>
              <w:rPr>
                <w:b/>
                <w:color w:val="FFFFFF"/>
                <w:sz w:val="15"/>
              </w:rPr>
              <w:t>Grandeur</w:t>
            </w:r>
          </w:p>
        </w:tc>
        <w:tc>
          <w:tcPr>
            <w:tcW w:type="dxa" w:w="2154"/>
            <w:shd w:fill="17365D"/>
            <w:vAlign w:val="center"/>
            <w:tcBorders>
              <w:bottom w:val="single" w:sz="5" w:color="FFFFFF"/>
            </w:tcBorders>
          </w:tcPr>
          <w:p>
            <w:pPr>
              <w:jc w:val="left"/>
            </w:pPr>
            <w:r>
              <w:rPr>
                <w:b/>
                <w:color w:val="FFFFFF"/>
                <w:sz w:val="15"/>
              </w:rPr>
              <w:t>PP H301</w:t>
            </w:r>
          </w:p>
        </w:tc>
        <w:tc>
          <w:tcPr>
            <w:tcW w:type="dxa" w:w="4819"/>
            <w:shd w:fill="17365D"/>
            <w:vAlign w:val="center"/>
            <w:tcBorders>
              <w:bottom w:val="single" w:sz="5" w:color="FFFFFF"/>
            </w:tcBorders>
          </w:tcPr>
          <w:p>
            <w:pPr>
              <w:jc w:val="left"/>
            </w:pPr>
            <w:r>
              <w:rPr>
                <w:b/>
                <w:color w:val="FFFFFF"/>
                <w:sz w:val="15"/>
              </w:rPr>
              <w:t>Signification correcte</w:t>
            </w:r>
          </w:p>
        </w:tc>
      </w:tr>
      <w:tr>
        <w:trPr>
          <w:cantSplit/>
        </w:trPr>
        <w:tc>
          <w:tcPr>
            <w:tcW w:type="dxa" w:w="2324"/>
            <w:vAlign w:val="center"/>
            <w:tcBorders>
              <w:bottom w:val="single" w:sz="4" w:color="D8E1EC"/>
            </w:tcBorders>
          </w:tcPr>
          <w:p>
            <w:pPr>
              <w:spacing w:after="30" w:before="30"/>
            </w:pPr>
            <w:r>
              <w:rPr>
                <w:color w:val="182230"/>
                <w:sz w:val="15"/>
              </w:rPr>
              <w:t>MAPE</w:t>
            </w:r>
          </w:p>
        </w:tc>
        <w:tc>
          <w:tcPr>
            <w:tcW w:type="dxa" w:w="2154"/>
            <w:vAlign w:val="center"/>
            <w:tcBorders>
              <w:bottom w:val="single" w:sz="4" w:color="D8E1EC"/>
            </w:tcBorders>
          </w:tcPr>
          <w:p>
            <w:pPr>
              <w:spacing w:after="30" w:before="30"/>
            </w:pPr>
            <w:r>
              <w:rPr>
                <w:color w:val="182230"/>
                <w:sz w:val="15"/>
              </w:rPr>
              <w:t>2,75 %</w:t>
            </w:r>
          </w:p>
        </w:tc>
        <w:tc>
          <w:tcPr>
            <w:tcW w:type="dxa" w:w="4819"/>
            <w:vAlign w:val="center"/>
            <w:tcBorders>
              <w:bottom w:val="single" w:sz="4" w:color="D8E1EC"/>
            </w:tcBorders>
          </w:tcPr>
          <w:p>
            <w:pPr>
              <w:spacing w:after="30" w:before="30"/>
            </w:pPr>
            <w:r>
              <w:rPr>
                <w:color w:val="182230"/>
                <w:sz w:val="15"/>
              </w:rPr>
              <w:t>Erreur relative moyenne des 8 valeurs masquées</w:t>
            </w:r>
          </w:p>
        </w:tc>
      </w:tr>
      <w:tr>
        <w:trPr>
          <w:cantSplit/>
        </w:trPr>
        <w:tc>
          <w:tcPr>
            <w:tcW w:type="dxa" w:w="2324"/>
            <w:shd w:fill="F6F8FB"/>
            <w:vAlign w:val="center"/>
            <w:tcBorders>
              <w:bottom w:val="single" w:sz="4" w:color="D8E1EC"/>
            </w:tcBorders>
          </w:tcPr>
          <w:p>
            <w:pPr>
              <w:spacing w:after="30" w:before="30"/>
            </w:pPr>
            <w:r>
              <w:rPr>
                <w:color w:val="182230"/>
                <w:sz w:val="15"/>
              </w:rPr>
              <w:t>Maximum</w:t>
            </w:r>
          </w:p>
        </w:tc>
        <w:tc>
          <w:tcPr>
            <w:tcW w:type="dxa" w:w="2154"/>
            <w:shd w:fill="F6F8FB"/>
            <w:vAlign w:val="center"/>
            <w:tcBorders>
              <w:bottom w:val="single" w:sz="4" w:color="D8E1EC"/>
            </w:tcBorders>
          </w:tcPr>
          <w:p>
            <w:pPr>
              <w:spacing w:after="30" w:before="30"/>
            </w:pPr>
            <w:r>
              <w:rPr>
                <w:color w:val="182230"/>
                <w:sz w:val="15"/>
              </w:rPr>
              <w:t>3,41 %</w:t>
            </w:r>
          </w:p>
        </w:tc>
        <w:tc>
          <w:tcPr>
            <w:tcW w:type="dxa" w:w="4819"/>
            <w:shd w:fill="F6F8FB"/>
            <w:vAlign w:val="center"/>
            <w:tcBorders>
              <w:bottom w:val="single" w:sz="4" w:color="D8E1EC"/>
            </w:tcBorders>
          </w:tcPr>
          <w:p>
            <w:pPr>
              <w:spacing w:after="30" w:before="30"/>
            </w:pPr>
            <w:r>
              <w:rPr>
                <w:color w:val="182230"/>
                <w:sz w:val="15"/>
              </w:rPr>
              <w:t>Pire valeur du contrôle interne</w:t>
            </w:r>
          </w:p>
        </w:tc>
      </w:tr>
      <w:tr>
        <w:trPr>
          <w:cantSplit/>
        </w:trPr>
        <w:tc>
          <w:tcPr>
            <w:tcW w:type="dxa" w:w="2324"/>
            <w:vAlign w:val="center"/>
            <w:tcBorders>
              <w:bottom w:val="single" w:sz="4" w:color="D8E1EC"/>
            </w:tcBorders>
          </w:tcPr>
          <w:p>
            <w:pPr>
              <w:spacing w:after="30" w:before="30"/>
            </w:pPr>
            <w:r>
              <w:rPr>
                <w:color w:val="182230"/>
                <w:sz w:val="15"/>
              </w:rPr>
              <w:t>Précision à ±2 %</w:t>
            </w:r>
          </w:p>
        </w:tc>
        <w:tc>
          <w:tcPr>
            <w:tcW w:type="dxa" w:w="2154"/>
            <w:vAlign w:val="center"/>
            <w:tcBorders>
              <w:bottom w:val="single" w:sz="4" w:color="D8E1EC"/>
            </w:tcBorders>
          </w:tcPr>
          <w:p>
            <w:pPr>
              <w:spacing w:after="30" w:before="30"/>
            </w:pPr>
            <w:r>
              <w:rPr>
                <w:color w:val="182230"/>
                <w:sz w:val="15"/>
              </w:rPr>
              <w:t>0 %</w:t>
            </w:r>
          </w:p>
        </w:tc>
        <w:tc>
          <w:tcPr>
            <w:tcW w:type="dxa" w:w="4819"/>
            <w:vAlign w:val="center"/>
            <w:tcBorders>
              <w:bottom w:val="single" w:sz="4" w:color="D8E1EC"/>
            </w:tcBorders>
          </w:tcPr>
          <w:p>
            <w:pPr>
              <w:spacing w:after="30" w:before="30"/>
            </w:pPr>
            <w:r>
              <w:rPr>
                <w:color w:val="182230"/>
                <w:sz w:val="15"/>
              </w:rPr>
              <w:t>0/8 points dans la tolérance</w:t>
            </w:r>
          </w:p>
        </w:tc>
      </w:tr>
      <w:tr>
        <w:trPr>
          <w:cantSplit/>
        </w:trPr>
        <w:tc>
          <w:tcPr>
            <w:tcW w:type="dxa" w:w="2324"/>
            <w:shd w:fill="F6F8FB"/>
            <w:vAlign w:val="center"/>
            <w:tcBorders>
              <w:bottom w:val="single" w:sz="4" w:color="D8E1EC"/>
            </w:tcBorders>
          </w:tcPr>
          <w:p>
            <w:pPr>
              <w:spacing w:after="30" w:before="30"/>
            </w:pPr>
            <w:r>
              <w:rPr>
                <w:color w:val="182230"/>
                <w:sz w:val="15"/>
              </w:rPr>
              <w:t>Précision à ±5 %</w:t>
            </w:r>
          </w:p>
        </w:tc>
        <w:tc>
          <w:tcPr>
            <w:tcW w:type="dxa" w:w="2154"/>
            <w:shd w:fill="F6F8FB"/>
            <w:vAlign w:val="center"/>
            <w:tcBorders>
              <w:bottom w:val="single" w:sz="4" w:color="D8E1EC"/>
            </w:tcBorders>
          </w:tcPr>
          <w:p>
            <w:pPr>
              <w:spacing w:after="30" w:before="30"/>
            </w:pPr>
            <w:r>
              <w:rPr>
                <w:color w:val="182230"/>
                <w:sz w:val="15"/>
              </w:rPr>
              <w:t>100 %</w:t>
            </w:r>
          </w:p>
        </w:tc>
        <w:tc>
          <w:tcPr>
            <w:tcW w:type="dxa" w:w="4819"/>
            <w:shd w:fill="F6F8FB"/>
            <w:vAlign w:val="center"/>
            <w:tcBorders>
              <w:bottom w:val="single" w:sz="4" w:color="D8E1EC"/>
            </w:tcBorders>
          </w:tcPr>
          <w:p>
            <w:pPr>
              <w:spacing w:after="30" w:before="30"/>
            </w:pPr>
            <w:r>
              <w:rPr>
                <w:color w:val="182230"/>
                <w:sz w:val="15"/>
              </w:rPr>
              <w:t>8/8 points ; une seule publication</w:t>
            </w:r>
          </w:p>
        </w:tc>
      </w:tr>
      <w:tr>
        <w:trPr>
          <w:cantSplit/>
        </w:trPr>
        <w:tc>
          <w:tcPr>
            <w:tcW w:type="dxa" w:w="2324"/>
            <w:vAlign w:val="center"/>
            <w:tcBorders>
              <w:bottom w:val="single" w:sz="4" w:color="D8E1EC"/>
            </w:tcBorders>
          </w:tcPr>
          <w:p>
            <w:pPr>
              <w:spacing w:after="30" w:before="30"/>
            </w:pPr>
            <w:r>
              <w:rPr>
                <w:color w:val="182230"/>
                <w:sz w:val="15"/>
              </w:rPr>
              <w:t>Précision du grade utilisateur</w:t>
            </w:r>
          </w:p>
        </w:tc>
        <w:tc>
          <w:tcPr>
            <w:tcW w:type="dxa" w:w="2154"/>
            <w:vAlign w:val="center"/>
            <w:tcBorders>
              <w:bottom w:val="single" w:sz="4" w:color="D8E1EC"/>
            </w:tcBorders>
          </w:tcPr>
          <w:p>
            <w:pPr>
              <w:spacing w:after="30" w:before="30"/>
            </w:pPr>
            <w:r>
              <w:rPr>
                <w:color w:val="182230"/>
                <w:sz w:val="15"/>
              </w:rPr>
              <w:t>Non établie sans identité exacte</w:t>
            </w:r>
          </w:p>
        </w:tc>
        <w:tc>
          <w:tcPr>
            <w:tcW w:type="dxa" w:w="4819"/>
            <w:vAlign w:val="center"/>
            <w:tcBorders>
              <w:bottom w:val="single" w:sz="4" w:color="D8E1EC"/>
            </w:tcBorders>
          </w:tcPr>
          <w:p>
            <w:pPr>
              <w:spacing w:after="30" w:before="30"/>
            </w:pPr>
            <w:r>
              <w:rPr>
                <w:color w:val="182230"/>
                <w:sz w:val="15"/>
              </w:rPr>
              <w:t>Le score source ne se transfère pas automatiquement</w:t>
            </w:r>
          </w:p>
        </w:tc>
      </w:tr>
    </w:tbl>
    <w:p>
      <w:pPr>
        <w:spacing w:after="0"/>
      </w:pPr>
    </w:p>
    <w:p>
      <w:pPr>
        <w:pStyle w:val="Heading2"/>
        <w:keepNext/>
      </w:pPr>
      <w:r>
        <w:t>5.6 Construction de l'intervalle</w:t>
      </w:r>
    </w:p>
    <w:p>
      <w:r>
        <w:rPr>
          <w:i w:val="0"/>
        </w:rPr>
        <w:t>Dans une route calibrée, le résidu relatif est traité dans l'espace logarithmique afin de conserver des bornes positives et symétriques en ratio. Pour chaque prédiction masquée, si sj = |log(yj/ŷj)|, un quantile q des scores produit :</w:t>
      </w:r>
    </w:p>
    <w:tbl>
      <w:tblPr>
        <w:tblW w:type="auto" w:w="0"/>
        <w:tblLayout w:type="fixed"/>
        <w:tblLook w:firstColumn="1" w:firstRow="1" w:lastColumn="0" w:lastRow="0" w:noHBand="0" w:noVBand="1" w:val="04A0"/>
      </w:tblPr>
      <w:tblGrid>
        <w:gridCol w:w="8844"/>
        <w:gridCol w:w="454"/>
      </w:tblGrid>
      <w:tr>
        <w:tc>
          <w:tcPr>
            <w:tcW w:type="dxa" w:w="4933"/>
          </w:tcPr>
          <w:p>
            <w:pPr>
              <w:jc w:val="center"/>
            </w:pPr>
            <w:r>
              <w:rPr>
                <w:rFonts w:ascii="Cambria Math" w:hAnsi="Cambria Math"/>
                <w:i/>
                <w:sz w:val="21"/>
              </w:rPr>
              <w:t>I(t) = [ ŷ(t) exp(-q), ŷ(t) exp(q) ]</w:t>
            </w:r>
          </w:p>
        </w:tc>
        <w:tc>
          <w:tcPr>
            <w:tcW w:type="dxa" w:w="4933"/>
          </w:tcPr>
          <w:p>
            <w:pPr>
              <w:jc w:val="right"/>
            </w:pPr>
            <w:r>
              <w:rPr>
                <w:sz w:val="18"/>
              </w:rPr>
              <w:t>(12)</w:t>
            </w:r>
          </w:p>
        </w:tc>
      </w:tr>
    </w:tbl>
    <w:p>
      <w:r>
        <w:rPr>
          <w:i w:val="0"/>
        </w:rPr>
        <w:t>La largeur finale doit combiner quatre contributions distinctes : dispersion expérimentale publiée, incertitude du modèle sur groupes masqués, pénalité de transfert et pénalité d'extrapolation. Une bande visuelle standard de vitesse ×0,95/×1,05 sert uniquement à comparer les écrans ; elle n'est pas un intervalle prédictif.</w:t>
      </w:r>
    </w:p>
    <w:p>
      <w:r>
        <w:rPr>
          <w:i w:val="0"/>
        </w:rPr>
        <w:t>Exemple de lecture. Si ŷ = 1 350 MPa et si le score logarithmique retenu correspond à une erreur relative maximale de 3,41 %, alors q = ln(1,0341) = 0,03353. La borne basse vaut 1 350 × exp(-0,03353) = 1 305,5 MPa et la borne haute 1 350 × exp(0,03353) = 1 396,0 MPa. Les écarts en MPa ne sont pas exactement symétriques, mais les rapports à la valeur centrale le sont. Cette bande décrit le corpus PP interne ; elle ne peut pas être copiée sur un matériau différent.</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041"/>
            <w:shd w:fill="17365D"/>
            <w:vAlign w:val="center"/>
            <w:tcBorders>
              <w:bottom w:val="single" w:sz="5" w:color="FFFFFF"/>
            </w:tcBorders>
          </w:tcPr>
          <w:p>
            <w:pPr>
              <w:jc w:val="left"/>
            </w:pPr>
            <w:r>
              <w:rPr>
                <w:b/>
                <w:color w:val="FFFFFF"/>
                <w:sz w:val="14"/>
              </w:rPr>
              <w:t>Composante</w:t>
            </w:r>
          </w:p>
        </w:tc>
        <w:tc>
          <w:tcPr>
            <w:tcW w:type="dxa" w:w="2551"/>
            <w:shd w:fill="17365D"/>
            <w:vAlign w:val="center"/>
            <w:tcBorders>
              <w:bottom w:val="single" w:sz="5" w:color="FFFFFF"/>
            </w:tcBorders>
          </w:tcPr>
          <w:p>
            <w:pPr>
              <w:jc w:val="left"/>
            </w:pPr>
            <w:r>
              <w:rPr>
                <w:b/>
                <w:color w:val="FFFFFF"/>
                <w:sz w:val="14"/>
              </w:rPr>
              <w:t>Estimation</w:t>
            </w:r>
          </w:p>
        </w:tc>
        <w:tc>
          <w:tcPr>
            <w:tcW w:type="dxa" w:w="4706"/>
            <w:shd w:fill="17365D"/>
            <w:vAlign w:val="center"/>
            <w:tcBorders>
              <w:bottom w:val="single" w:sz="5" w:color="FFFFFF"/>
            </w:tcBorders>
          </w:tcPr>
          <w:p>
            <w:pPr>
              <w:jc w:val="left"/>
            </w:pPr>
            <w:r>
              <w:rPr>
                <w:b/>
                <w:color w:val="FFFFFF"/>
                <w:sz w:val="14"/>
              </w:rPr>
              <w:t>Ce qu'elle couvre</w:t>
            </w:r>
          </w:p>
        </w:tc>
      </w:tr>
      <w:tr>
        <w:trPr>
          <w:cantSplit/>
        </w:trPr>
        <w:tc>
          <w:tcPr>
            <w:tcW w:type="dxa" w:w="2041"/>
            <w:vAlign w:val="center"/>
            <w:tcBorders>
              <w:bottom w:val="single" w:sz="4" w:color="D8E1EC"/>
            </w:tcBorders>
          </w:tcPr>
          <w:p>
            <w:pPr>
              <w:spacing w:after="30" w:before="30"/>
            </w:pPr>
            <w:r>
              <w:rPr>
                <w:color w:val="182230"/>
                <w:sz w:val="14"/>
              </w:rPr>
              <w:t>Dispersion expérimentale</w:t>
            </w:r>
          </w:p>
        </w:tc>
        <w:tc>
          <w:tcPr>
            <w:tcW w:type="dxa" w:w="2551"/>
            <w:vAlign w:val="center"/>
            <w:tcBorders>
              <w:bottom w:val="single" w:sz="4" w:color="D8E1EC"/>
            </w:tcBorders>
          </w:tcPr>
          <w:p>
            <w:pPr>
              <w:spacing w:after="30" w:before="30"/>
            </w:pPr>
            <w:r>
              <w:rPr>
                <w:color w:val="182230"/>
                <w:sz w:val="14"/>
              </w:rPr>
              <w:t>Écart-type et n du point source</w:t>
            </w:r>
          </w:p>
        </w:tc>
        <w:tc>
          <w:tcPr>
            <w:tcW w:type="dxa" w:w="4706"/>
            <w:vAlign w:val="center"/>
            <w:tcBorders>
              <w:bottom w:val="single" w:sz="4" w:color="D8E1EC"/>
            </w:tcBorders>
          </w:tcPr>
          <w:p>
            <w:pPr>
              <w:spacing w:after="30" w:before="30"/>
            </w:pPr>
            <w:r>
              <w:rPr>
                <w:color w:val="182230"/>
                <w:sz w:val="14"/>
              </w:rPr>
              <w:t>Variabilité des éprouvettes du protocole publié</w:t>
            </w:r>
          </w:p>
        </w:tc>
      </w:tr>
      <w:tr>
        <w:trPr>
          <w:cantSplit/>
        </w:trPr>
        <w:tc>
          <w:tcPr>
            <w:tcW w:type="dxa" w:w="2041"/>
            <w:shd w:fill="F6F8FB"/>
            <w:vAlign w:val="center"/>
            <w:tcBorders>
              <w:bottom w:val="single" w:sz="4" w:color="D8E1EC"/>
            </w:tcBorders>
          </w:tcPr>
          <w:p>
            <w:pPr>
              <w:spacing w:after="30" w:before="30"/>
            </w:pPr>
            <w:r>
              <w:rPr>
                <w:color w:val="182230"/>
                <w:sz w:val="14"/>
              </w:rPr>
              <w:t>Erreur du modèle</w:t>
            </w:r>
          </w:p>
        </w:tc>
        <w:tc>
          <w:tcPr>
            <w:tcW w:type="dxa" w:w="2551"/>
            <w:shd w:fill="F6F8FB"/>
            <w:vAlign w:val="center"/>
            <w:tcBorders>
              <w:bottom w:val="single" w:sz="4" w:color="D8E1EC"/>
            </w:tcBorders>
          </w:tcPr>
          <w:p>
            <w:pPr>
              <w:spacing w:after="30" w:before="30"/>
            </w:pPr>
            <w:r>
              <w:rPr>
                <w:color w:val="182230"/>
                <w:sz w:val="14"/>
              </w:rPr>
              <w:t>Résidus hors formulation/source</w:t>
            </w:r>
          </w:p>
        </w:tc>
        <w:tc>
          <w:tcPr>
            <w:tcW w:type="dxa" w:w="4706"/>
            <w:shd w:fill="F6F8FB"/>
            <w:vAlign w:val="center"/>
            <w:tcBorders>
              <w:bottom w:val="single" w:sz="4" w:color="D8E1EC"/>
            </w:tcBorders>
          </w:tcPr>
          <w:p>
            <w:pPr>
              <w:spacing w:after="30" w:before="30"/>
            </w:pPr>
            <w:r>
              <w:rPr>
                <w:color w:val="182230"/>
                <w:sz w:val="14"/>
              </w:rPr>
              <w:t>Erreur de généralisation dans le domaine observé</w:t>
            </w:r>
          </w:p>
        </w:tc>
      </w:tr>
      <w:tr>
        <w:trPr>
          <w:cantSplit/>
        </w:trPr>
        <w:tc>
          <w:tcPr>
            <w:tcW w:type="dxa" w:w="2041"/>
            <w:vAlign w:val="center"/>
            <w:tcBorders>
              <w:bottom w:val="single" w:sz="4" w:color="D8E1EC"/>
            </w:tcBorders>
          </w:tcPr>
          <w:p>
            <w:pPr>
              <w:spacing w:after="30" w:before="30"/>
            </w:pPr>
            <w:r>
              <w:rPr>
                <w:color w:val="182230"/>
                <w:sz w:val="14"/>
              </w:rPr>
              <w:t>Transfert analogue</w:t>
            </w:r>
          </w:p>
        </w:tc>
        <w:tc>
          <w:tcPr>
            <w:tcW w:type="dxa" w:w="2551"/>
            <w:vAlign w:val="center"/>
            <w:tcBorders>
              <w:bottom w:val="single" w:sz="4" w:color="D8E1EC"/>
            </w:tcBorders>
          </w:tcPr>
          <w:p>
            <w:pPr>
              <w:spacing w:after="30" w:before="30"/>
            </w:pPr>
            <w:r>
              <w:rPr>
                <w:color w:val="182230"/>
                <w:sz w:val="14"/>
              </w:rPr>
              <w:t>Fonction du score 85-100</w:t>
            </w:r>
          </w:p>
        </w:tc>
        <w:tc>
          <w:tcPr>
            <w:tcW w:type="dxa" w:w="4706"/>
            <w:vAlign w:val="center"/>
            <w:tcBorders>
              <w:bottom w:val="single" w:sz="4" w:color="D8E1EC"/>
            </w:tcBorders>
          </w:tcPr>
          <w:p>
            <w:pPr>
              <w:spacing w:after="30" w:before="30"/>
            </w:pPr>
            <w:r>
              <w:rPr>
                <w:color w:val="182230"/>
                <w:sz w:val="14"/>
              </w:rPr>
              <w:t>Écart de formulation/procédé documenté</w:t>
            </w:r>
          </w:p>
        </w:tc>
      </w:tr>
      <w:tr>
        <w:trPr>
          <w:cantSplit/>
        </w:trPr>
        <w:tc>
          <w:tcPr>
            <w:tcW w:type="dxa" w:w="2041"/>
            <w:shd w:fill="F6F8FB"/>
            <w:vAlign w:val="center"/>
            <w:tcBorders>
              <w:bottom w:val="single" w:sz="4" w:color="D8E1EC"/>
            </w:tcBorders>
          </w:tcPr>
          <w:p>
            <w:pPr>
              <w:spacing w:after="30" w:before="30"/>
            </w:pPr>
            <w:r>
              <w:rPr>
                <w:color w:val="182230"/>
                <w:sz w:val="14"/>
              </w:rPr>
              <w:t>Extrapolation</w:t>
            </w:r>
          </w:p>
        </w:tc>
        <w:tc>
          <w:tcPr>
            <w:tcW w:type="dxa" w:w="2551"/>
            <w:shd w:fill="F6F8FB"/>
            <w:vAlign w:val="center"/>
            <w:tcBorders>
              <w:bottom w:val="single" w:sz="4" w:color="D8E1EC"/>
            </w:tcBorders>
          </w:tcPr>
          <w:p>
            <w:pPr>
              <w:spacing w:after="30" w:before="30"/>
            </w:pPr>
            <w:r>
              <w:rPr>
                <w:color w:val="182230"/>
                <w:sz w:val="14"/>
              </w:rPr>
              <w:t>Croît après le dernier temps observé</w:t>
            </w:r>
          </w:p>
        </w:tc>
        <w:tc>
          <w:tcPr>
            <w:tcW w:type="dxa" w:w="4706"/>
            <w:shd w:fill="F6F8FB"/>
            <w:vAlign w:val="center"/>
            <w:tcBorders>
              <w:bottom w:val="single" w:sz="4" w:color="D8E1EC"/>
            </w:tcBorders>
          </w:tcPr>
          <w:p>
            <w:pPr>
              <w:spacing w:after="30" w:before="30"/>
            </w:pPr>
            <w:r>
              <w:rPr>
                <w:color w:val="182230"/>
                <w:sz w:val="14"/>
              </w:rPr>
              <w:t>Distance temporelle ; pas un changement de mécanisme inconnu</w:t>
            </w:r>
          </w:p>
        </w:tc>
      </w:tr>
      <w:tr>
        <w:trPr>
          <w:cantSplit/>
        </w:trPr>
        <w:tc>
          <w:tcPr>
            <w:tcW w:type="dxa" w:w="2041"/>
            <w:vAlign w:val="center"/>
            <w:tcBorders>
              <w:bottom w:val="single" w:sz="4" w:color="D8E1EC"/>
            </w:tcBorders>
          </w:tcPr>
          <w:p>
            <w:pPr>
              <w:spacing w:after="30" w:before="30"/>
            </w:pPr>
            <w:r>
              <w:rPr>
                <w:color w:val="182230"/>
                <w:sz w:val="14"/>
              </w:rPr>
              <w:t>Incertitude d'entrée</w:t>
            </w:r>
          </w:p>
        </w:tc>
        <w:tc>
          <w:tcPr>
            <w:tcW w:type="dxa" w:w="2551"/>
            <w:vAlign w:val="center"/>
            <w:tcBorders>
              <w:bottom w:val="single" w:sz="4" w:color="D8E1EC"/>
            </w:tcBorders>
          </w:tcPr>
          <w:p>
            <w:pPr>
              <w:spacing w:after="30" w:before="30"/>
            </w:pPr>
            <w:r>
              <w:rPr>
                <w:color w:val="182230"/>
                <w:sz w:val="14"/>
              </w:rPr>
              <w:t>Propagation des bornes T, HR, e, k, D</w:t>
            </w:r>
          </w:p>
        </w:tc>
        <w:tc>
          <w:tcPr>
            <w:tcW w:type="dxa" w:w="4706"/>
            <w:vAlign w:val="center"/>
            <w:tcBorders>
              <w:bottom w:val="single" w:sz="4" w:color="D8E1EC"/>
            </w:tcBorders>
          </w:tcPr>
          <w:p>
            <w:pPr>
              <w:spacing w:after="30" w:before="30"/>
            </w:pPr>
            <w:r>
              <w:rPr>
                <w:color w:val="182230"/>
                <w:sz w:val="14"/>
              </w:rPr>
              <w:t>Erreur de mesure et paramètres</w:t>
            </w:r>
          </w:p>
        </w:tc>
      </w:tr>
    </w:tbl>
    <w:p>
      <w:pPr>
        <w:spacing w:after="0"/>
      </w:pPr>
    </w:p>
    <w:p>
      <w:pPr>
        <w:pStyle w:val="Heading2"/>
        <w:keepNext/>
      </w:pPr>
      <w:r>
        <w:t>5.7 Pénalité du transfert par analogue</w:t>
      </w:r>
    </w:p>
    <w:p>
      <w:r>
        <w:rPr>
          <w:i w:val="0"/>
        </w:rPr>
        <w:t>Le moteur combine quadratiquement la demi-largeur logarithmique de la source qs et une pénalité qt : qtotal = sqrt(qs² + qt²), avec qt = 0,08 + 0,45(100-S)/100 et S le score de similarité. Cette convention est conservative et doit être revalidée par des grades laissés hors apprentissage.</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14"/>
            <w:shd w:fill="17365D"/>
            <w:vAlign w:val="center"/>
            <w:tcBorders>
              <w:bottom w:val="single" w:sz="5" w:color="FFFFFF"/>
            </w:tcBorders>
          </w:tcPr>
          <w:p>
            <w:pPr>
              <w:jc w:val="left"/>
            </w:pPr>
            <w:r>
              <w:rPr>
                <w:b/>
                <w:color w:val="FFFFFF"/>
                <w:sz w:val="16"/>
              </w:rPr>
              <w:t>Score S</w:t>
            </w:r>
          </w:p>
        </w:tc>
        <w:tc>
          <w:tcPr>
            <w:tcW w:type="dxa" w:w="2268"/>
            <w:shd w:fill="17365D"/>
            <w:vAlign w:val="center"/>
            <w:tcBorders>
              <w:bottom w:val="single" w:sz="5" w:color="FFFFFF"/>
            </w:tcBorders>
          </w:tcPr>
          <w:p>
            <w:pPr>
              <w:jc w:val="left"/>
            </w:pPr>
            <w:r>
              <w:rPr>
                <w:b/>
                <w:color w:val="FFFFFF"/>
                <w:sz w:val="16"/>
              </w:rPr>
              <w:t>qt logarithmique</w:t>
            </w:r>
          </w:p>
        </w:tc>
        <w:tc>
          <w:tcPr>
            <w:tcW w:type="dxa" w:w="2608"/>
            <w:shd w:fill="17365D"/>
            <w:vAlign w:val="center"/>
            <w:tcBorders>
              <w:bottom w:val="single" w:sz="5" w:color="FFFFFF"/>
            </w:tcBorders>
          </w:tcPr>
          <w:p>
            <w:pPr>
              <w:jc w:val="left"/>
            </w:pPr>
            <w:r>
              <w:rPr>
                <w:b/>
                <w:color w:val="FFFFFF"/>
                <w:sz w:val="16"/>
              </w:rPr>
              <w:t>Borne basse relative</w:t>
            </w:r>
          </w:p>
        </w:tc>
        <w:tc>
          <w:tcPr>
            <w:tcW w:type="dxa" w:w="2608"/>
            <w:shd w:fill="17365D"/>
            <w:vAlign w:val="center"/>
            <w:tcBorders>
              <w:bottom w:val="single" w:sz="5" w:color="FFFFFF"/>
            </w:tcBorders>
          </w:tcPr>
          <w:p>
            <w:pPr>
              <w:jc w:val="left"/>
            </w:pPr>
            <w:r>
              <w:rPr>
                <w:b/>
                <w:color w:val="FFFFFF"/>
                <w:sz w:val="16"/>
              </w:rPr>
              <w:t>Borne haute relative</w:t>
            </w:r>
          </w:p>
        </w:tc>
      </w:tr>
      <w:tr>
        <w:trPr>
          <w:cantSplit/>
        </w:trPr>
        <w:tc>
          <w:tcPr>
            <w:tcW w:type="dxa" w:w="1814"/>
            <w:vAlign w:val="center"/>
            <w:tcBorders>
              <w:bottom w:val="single" w:sz="4" w:color="D8E1EC"/>
            </w:tcBorders>
          </w:tcPr>
          <w:p>
            <w:pPr>
              <w:spacing w:after="30" w:before="30"/>
            </w:pPr>
            <w:r>
              <w:rPr>
                <w:color w:val="182230"/>
                <w:sz w:val="16"/>
              </w:rPr>
              <w:t>85/100</w:t>
            </w:r>
          </w:p>
        </w:tc>
        <w:tc>
          <w:tcPr>
            <w:tcW w:type="dxa" w:w="2268"/>
            <w:vAlign w:val="center"/>
            <w:tcBorders>
              <w:bottom w:val="single" w:sz="4" w:color="D8E1EC"/>
            </w:tcBorders>
          </w:tcPr>
          <w:p>
            <w:pPr>
              <w:spacing w:after="30" w:before="30"/>
            </w:pPr>
            <w:r>
              <w:rPr>
                <w:color w:val="182230"/>
                <w:sz w:val="16"/>
              </w:rPr>
              <w:t>0,1475</w:t>
            </w:r>
          </w:p>
        </w:tc>
        <w:tc>
          <w:tcPr>
            <w:tcW w:type="dxa" w:w="2608"/>
            <w:vAlign w:val="center"/>
            <w:tcBorders>
              <w:bottom w:val="single" w:sz="4" w:color="D8E1EC"/>
            </w:tcBorders>
          </w:tcPr>
          <w:p>
            <w:pPr>
              <w:spacing w:after="30" w:before="30"/>
            </w:pPr>
            <w:r>
              <w:rPr>
                <w:color w:val="182230"/>
                <w:sz w:val="16"/>
              </w:rPr>
              <w:t>-13,7 %</w:t>
            </w:r>
          </w:p>
        </w:tc>
        <w:tc>
          <w:tcPr>
            <w:tcW w:type="dxa" w:w="2608"/>
            <w:vAlign w:val="center"/>
            <w:tcBorders>
              <w:bottom w:val="single" w:sz="4" w:color="D8E1EC"/>
            </w:tcBorders>
          </w:tcPr>
          <w:p>
            <w:pPr>
              <w:spacing w:after="30" w:before="30"/>
            </w:pPr>
            <w:r>
              <w:rPr>
                <w:color w:val="182230"/>
                <w:sz w:val="16"/>
              </w:rPr>
              <w:t>+15,9 %</w:t>
            </w:r>
          </w:p>
        </w:tc>
      </w:tr>
      <w:tr>
        <w:trPr>
          <w:cantSplit/>
        </w:trPr>
        <w:tc>
          <w:tcPr>
            <w:tcW w:type="dxa" w:w="1814"/>
            <w:shd w:fill="F6F8FB"/>
            <w:vAlign w:val="center"/>
            <w:tcBorders>
              <w:bottom w:val="single" w:sz="4" w:color="D8E1EC"/>
            </w:tcBorders>
          </w:tcPr>
          <w:p>
            <w:pPr>
              <w:spacing w:after="30" w:before="30"/>
            </w:pPr>
            <w:r>
              <w:rPr>
                <w:color w:val="182230"/>
                <w:sz w:val="16"/>
              </w:rPr>
              <w:t>90/100</w:t>
            </w:r>
          </w:p>
        </w:tc>
        <w:tc>
          <w:tcPr>
            <w:tcW w:type="dxa" w:w="2268"/>
            <w:shd w:fill="F6F8FB"/>
            <w:vAlign w:val="center"/>
            <w:tcBorders>
              <w:bottom w:val="single" w:sz="4" w:color="D8E1EC"/>
            </w:tcBorders>
          </w:tcPr>
          <w:p>
            <w:pPr>
              <w:spacing w:after="30" w:before="30"/>
            </w:pPr>
            <w:r>
              <w:rPr>
                <w:color w:val="182230"/>
                <w:sz w:val="16"/>
              </w:rPr>
              <w:t>0,1250</w:t>
            </w:r>
          </w:p>
        </w:tc>
        <w:tc>
          <w:tcPr>
            <w:tcW w:type="dxa" w:w="2608"/>
            <w:shd w:fill="F6F8FB"/>
            <w:vAlign w:val="center"/>
            <w:tcBorders>
              <w:bottom w:val="single" w:sz="4" w:color="D8E1EC"/>
            </w:tcBorders>
          </w:tcPr>
          <w:p>
            <w:pPr>
              <w:spacing w:after="30" w:before="30"/>
            </w:pPr>
            <w:r>
              <w:rPr>
                <w:color w:val="182230"/>
                <w:sz w:val="16"/>
              </w:rPr>
              <w:t>-11,8 %</w:t>
            </w:r>
          </w:p>
        </w:tc>
        <w:tc>
          <w:tcPr>
            <w:tcW w:type="dxa" w:w="2608"/>
            <w:shd w:fill="F6F8FB"/>
            <w:vAlign w:val="center"/>
            <w:tcBorders>
              <w:bottom w:val="single" w:sz="4" w:color="D8E1EC"/>
            </w:tcBorders>
          </w:tcPr>
          <w:p>
            <w:pPr>
              <w:spacing w:after="30" w:before="30"/>
            </w:pPr>
            <w:r>
              <w:rPr>
                <w:color w:val="182230"/>
                <w:sz w:val="16"/>
              </w:rPr>
              <w:t>+13,3 %</w:t>
            </w:r>
          </w:p>
        </w:tc>
      </w:tr>
      <w:tr>
        <w:trPr>
          <w:cantSplit/>
        </w:trPr>
        <w:tc>
          <w:tcPr>
            <w:tcW w:type="dxa" w:w="1814"/>
            <w:vAlign w:val="center"/>
            <w:tcBorders>
              <w:bottom w:val="single" w:sz="4" w:color="D8E1EC"/>
            </w:tcBorders>
          </w:tcPr>
          <w:p>
            <w:pPr>
              <w:spacing w:after="30" w:before="30"/>
            </w:pPr>
            <w:r>
              <w:rPr>
                <w:color w:val="182230"/>
                <w:sz w:val="16"/>
              </w:rPr>
              <w:t>95/100</w:t>
            </w:r>
          </w:p>
        </w:tc>
        <w:tc>
          <w:tcPr>
            <w:tcW w:type="dxa" w:w="2268"/>
            <w:vAlign w:val="center"/>
            <w:tcBorders>
              <w:bottom w:val="single" w:sz="4" w:color="D8E1EC"/>
            </w:tcBorders>
          </w:tcPr>
          <w:p>
            <w:pPr>
              <w:spacing w:after="30" w:before="30"/>
            </w:pPr>
            <w:r>
              <w:rPr>
                <w:color w:val="182230"/>
                <w:sz w:val="16"/>
              </w:rPr>
              <w:t>0,1025</w:t>
            </w:r>
          </w:p>
        </w:tc>
        <w:tc>
          <w:tcPr>
            <w:tcW w:type="dxa" w:w="2608"/>
            <w:vAlign w:val="center"/>
            <w:tcBorders>
              <w:bottom w:val="single" w:sz="4" w:color="D8E1EC"/>
            </w:tcBorders>
          </w:tcPr>
          <w:p>
            <w:pPr>
              <w:spacing w:after="30" w:before="30"/>
            </w:pPr>
            <w:r>
              <w:rPr>
                <w:color w:val="182230"/>
                <w:sz w:val="16"/>
              </w:rPr>
              <w:t>-9,7 %</w:t>
            </w:r>
          </w:p>
        </w:tc>
        <w:tc>
          <w:tcPr>
            <w:tcW w:type="dxa" w:w="2608"/>
            <w:vAlign w:val="center"/>
            <w:tcBorders>
              <w:bottom w:val="single" w:sz="4" w:color="D8E1EC"/>
            </w:tcBorders>
          </w:tcPr>
          <w:p>
            <w:pPr>
              <w:spacing w:after="30" w:before="30"/>
            </w:pPr>
            <w:r>
              <w:rPr>
                <w:color w:val="182230"/>
                <w:sz w:val="16"/>
              </w:rPr>
              <w:t>+10,8 %</w:t>
            </w:r>
          </w:p>
        </w:tc>
      </w:tr>
      <w:tr>
        <w:trPr>
          <w:cantSplit/>
        </w:trPr>
        <w:tc>
          <w:tcPr>
            <w:tcW w:type="dxa" w:w="1814"/>
            <w:shd w:fill="F6F8FB"/>
            <w:vAlign w:val="center"/>
            <w:tcBorders>
              <w:bottom w:val="single" w:sz="4" w:color="D8E1EC"/>
            </w:tcBorders>
          </w:tcPr>
          <w:p>
            <w:pPr>
              <w:spacing w:after="30" w:before="30"/>
            </w:pPr>
            <w:r>
              <w:rPr>
                <w:color w:val="182230"/>
                <w:sz w:val="16"/>
              </w:rPr>
              <w:t>100/100</w:t>
            </w:r>
          </w:p>
        </w:tc>
        <w:tc>
          <w:tcPr>
            <w:tcW w:type="dxa" w:w="2268"/>
            <w:shd w:fill="F6F8FB"/>
            <w:vAlign w:val="center"/>
            <w:tcBorders>
              <w:bottom w:val="single" w:sz="4" w:color="D8E1EC"/>
            </w:tcBorders>
          </w:tcPr>
          <w:p>
            <w:pPr>
              <w:spacing w:after="30" w:before="30"/>
            </w:pPr>
            <w:r>
              <w:rPr>
                <w:color w:val="182230"/>
                <w:sz w:val="16"/>
              </w:rPr>
              <w:t>0,0800</w:t>
            </w:r>
          </w:p>
        </w:tc>
        <w:tc>
          <w:tcPr>
            <w:tcW w:type="dxa" w:w="2608"/>
            <w:shd w:fill="F6F8FB"/>
            <w:vAlign w:val="center"/>
            <w:tcBorders>
              <w:bottom w:val="single" w:sz="4" w:color="D8E1EC"/>
            </w:tcBorders>
          </w:tcPr>
          <w:p>
            <w:pPr>
              <w:spacing w:after="30" w:before="30"/>
            </w:pPr>
            <w:r>
              <w:rPr>
                <w:color w:val="182230"/>
                <w:sz w:val="16"/>
              </w:rPr>
              <w:t>-7,7 %</w:t>
            </w:r>
          </w:p>
        </w:tc>
        <w:tc>
          <w:tcPr>
            <w:tcW w:type="dxa" w:w="2608"/>
            <w:shd w:fill="F6F8FB"/>
            <w:vAlign w:val="center"/>
            <w:tcBorders>
              <w:bottom w:val="single" w:sz="4" w:color="D8E1EC"/>
            </w:tcBorders>
          </w:tcPr>
          <w:p>
            <w:pPr>
              <w:spacing w:after="30" w:before="30"/>
            </w:pPr>
            <w:r>
              <w:rPr>
                <w:color w:val="182230"/>
                <w:sz w:val="16"/>
              </w:rPr>
              <w:t>+8,3 %</w:t>
            </w:r>
          </w:p>
        </w:tc>
      </w:tr>
    </w:tbl>
    <w:p>
      <w:pPr>
        <w:spacing w:after="0"/>
      </w:pPr>
    </w:p>
    <w:p>
      <w:r>
        <w:rPr>
          <w:i w:val="0"/>
        </w:rPr>
        <w:t>Même un score documentaire parfait conserve donc une pénalité : l'identité décrite ne prouve pas l'identité de la cinétique. La bande de la source s'ajoute à ces valeurs.</w:t>
      </w:r>
    </w:p>
    <w:p>
      <w:pPr>
        <w:pStyle w:val="Heading2"/>
        <w:keepNext/>
      </w:pPr>
      <w:r>
        <w:t>5.8 Calibration conforme et limite de petit échantillon</w:t>
      </w:r>
    </w:p>
    <w:p>
      <w:r>
        <w:rPr>
          <w:i w:val="0"/>
        </w:rPr>
        <w:t>Une calibration conforme standard sélectionne un quantile d'ordre ceil[(ncal+1)(1-α)] [11]. Avec seulement huit erreurs et α=5 %, le rang théorique vaut 9 et dépasse l'échantillon. Utiliser le maximum observé donne une cible empirique interne, mais aucune garantie distribution-free à 95 %. Le rapport conserve donc l'expression « bande interne » et exige un jeu de calibration plus grand, structuré par groupes. La dérive entre laboratoires ou formulations rompt en outre l'hypothèse d'échangeabilité [12].</w:t>
      </w:r>
    </w:p>
    <w:p>
      <w:pPr>
        <w:pStyle w:val="Heading2"/>
        <w:keepNext/>
      </w:pPr>
      <w:r>
        <w:t>5.9 Différence entre précision ±5 % et couverture 95 %</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154"/>
            <w:shd w:fill="17365D"/>
            <w:vAlign w:val="center"/>
            <w:tcBorders>
              <w:bottom w:val="single" w:sz="5" w:color="FFFFFF"/>
            </w:tcBorders>
          </w:tcPr>
          <w:p>
            <w:pPr>
              <w:jc w:val="left"/>
            </w:pPr>
            <w:r>
              <w:rPr>
                <w:b/>
                <w:color w:val="FFFFFF"/>
                <w:sz w:val="16"/>
              </w:rPr>
              <w:t>Objectif</w:t>
            </w:r>
          </w:p>
        </w:tc>
        <w:tc>
          <w:tcPr>
            <w:tcW w:type="dxa" w:w="4139"/>
            <w:shd w:fill="17365D"/>
            <w:vAlign w:val="center"/>
            <w:tcBorders>
              <w:bottom w:val="single" w:sz="5" w:color="FFFFFF"/>
            </w:tcBorders>
          </w:tcPr>
          <w:p>
            <w:pPr>
              <w:jc w:val="left"/>
            </w:pPr>
            <w:r>
              <w:rPr>
                <w:b/>
                <w:color w:val="FFFFFF"/>
                <w:sz w:val="16"/>
              </w:rPr>
              <w:t>Question</w:t>
            </w:r>
          </w:p>
        </w:tc>
        <w:tc>
          <w:tcPr>
            <w:tcW w:type="dxa" w:w="3005"/>
            <w:shd w:fill="17365D"/>
            <w:vAlign w:val="center"/>
            <w:tcBorders>
              <w:bottom w:val="single" w:sz="5" w:color="FFFFFF"/>
            </w:tcBorders>
          </w:tcPr>
          <w:p>
            <w:pPr>
              <w:jc w:val="left"/>
            </w:pPr>
            <w:r>
              <w:rPr>
                <w:b/>
                <w:color w:val="FFFFFF"/>
                <w:sz w:val="16"/>
              </w:rPr>
              <w:t>Indicateur</w:t>
            </w:r>
          </w:p>
        </w:tc>
      </w:tr>
      <w:tr>
        <w:trPr>
          <w:cantSplit/>
        </w:trPr>
        <w:tc>
          <w:tcPr>
            <w:tcW w:type="dxa" w:w="2154"/>
            <w:vAlign w:val="center"/>
            <w:tcBorders>
              <w:bottom w:val="single" w:sz="4" w:color="D8E1EC"/>
            </w:tcBorders>
          </w:tcPr>
          <w:p>
            <w:pPr>
              <w:spacing w:after="30" w:before="30"/>
            </w:pPr>
            <w:r>
              <w:rPr>
                <w:color w:val="182230"/>
                <w:sz w:val="16"/>
              </w:rPr>
              <w:t>Précision de la courbe</w:t>
            </w:r>
          </w:p>
        </w:tc>
        <w:tc>
          <w:tcPr>
            <w:tcW w:type="dxa" w:w="4139"/>
            <w:vAlign w:val="center"/>
            <w:tcBorders>
              <w:bottom w:val="single" w:sz="4" w:color="D8E1EC"/>
            </w:tcBorders>
          </w:tcPr>
          <w:p>
            <w:pPr>
              <w:spacing w:after="30" w:before="30"/>
            </w:pPr>
            <w:r>
              <w:rPr>
                <w:color w:val="182230"/>
                <w:sz w:val="16"/>
              </w:rPr>
              <w:t>Combien de prédictions ont moins de 5 % d'erreur ?</w:t>
            </w:r>
          </w:p>
        </w:tc>
        <w:tc>
          <w:tcPr>
            <w:tcW w:type="dxa" w:w="3005"/>
            <w:vAlign w:val="center"/>
            <w:tcBorders>
              <w:bottom w:val="single" w:sz="4" w:color="D8E1EC"/>
            </w:tcBorders>
          </w:tcPr>
          <w:p>
            <w:pPr>
              <w:spacing w:after="30" w:before="30"/>
            </w:pPr>
            <w:r>
              <w:rPr>
                <w:color w:val="182230"/>
                <w:sz w:val="16"/>
              </w:rPr>
              <w:t>Fréquence APE &lt;= 5 %</w:t>
            </w:r>
          </w:p>
        </w:tc>
      </w:tr>
      <w:tr>
        <w:trPr>
          <w:cantSplit/>
        </w:trPr>
        <w:tc>
          <w:tcPr>
            <w:tcW w:type="dxa" w:w="2154"/>
            <w:shd w:fill="F6F8FB"/>
            <w:vAlign w:val="center"/>
            <w:tcBorders>
              <w:bottom w:val="single" w:sz="4" w:color="D8E1EC"/>
            </w:tcBorders>
          </w:tcPr>
          <w:p>
            <w:pPr>
              <w:spacing w:after="30" w:before="30"/>
            </w:pPr>
            <w:r>
              <w:rPr>
                <w:color w:val="182230"/>
                <w:sz w:val="16"/>
              </w:rPr>
              <w:t>Couverture de l'intervalle</w:t>
            </w:r>
          </w:p>
        </w:tc>
        <w:tc>
          <w:tcPr>
            <w:tcW w:type="dxa" w:w="4139"/>
            <w:shd w:fill="F6F8FB"/>
            <w:vAlign w:val="center"/>
            <w:tcBorders>
              <w:bottom w:val="single" w:sz="4" w:color="D8E1EC"/>
            </w:tcBorders>
          </w:tcPr>
          <w:p>
            <w:pPr>
              <w:spacing w:after="30" w:before="30"/>
            </w:pPr>
            <w:r>
              <w:rPr>
                <w:color w:val="182230"/>
                <w:sz w:val="16"/>
              </w:rPr>
              <w:t>Combien de valeurs futures sont entre les bornes ?</w:t>
            </w:r>
          </w:p>
        </w:tc>
        <w:tc>
          <w:tcPr>
            <w:tcW w:type="dxa" w:w="3005"/>
            <w:shd w:fill="F6F8FB"/>
            <w:vAlign w:val="center"/>
            <w:tcBorders>
              <w:bottom w:val="single" w:sz="4" w:color="D8E1EC"/>
            </w:tcBorders>
          </w:tcPr>
          <w:p>
            <w:pPr>
              <w:spacing w:after="30" w:before="30"/>
            </w:pPr>
            <w:r>
              <w:rPr>
                <w:color w:val="182230"/>
                <w:sz w:val="16"/>
              </w:rPr>
              <w:t>Couverture empirique</w:t>
            </w:r>
          </w:p>
        </w:tc>
      </w:tr>
      <w:tr>
        <w:trPr>
          <w:cantSplit/>
        </w:trPr>
        <w:tc>
          <w:tcPr>
            <w:tcW w:type="dxa" w:w="2154"/>
            <w:vAlign w:val="center"/>
            <w:tcBorders>
              <w:bottom w:val="single" w:sz="4" w:color="D8E1EC"/>
            </w:tcBorders>
          </w:tcPr>
          <w:p>
            <w:pPr>
              <w:spacing w:after="30" w:before="30"/>
            </w:pPr>
            <w:r>
              <w:rPr>
                <w:color w:val="182230"/>
                <w:sz w:val="16"/>
              </w:rPr>
              <w:t>Largeur utile</w:t>
            </w:r>
          </w:p>
        </w:tc>
        <w:tc>
          <w:tcPr>
            <w:tcW w:type="dxa" w:w="4139"/>
            <w:vAlign w:val="center"/>
            <w:tcBorders>
              <w:bottom w:val="single" w:sz="4" w:color="D8E1EC"/>
            </w:tcBorders>
          </w:tcPr>
          <w:p>
            <w:pPr>
              <w:spacing w:after="30" w:before="30"/>
            </w:pPr>
            <w:r>
              <w:rPr>
                <w:color w:val="182230"/>
                <w:sz w:val="16"/>
              </w:rPr>
              <w:t>L'intervalle est-il assez étroit pour décider ?</w:t>
            </w:r>
          </w:p>
        </w:tc>
        <w:tc>
          <w:tcPr>
            <w:tcW w:type="dxa" w:w="3005"/>
            <w:vAlign w:val="center"/>
            <w:tcBorders>
              <w:bottom w:val="single" w:sz="4" w:color="D8E1EC"/>
            </w:tcBorders>
          </w:tcPr>
          <w:p>
            <w:pPr>
              <w:spacing w:after="30" w:before="30"/>
            </w:pPr>
            <w:r>
              <w:rPr>
                <w:color w:val="182230"/>
                <w:sz w:val="16"/>
              </w:rPr>
              <w:t>Largeur relative / temps au seuil</w:t>
            </w:r>
          </w:p>
        </w:tc>
      </w:tr>
      <w:tr>
        <w:trPr>
          <w:cantSplit/>
        </w:trPr>
        <w:tc>
          <w:tcPr>
            <w:tcW w:type="dxa" w:w="2154"/>
            <w:shd w:fill="F6F8FB"/>
            <w:vAlign w:val="center"/>
            <w:tcBorders>
              <w:bottom w:val="single" w:sz="4" w:color="D8E1EC"/>
            </w:tcBorders>
          </w:tcPr>
          <w:p>
            <w:pPr>
              <w:spacing w:after="30" w:before="30"/>
            </w:pPr>
            <w:r>
              <w:rPr>
                <w:color w:val="182230"/>
                <w:sz w:val="16"/>
              </w:rPr>
              <w:t>95/95</w:t>
            </w:r>
          </w:p>
        </w:tc>
        <w:tc>
          <w:tcPr>
            <w:tcW w:type="dxa" w:w="4139"/>
            <w:shd w:fill="F6F8FB"/>
            <w:vAlign w:val="center"/>
            <w:tcBorders>
              <w:bottom w:val="single" w:sz="4" w:color="D8E1EC"/>
            </w:tcBorders>
          </w:tcPr>
          <w:p>
            <w:pPr>
              <w:spacing w:after="30" w:before="30"/>
            </w:pPr>
            <w:r>
              <w:rPr>
                <w:color w:val="182230"/>
                <w:sz w:val="16"/>
              </w:rPr>
              <w:t>La borne statistique basse de couverture atteint-elle 95 % ?</w:t>
            </w:r>
          </w:p>
        </w:tc>
        <w:tc>
          <w:tcPr>
            <w:tcW w:type="dxa" w:w="3005"/>
            <w:shd w:fill="F6F8FB"/>
            <w:vAlign w:val="center"/>
            <w:tcBorders>
              <w:bottom w:val="single" w:sz="4" w:color="D8E1EC"/>
            </w:tcBorders>
          </w:tcPr>
          <w:p>
            <w:pPr>
              <w:spacing w:after="30" w:before="30"/>
            </w:pPr>
            <w:r>
              <w:rPr>
                <w:color w:val="182230"/>
                <w:sz w:val="16"/>
              </w:rPr>
              <w:t>Clopper-Pearson unilatéral</w:t>
            </w:r>
          </w:p>
        </w:tc>
      </w:tr>
    </w:tbl>
    <w:p>
      <w:pPr>
        <w:spacing w:after="0"/>
      </w:pPr>
    </w:p>
    <w:p>
      <w:r>
        <w:rPr>
          <w:i w:val="0"/>
        </w:rPr>
        <w:t>Un intervalle peut couvrir 95 % des cas simplement parce qu'il est très large. Cela n'améliore pas la courbe centrale. La publication doit donc rapporter simultanément couverture, largeur, MAPE, erreur maximale et taux de refus.</w:t>
      </w:r>
    </w:p>
    <w:p>
      <w:pPr>
        <w:pStyle w:val="Heading2"/>
        <w:keepNext/>
      </w:pPr>
      <w:r>
        <w:t>5.10 Qualification 95/95</w:t>
      </w:r>
    </w:p>
    <w:p>
      <w:r>
        <w:rPr>
          <w:i w:val="0"/>
        </w:rPr>
        <w:t>Pour une revendication 95/95, le modèle et ses bornes sont gelés avant le test, les groupes sont indépendants et représentatifs du domaine, et au moins deux sources externes sont présentes. Avec zéro échec, 59 groupes entièrement couverts sont nécessaires pour qu'une borne binomiale exacte unilatérale à 95 % dépasse 95 %. Ce nombre est un calcul de plan de validation dans le meilleur cas ; les formulations PP déjà utilisées pour calibrer la bande ne comptent pas comme test externe.</w:t>
      </w:r>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Définition publiable  </w:t>
            </w:r>
            <w:r>
              <w:t>SeaMat applique un protocole identique à tous les matériaux, mais ne leur attribue pas une précision identique. La précision appartient à un couple matériau - protocole - environnement - horizon.</w:t>
            </w:r>
          </w:p>
        </w:tc>
      </w:tr>
    </w:tbl>
    <w:p>
      <w:pPr>
        <w:pStyle w:val="Heading2"/>
        <w:keepNext/>
      </w:pPr>
      <w:r>
        <w:t>5.11 Courbe d'apprentissage disponible</w:t>
      </w:r>
    </w:p>
    <w:p>
      <w:pPr>
        <w:keepNext/>
        <w:jc w:val="center"/>
      </w:pPr>
      <w:r>
        <w:drawing>
          <wp:inline xmlns:a="http://schemas.openxmlformats.org/drawingml/2006/main" xmlns:pic="http://schemas.openxmlformats.org/drawingml/2006/picture">
            <wp:extent cx="5400000" cy="2868750"/>
            <wp:docPr id="6" name="Picture 6"/>
            <wp:cNvGraphicFramePr>
              <a:graphicFrameLocks noChangeAspect="1"/>
            </wp:cNvGraphicFramePr>
            <a:graphic>
              <a:graphicData uri="http://schemas.openxmlformats.org/drawingml/2006/picture">
                <pic:pic>
                  <pic:nvPicPr>
                    <pic:cNvPr id="0" name="learning_curve_pp.png"/>
                    <pic:cNvPicPr/>
                  </pic:nvPicPr>
                  <pic:blipFill>
                    <a:blip r:embed="rId15"/>
                    <a:stretch>
                      <a:fillRect/>
                    </a:stretch>
                  </pic:blipFill>
                  <pic:spPr>
                    <a:xfrm>
                      <a:off x="0" y="0"/>
                      <a:ext cx="5400000" cy="2868750"/>
                    </a:xfrm>
                    <a:prstGeom prst="rect"/>
                  </pic:spPr>
                </pic:pic>
              </a:graphicData>
            </a:graphic>
          </wp:inline>
        </w:drawing>
      </w:r>
    </w:p>
    <w:p>
      <w:pPr>
        <w:pStyle w:val="Caption"/>
        <w:keepLines/>
      </w:pPr>
      <w:r>
        <w:t>Figure 6 - Erreur de transfert PP selon le nombre de formulations paires. Les sous-ensembles sont combinatoires et non indépendants.</w:t>
      </w:r>
    </w:p>
    <w:p>
      <w:r>
        <w:rPr>
          <w:i w:val="0"/>
        </w:rPr>
        <w:t>L'erreur moyenne ne décroît pas régulièrement de 1 à 3 formulations. Ce comportement indique que le jeu est trop petit pour démontrer une convergence statistique ; la composition des pairs compte davantage que leur nombre. Une courbe d'apprentissage classique doit être répétée sur davantage de grades et de publications avant de conclure qu'un modèle complexe bénéficiera de nouvelles données.</w:t>
      </w:r>
    </w:p>
    <w:p>
      <w:pPr>
        <w:pStyle w:val="Heading1"/>
        <w:keepNext/>
        <w:pageBreakBefore/>
      </w:pPr>
      <w:r>
        <w:t>6. Résultats - PP H301 en vieillissement naturel</w:t>
      </w:r>
    </w:p>
    <w:p>
      <w:pPr>
        <w:keepNext/>
        <w:jc w:val="center"/>
      </w:pPr>
      <w:r>
        <w:drawing>
          <wp:inline xmlns:a="http://schemas.openxmlformats.org/drawingml/2006/main" xmlns:pic="http://schemas.openxmlformats.org/drawingml/2006/picture">
            <wp:extent cx="4932000" cy="2620125"/>
            <wp:docPr id="7" name="Picture 7"/>
            <wp:cNvGraphicFramePr>
              <a:graphicFrameLocks noChangeAspect="1"/>
            </wp:cNvGraphicFramePr>
            <a:graphic>
              <a:graphicData uri="http://schemas.openxmlformats.org/drawingml/2006/picture">
                <pic:pic>
                  <pic:nvPicPr>
                    <pic:cNvPr id="0" name="pp_curves.png"/>
                    <pic:cNvPicPr/>
                  </pic:nvPicPr>
                  <pic:blipFill>
                    <a:blip r:embed="rId16"/>
                    <a:stretch>
                      <a:fillRect/>
                    </a:stretch>
                  </pic:blipFill>
                  <pic:spPr>
                    <a:xfrm>
                      <a:off x="0" y="0"/>
                      <a:ext cx="4932000" cy="2620125"/>
                    </a:xfrm>
                    <a:prstGeom prst="rect"/>
                  </pic:spPr>
                </pic:pic>
              </a:graphicData>
            </a:graphic>
          </wp:inline>
        </w:drawing>
      </w:r>
    </w:p>
    <w:p>
      <w:pPr>
        <w:pStyle w:val="Caption"/>
        <w:keepLines/>
      </w:pPr>
      <w:r>
        <w:t>Figure 7 - Rétention du module publiée pour quatre formulations de PP H301 retransformé [1]. Les barres représentent les écarts-types du tableau source.</w:t>
      </w:r>
    </w:p>
    <w:p>
      <w:pPr>
        <w:pStyle w:val="Heading2"/>
        <w:keepNext/>
      </w:pPr>
      <w:r>
        <w:t>6.1 Validation hors formulation</w:t>
      </w:r>
    </w:p>
    <w:p>
      <w:r>
        <w:rPr>
          <w:i w:val="0"/>
        </w:rPr>
        <w:t>Chaque formulation est retirée à tour de rôle. SeaMat conserve uniquement son E₀, puis applique aux jours 30 et 120 la rétention médiane des trois formulations restantes. Ce protocole reproduit le cas d'un matériau dont la fiche est connue, mais sans mesure de vieillissement cible.</w:t>
      </w:r>
    </w:p>
    <w:p>
      <w:pPr>
        <w:keepNext/>
        <w:jc w:val="center"/>
      </w:pPr>
      <w:r>
        <w:drawing>
          <wp:inline xmlns:a="http://schemas.openxmlformats.org/drawingml/2006/main" xmlns:pic="http://schemas.openxmlformats.org/drawingml/2006/picture">
            <wp:extent cx="4752000" cy="2524500"/>
            <wp:docPr id="8" name="Picture 8"/>
            <wp:cNvGraphicFramePr>
              <a:graphicFrameLocks noChangeAspect="1"/>
            </wp:cNvGraphicFramePr>
            <a:graphic>
              <a:graphicData uri="http://schemas.openxmlformats.org/drawingml/2006/picture">
                <pic:pic>
                  <pic:nvPicPr>
                    <pic:cNvPr id="0" name="pp_validation.png"/>
                    <pic:cNvPicPr/>
                  </pic:nvPicPr>
                  <pic:blipFill>
                    <a:blip r:embed="rId17"/>
                    <a:stretch>
                      <a:fillRect/>
                    </a:stretch>
                  </pic:blipFill>
                  <pic:spPr>
                    <a:xfrm>
                      <a:off x="0" y="0"/>
                      <a:ext cx="4752000" cy="2524500"/>
                    </a:xfrm>
                    <a:prstGeom prst="rect"/>
                  </pic:spPr>
                </pic:pic>
              </a:graphicData>
            </a:graphic>
          </wp:inline>
        </w:drawing>
      </w:r>
    </w:p>
    <w:p>
      <w:pPr>
        <w:pStyle w:val="Caption"/>
        <w:keepLines/>
      </w:pPr>
      <w:r>
        <w:t>Figure 8 - Concordance entre modules prédits et observés pour les huit valeurs masquées. La proximité de la diagonale est bonne dans ce corpus.</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984"/>
            <w:shd w:fill="17365D"/>
            <w:vAlign w:val="center"/>
            <w:tcBorders>
              <w:bottom w:val="single" w:sz="5" w:color="FFFFFF"/>
            </w:tcBorders>
          </w:tcPr>
          <w:p>
            <w:pPr>
              <w:jc w:val="left"/>
            </w:pPr>
            <w:r>
              <w:rPr>
                <w:b/>
                <w:color w:val="FFFFFF"/>
                <w:sz w:val="16"/>
              </w:rPr>
              <w:t>Indicateur</w:t>
            </w:r>
          </w:p>
        </w:tc>
        <w:tc>
          <w:tcPr>
            <w:tcW w:type="dxa" w:w="1701"/>
            <w:shd w:fill="17365D"/>
            <w:vAlign w:val="center"/>
            <w:tcBorders>
              <w:bottom w:val="single" w:sz="5" w:color="FFFFFF"/>
            </w:tcBorders>
          </w:tcPr>
          <w:p>
            <w:pPr>
              <w:jc w:val="left"/>
            </w:pPr>
            <w:r>
              <w:rPr>
                <w:b/>
                <w:color w:val="FFFFFF"/>
                <w:sz w:val="16"/>
              </w:rPr>
              <w:t>Résultat</w:t>
            </w:r>
          </w:p>
        </w:tc>
        <w:tc>
          <w:tcPr>
            <w:tcW w:type="dxa" w:w="5613"/>
            <w:shd w:fill="17365D"/>
            <w:vAlign w:val="center"/>
            <w:tcBorders>
              <w:bottom w:val="single" w:sz="5" w:color="FFFFFF"/>
            </w:tcBorders>
          </w:tcPr>
          <w:p>
            <w:pPr>
              <w:jc w:val="left"/>
            </w:pPr>
            <w:r>
              <w:rPr>
                <w:b/>
                <w:color w:val="FFFFFF"/>
                <w:sz w:val="16"/>
              </w:rPr>
              <w:t>Interprétation</w:t>
            </w:r>
          </w:p>
        </w:tc>
      </w:tr>
      <w:tr>
        <w:trPr>
          <w:cantSplit/>
        </w:trPr>
        <w:tc>
          <w:tcPr>
            <w:tcW w:type="dxa" w:w="1984"/>
            <w:vAlign w:val="center"/>
            <w:tcBorders>
              <w:bottom w:val="single" w:sz="4" w:color="D8E1EC"/>
            </w:tcBorders>
          </w:tcPr>
          <w:p>
            <w:pPr>
              <w:spacing w:after="30" w:before="30"/>
            </w:pPr>
            <w:r>
              <w:rPr>
                <w:color w:val="182230"/>
                <w:sz w:val="16"/>
              </w:rPr>
              <w:t>Prédictions masquées</w:t>
            </w:r>
          </w:p>
        </w:tc>
        <w:tc>
          <w:tcPr>
            <w:tcW w:type="dxa" w:w="1701"/>
            <w:vAlign w:val="center"/>
            <w:tcBorders>
              <w:bottom w:val="single" w:sz="4" w:color="D8E1EC"/>
            </w:tcBorders>
          </w:tcPr>
          <w:p>
            <w:pPr>
              <w:spacing w:after="30" w:before="30"/>
            </w:pPr>
            <w:r>
              <w:rPr>
                <w:color w:val="182230"/>
                <w:sz w:val="16"/>
              </w:rPr>
              <w:t>8</w:t>
            </w:r>
          </w:p>
        </w:tc>
        <w:tc>
          <w:tcPr>
            <w:tcW w:type="dxa" w:w="5613"/>
            <w:vAlign w:val="center"/>
            <w:tcBorders>
              <w:bottom w:val="single" w:sz="4" w:color="D8E1EC"/>
            </w:tcBorders>
          </w:tcPr>
          <w:p>
            <w:pPr>
              <w:spacing w:after="30" w:before="30"/>
            </w:pPr>
            <w:r>
              <w:rPr>
                <w:color w:val="182230"/>
                <w:sz w:val="16"/>
              </w:rPr>
              <w:t>4 formulations x 2 temps</w:t>
            </w:r>
          </w:p>
        </w:tc>
      </w:tr>
      <w:tr>
        <w:trPr>
          <w:cantSplit/>
        </w:trPr>
        <w:tc>
          <w:tcPr>
            <w:tcW w:type="dxa" w:w="1984"/>
            <w:shd w:fill="F6F8FB"/>
            <w:vAlign w:val="center"/>
            <w:tcBorders>
              <w:bottom w:val="single" w:sz="4" w:color="D8E1EC"/>
            </w:tcBorders>
          </w:tcPr>
          <w:p>
            <w:pPr>
              <w:spacing w:after="30" w:before="30"/>
            </w:pPr>
            <w:r>
              <w:rPr>
                <w:color w:val="182230"/>
                <w:sz w:val="16"/>
              </w:rPr>
              <w:t>MAE</w:t>
            </w:r>
          </w:p>
        </w:tc>
        <w:tc>
          <w:tcPr>
            <w:tcW w:type="dxa" w:w="1701"/>
            <w:shd w:fill="F6F8FB"/>
            <w:vAlign w:val="center"/>
            <w:tcBorders>
              <w:bottom w:val="single" w:sz="4" w:color="D8E1EC"/>
            </w:tcBorders>
          </w:tcPr>
          <w:p>
            <w:pPr>
              <w:spacing w:after="30" w:before="30"/>
            </w:pPr>
            <w:r>
              <w:rPr>
                <w:color w:val="182230"/>
                <w:sz w:val="16"/>
              </w:rPr>
              <w:t>13,72 MPa</w:t>
            </w:r>
          </w:p>
        </w:tc>
        <w:tc>
          <w:tcPr>
            <w:tcW w:type="dxa" w:w="5613"/>
            <w:shd w:fill="F6F8FB"/>
            <w:vAlign w:val="center"/>
            <w:tcBorders>
              <w:bottom w:val="single" w:sz="4" w:color="D8E1EC"/>
            </w:tcBorders>
          </w:tcPr>
          <w:p>
            <w:pPr>
              <w:spacing w:after="30" w:before="30"/>
            </w:pPr>
            <w:r>
              <w:rPr>
                <w:color w:val="182230"/>
                <w:sz w:val="16"/>
              </w:rPr>
              <w:t>Écart absolu moyen</w:t>
            </w:r>
          </w:p>
        </w:tc>
      </w:tr>
      <w:tr>
        <w:trPr>
          <w:cantSplit/>
        </w:trPr>
        <w:tc>
          <w:tcPr>
            <w:tcW w:type="dxa" w:w="1984"/>
            <w:vAlign w:val="center"/>
            <w:tcBorders>
              <w:bottom w:val="single" w:sz="4" w:color="D8E1EC"/>
            </w:tcBorders>
          </w:tcPr>
          <w:p>
            <w:pPr>
              <w:spacing w:after="30" w:before="30"/>
            </w:pPr>
            <w:r>
              <w:rPr>
                <w:color w:val="182230"/>
                <w:sz w:val="16"/>
              </w:rPr>
              <w:t>RMSE</w:t>
            </w:r>
          </w:p>
        </w:tc>
        <w:tc>
          <w:tcPr>
            <w:tcW w:type="dxa" w:w="1701"/>
            <w:vAlign w:val="center"/>
            <w:tcBorders>
              <w:bottom w:val="single" w:sz="4" w:color="D8E1EC"/>
            </w:tcBorders>
          </w:tcPr>
          <w:p>
            <w:pPr>
              <w:spacing w:after="30" w:before="30"/>
            </w:pPr>
            <w:r>
              <w:rPr>
                <w:color w:val="182230"/>
                <w:sz w:val="16"/>
              </w:rPr>
              <w:t>13,99 MPa</w:t>
            </w:r>
          </w:p>
        </w:tc>
        <w:tc>
          <w:tcPr>
            <w:tcW w:type="dxa" w:w="5613"/>
            <w:vAlign w:val="center"/>
            <w:tcBorders>
              <w:bottom w:val="single" w:sz="4" w:color="D8E1EC"/>
            </w:tcBorders>
          </w:tcPr>
          <w:p>
            <w:pPr>
              <w:spacing w:after="30" w:before="30"/>
            </w:pPr>
            <w:r>
              <w:rPr>
                <w:color w:val="182230"/>
                <w:sz w:val="16"/>
              </w:rPr>
              <w:t>Faible pénalité additionnelle des grandes erreurs</w:t>
            </w:r>
          </w:p>
        </w:tc>
      </w:tr>
      <w:tr>
        <w:trPr>
          <w:cantSplit/>
        </w:trPr>
        <w:tc>
          <w:tcPr>
            <w:tcW w:type="dxa" w:w="1984"/>
            <w:shd w:fill="F6F8FB"/>
            <w:vAlign w:val="center"/>
            <w:tcBorders>
              <w:bottom w:val="single" w:sz="4" w:color="D8E1EC"/>
            </w:tcBorders>
          </w:tcPr>
          <w:p>
            <w:pPr>
              <w:spacing w:after="30" w:before="30"/>
            </w:pPr>
            <w:r>
              <w:rPr>
                <w:color w:val="182230"/>
                <w:sz w:val="16"/>
              </w:rPr>
              <w:t>MAPE</w:t>
            </w:r>
          </w:p>
        </w:tc>
        <w:tc>
          <w:tcPr>
            <w:tcW w:type="dxa" w:w="1701"/>
            <w:shd w:fill="F6F8FB"/>
            <w:vAlign w:val="center"/>
            <w:tcBorders>
              <w:bottom w:val="single" w:sz="4" w:color="D8E1EC"/>
            </w:tcBorders>
          </w:tcPr>
          <w:p>
            <w:pPr>
              <w:spacing w:after="30" w:before="30"/>
            </w:pPr>
            <w:r>
              <w:rPr>
                <w:color w:val="182230"/>
                <w:sz w:val="16"/>
              </w:rPr>
              <w:t>2,75 %</w:t>
            </w:r>
          </w:p>
        </w:tc>
        <w:tc>
          <w:tcPr>
            <w:tcW w:type="dxa" w:w="5613"/>
            <w:shd w:fill="F6F8FB"/>
            <w:vAlign w:val="center"/>
            <w:tcBorders>
              <w:bottom w:val="single" w:sz="4" w:color="D8E1EC"/>
            </w:tcBorders>
          </w:tcPr>
          <w:p>
            <w:pPr>
              <w:spacing w:after="30" w:before="30"/>
            </w:pPr>
            <w:r>
              <w:rPr>
                <w:color w:val="182230"/>
                <w:sz w:val="16"/>
              </w:rPr>
              <w:t>Erreur relative moyenne</w:t>
            </w:r>
          </w:p>
        </w:tc>
      </w:tr>
      <w:tr>
        <w:trPr>
          <w:cantSplit/>
        </w:trPr>
        <w:tc>
          <w:tcPr>
            <w:tcW w:type="dxa" w:w="1984"/>
            <w:vAlign w:val="center"/>
            <w:tcBorders>
              <w:bottom w:val="single" w:sz="4" w:color="D8E1EC"/>
            </w:tcBorders>
          </w:tcPr>
          <w:p>
            <w:pPr>
              <w:spacing w:after="30" w:before="30"/>
            </w:pPr>
            <w:r>
              <w:rPr>
                <w:color w:val="182230"/>
                <w:sz w:val="16"/>
              </w:rPr>
              <w:t>Erreur maximale</w:t>
            </w:r>
          </w:p>
        </w:tc>
        <w:tc>
          <w:tcPr>
            <w:tcW w:type="dxa" w:w="1701"/>
            <w:vAlign w:val="center"/>
            <w:tcBorders>
              <w:bottom w:val="single" w:sz="4" w:color="D8E1EC"/>
            </w:tcBorders>
          </w:tcPr>
          <w:p>
            <w:pPr>
              <w:spacing w:after="30" w:before="30"/>
            </w:pPr>
            <w:r>
              <w:rPr>
                <w:color w:val="182230"/>
                <w:sz w:val="16"/>
              </w:rPr>
              <w:t>3,41 %</w:t>
            </w:r>
          </w:p>
        </w:tc>
        <w:tc>
          <w:tcPr>
            <w:tcW w:type="dxa" w:w="5613"/>
            <w:vAlign w:val="center"/>
            <w:tcBorders>
              <w:bottom w:val="single" w:sz="4" w:color="D8E1EC"/>
            </w:tcBorders>
          </w:tcPr>
          <w:p>
            <w:pPr>
              <w:spacing w:after="30" w:before="30"/>
            </w:pPr>
            <w:r>
              <w:rPr>
                <w:color w:val="182230"/>
                <w:sz w:val="16"/>
              </w:rPr>
              <w:t>Base de la demi-bande interne 0-120 jours</w:t>
            </w:r>
          </w:p>
        </w:tc>
      </w:tr>
      <w:tr>
        <w:trPr>
          <w:cantSplit/>
        </w:trPr>
        <w:tc>
          <w:tcPr>
            <w:tcW w:type="dxa" w:w="1984"/>
            <w:shd w:fill="F6F8FB"/>
            <w:vAlign w:val="center"/>
            <w:tcBorders>
              <w:bottom w:val="single" w:sz="4" w:color="D8E1EC"/>
            </w:tcBorders>
          </w:tcPr>
          <w:p>
            <w:pPr>
              <w:spacing w:after="30" w:before="30"/>
            </w:pPr>
            <w:r>
              <w:rPr>
                <w:color w:val="182230"/>
                <w:sz w:val="16"/>
              </w:rPr>
              <w:t>R²</w:t>
            </w:r>
          </w:p>
        </w:tc>
        <w:tc>
          <w:tcPr>
            <w:tcW w:type="dxa" w:w="1701"/>
            <w:shd w:fill="F6F8FB"/>
            <w:vAlign w:val="center"/>
            <w:tcBorders>
              <w:bottom w:val="single" w:sz="4" w:color="D8E1EC"/>
            </w:tcBorders>
          </w:tcPr>
          <w:p>
            <w:pPr>
              <w:spacing w:after="30" w:before="30"/>
            </w:pPr>
            <w:r>
              <w:rPr>
                <w:color w:val="182230"/>
                <w:sz w:val="16"/>
              </w:rPr>
              <w:t>0,854</w:t>
            </w:r>
          </w:p>
        </w:tc>
        <w:tc>
          <w:tcPr>
            <w:tcW w:type="dxa" w:w="5613"/>
            <w:shd w:fill="F6F8FB"/>
            <w:vAlign w:val="center"/>
            <w:tcBorders>
              <w:bottom w:val="single" w:sz="4" w:color="D8E1EC"/>
            </w:tcBorders>
          </w:tcPr>
          <w:p>
            <w:pPr>
              <w:spacing w:after="30" w:before="30"/>
            </w:pPr>
            <w:r>
              <w:rPr>
                <w:color w:val="182230"/>
                <w:sz w:val="16"/>
              </w:rPr>
              <w:t>Variance inter-formulations globalement reproduite</w:t>
            </w:r>
          </w:p>
        </w:tc>
      </w:tr>
      <w:tr>
        <w:trPr>
          <w:cantSplit/>
        </w:trPr>
        <w:tc>
          <w:tcPr>
            <w:tcW w:type="dxa" w:w="1984"/>
            <w:vAlign w:val="center"/>
            <w:tcBorders>
              <w:bottom w:val="single" w:sz="4" w:color="D8E1EC"/>
            </w:tcBorders>
          </w:tcPr>
          <w:p>
            <w:pPr>
              <w:spacing w:after="30" w:before="30"/>
            </w:pPr>
            <w:r>
              <w:rPr>
                <w:color w:val="182230"/>
                <w:sz w:val="16"/>
              </w:rPr>
              <w:t>Couverture interne</w:t>
            </w:r>
          </w:p>
        </w:tc>
        <w:tc>
          <w:tcPr>
            <w:tcW w:type="dxa" w:w="1701"/>
            <w:vAlign w:val="center"/>
            <w:tcBorders>
              <w:bottom w:val="single" w:sz="4" w:color="D8E1EC"/>
            </w:tcBorders>
          </w:tcPr>
          <w:p>
            <w:pPr>
              <w:spacing w:after="30" w:before="30"/>
            </w:pPr>
            <w:r>
              <w:rPr>
                <w:color w:val="182230"/>
                <w:sz w:val="16"/>
              </w:rPr>
              <w:t>100 %</w:t>
            </w:r>
          </w:p>
        </w:tc>
        <w:tc>
          <w:tcPr>
            <w:tcW w:type="dxa" w:w="5613"/>
            <w:vAlign w:val="center"/>
            <w:tcBorders>
              <w:bottom w:val="single" w:sz="4" w:color="D8E1EC"/>
            </w:tcBorders>
          </w:tcPr>
          <w:p>
            <w:pPr>
              <w:spacing w:after="30" w:before="30"/>
            </w:pPr>
            <w:r>
              <w:rPr>
                <w:color w:val="182230"/>
                <w:sz w:val="16"/>
              </w:rPr>
              <w:t>8/8 points dans ±3,41 %</w:t>
            </w:r>
          </w:p>
        </w:tc>
      </w:tr>
    </w:tbl>
    <w:p>
      <w:pPr>
        <w:spacing w:after="0"/>
      </w:pPr>
    </w:p>
    <w:p>
      <w:pPr>
        <w:pStyle w:val="Heading2"/>
        <w:keepNext/>
      </w:pPr>
      <w:r>
        <w:t>6.1.1 Détail des huit calculs masqués</w:t>
      </w:r>
    </w:p>
    <w:tbl>
      <w:tblPr>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2608"/>
            <w:shd w:fill="17365D"/>
            <w:vAlign w:val="center"/>
            <w:tcBorders>
              <w:bottom w:val="single" w:sz="5" w:color="FFFFFF"/>
            </w:tcBorders>
          </w:tcPr>
          <w:p>
            <w:pPr>
              <w:jc w:val="left"/>
            </w:pPr>
            <w:r>
              <w:rPr>
                <w:b/>
                <w:color w:val="FFFFFF"/>
                <w:sz w:val="14"/>
              </w:rPr>
              <w:t>Formulation</w:t>
            </w:r>
          </w:p>
        </w:tc>
        <w:tc>
          <w:tcPr>
            <w:tcW w:type="dxa" w:w="1247"/>
            <w:shd w:fill="17365D"/>
            <w:vAlign w:val="center"/>
            <w:tcBorders>
              <w:bottom w:val="single" w:sz="5" w:color="FFFFFF"/>
            </w:tcBorders>
          </w:tcPr>
          <w:p>
            <w:pPr>
              <w:jc w:val="left"/>
            </w:pPr>
            <w:r>
              <w:rPr>
                <w:b/>
                <w:color w:val="FFFFFF"/>
                <w:sz w:val="14"/>
              </w:rPr>
              <w:t>Temps</w:t>
            </w:r>
          </w:p>
        </w:tc>
        <w:tc>
          <w:tcPr>
            <w:tcW w:type="dxa" w:w="1871"/>
            <w:shd w:fill="17365D"/>
            <w:vAlign w:val="center"/>
            <w:tcBorders>
              <w:bottom w:val="single" w:sz="5" w:color="FFFFFF"/>
            </w:tcBorders>
          </w:tcPr>
          <w:p>
            <w:pPr>
              <w:jc w:val="left"/>
            </w:pPr>
            <w:r>
              <w:rPr>
                <w:b/>
                <w:color w:val="FFFFFF"/>
                <w:sz w:val="14"/>
              </w:rPr>
              <w:t>Observé</w:t>
            </w:r>
          </w:p>
        </w:tc>
        <w:tc>
          <w:tcPr>
            <w:tcW w:type="dxa" w:w="1871"/>
            <w:shd w:fill="17365D"/>
            <w:vAlign w:val="center"/>
            <w:tcBorders>
              <w:bottom w:val="single" w:sz="5" w:color="FFFFFF"/>
            </w:tcBorders>
          </w:tcPr>
          <w:p>
            <w:pPr>
              <w:jc w:val="left"/>
            </w:pPr>
            <w:r>
              <w:rPr>
                <w:b/>
                <w:color w:val="FFFFFF"/>
                <w:sz w:val="14"/>
              </w:rPr>
              <w:t>Prédit</w:t>
            </w:r>
          </w:p>
        </w:tc>
        <w:tc>
          <w:tcPr>
            <w:tcW w:type="dxa" w:w="1701"/>
            <w:shd w:fill="17365D"/>
            <w:vAlign w:val="center"/>
            <w:tcBorders>
              <w:bottom w:val="single" w:sz="5" w:color="FFFFFF"/>
            </w:tcBorders>
          </w:tcPr>
          <w:p>
            <w:pPr>
              <w:jc w:val="left"/>
            </w:pPr>
            <w:r>
              <w:rPr>
                <w:b/>
                <w:color w:val="FFFFFF"/>
                <w:sz w:val="14"/>
              </w:rPr>
              <w:t>APE</w:t>
            </w:r>
          </w:p>
        </w:tc>
      </w:tr>
      <w:tr>
        <w:trPr>
          <w:cantSplit/>
        </w:trPr>
        <w:tc>
          <w:tcPr>
            <w:tcW w:type="dxa" w:w="2608"/>
            <w:vAlign w:val="center"/>
            <w:tcBorders>
              <w:bottom w:val="single" w:sz="4" w:color="D8E1EC"/>
            </w:tcBorders>
          </w:tcPr>
          <w:p>
            <w:pPr>
              <w:spacing w:after="30" w:before="30"/>
            </w:pPr>
            <w:r>
              <w:rPr>
                <w:color w:val="182230"/>
                <w:sz w:val="14"/>
              </w:rPr>
              <w:t>R-PP1x</w:t>
            </w:r>
          </w:p>
        </w:tc>
        <w:tc>
          <w:tcPr>
            <w:tcW w:type="dxa" w:w="1247"/>
            <w:vAlign w:val="center"/>
            <w:tcBorders>
              <w:bottom w:val="single" w:sz="4" w:color="D8E1EC"/>
            </w:tcBorders>
          </w:tcPr>
          <w:p>
            <w:pPr>
              <w:spacing w:after="30" w:before="30"/>
            </w:pPr>
            <w:r>
              <w:rPr>
                <w:color w:val="182230"/>
                <w:sz w:val="14"/>
              </w:rPr>
              <w:t>30 j</w:t>
            </w:r>
          </w:p>
        </w:tc>
        <w:tc>
          <w:tcPr>
            <w:tcW w:type="dxa" w:w="1871"/>
            <w:vAlign w:val="center"/>
            <w:tcBorders>
              <w:bottom w:val="single" w:sz="4" w:color="D8E1EC"/>
            </w:tcBorders>
          </w:tcPr>
          <w:p>
            <w:pPr>
              <w:spacing w:after="30" w:before="30"/>
            </w:pPr>
            <w:r>
              <w:rPr>
                <w:color w:val="182230"/>
                <w:sz w:val="14"/>
              </w:rPr>
              <w:t>561,80 MPa</w:t>
            </w:r>
          </w:p>
        </w:tc>
        <w:tc>
          <w:tcPr>
            <w:tcW w:type="dxa" w:w="1871"/>
            <w:vAlign w:val="center"/>
            <w:tcBorders>
              <w:bottom w:val="single" w:sz="4" w:color="D8E1EC"/>
            </w:tcBorders>
          </w:tcPr>
          <w:p>
            <w:pPr>
              <w:spacing w:after="30" w:before="30"/>
            </w:pPr>
            <w:r>
              <w:rPr>
                <w:color w:val="182230"/>
                <w:sz w:val="14"/>
              </w:rPr>
              <w:t>549,73 MPa</w:t>
            </w:r>
          </w:p>
        </w:tc>
        <w:tc>
          <w:tcPr>
            <w:tcW w:type="dxa" w:w="1701"/>
            <w:vAlign w:val="center"/>
            <w:tcBorders>
              <w:bottom w:val="single" w:sz="4" w:color="D8E1EC"/>
            </w:tcBorders>
          </w:tcPr>
          <w:p>
            <w:pPr>
              <w:spacing w:after="30" w:before="30"/>
            </w:pPr>
            <w:r>
              <w:rPr>
                <w:color w:val="182230"/>
                <w:sz w:val="14"/>
              </w:rPr>
              <w:t>2,15 %</w:t>
            </w:r>
          </w:p>
        </w:tc>
      </w:tr>
      <w:tr>
        <w:trPr>
          <w:cantSplit/>
        </w:trPr>
        <w:tc>
          <w:tcPr>
            <w:tcW w:type="dxa" w:w="2608"/>
            <w:shd w:fill="F6F8FB"/>
            <w:vAlign w:val="center"/>
            <w:tcBorders>
              <w:bottom w:val="single" w:sz="4" w:color="D8E1EC"/>
            </w:tcBorders>
          </w:tcPr>
          <w:p>
            <w:pPr>
              <w:spacing w:after="30" w:before="30"/>
            </w:pPr>
            <w:r>
              <w:rPr>
                <w:color w:val="182230"/>
                <w:sz w:val="14"/>
              </w:rPr>
              <w:t>R-PP1x</w:t>
            </w:r>
          </w:p>
        </w:tc>
        <w:tc>
          <w:tcPr>
            <w:tcW w:type="dxa" w:w="1247"/>
            <w:shd w:fill="F6F8FB"/>
            <w:vAlign w:val="center"/>
            <w:tcBorders>
              <w:bottom w:val="single" w:sz="4" w:color="D8E1EC"/>
            </w:tcBorders>
          </w:tcPr>
          <w:p>
            <w:pPr>
              <w:spacing w:after="30" w:before="30"/>
            </w:pPr>
            <w:r>
              <w:rPr>
                <w:color w:val="182230"/>
                <w:sz w:val="14"/>
              </w:rPr>
              <w:t>120 j</w:t>
            </w:r>
          </w:p>
        </w:tc>
        <w:tc>
          <w:tcPr>
            <w:tcW w:type="dxa" w:w="1871"/>
            <w:shd w:fill="F6F8FB"/>
            <w:vAlign w:val="center"/>
            <w:tcBorders>
              <w:bottom w:val="single" w:sz="4" w:color="D8E1EC"/>
            </w:tcBorders>
          </w:tcPr>
          <w:p>
            <w:pPr>
              <w:spacing w:after="30" w:before="30"/>
            </w:pPr>
            <w:r>
              <w:rPr>
                <w:color w:val="182230"/>
                <w:sz w:val="14"/>
              </w:rPr>
              <w:t>555,80 MPa</w:t>
            </w:r>
          </w:p>
        </w:tc>
        <w:tc>
          <w:tcPr>
            <w:tcW w:type="dxa" w:w="1871"/>
            <w:shd w:fill="F6F8FB"/>
            <w:vAlign w:val="center"/>
            <w:tcBorders>
              <w:bottom w:val="single" w:sz="4" w:color="D8E1EC"/>
            </w:tcBorders>
          </w:tcPr>
          <w:p>
            <w:pPr>
              <w:spacing w:after="30" w:before="30"/>
            </w:pPr>
            <w:r>
              <w:rPr>
                <w:color w:val="182230"/>
                <w:sz w:val="14"/>
              </w:rPr>
              <w:t>537,67 MPa</w:t>
            </w:r>
          </w:p>
        </w:tc>
        <w:tc>
          <w:tcPr>
            <w:tcW w:type="dxa" w:w="1701"/>
            <w:shd w:fill="F6F8FB"/>
            <w:vAlign w:val="center"/>
            <w:tcBorders>
              <w:bottom w:val="single" w:sz="4" w:color="D8E1EC"/>
            </w:tcBorders>
          </w:tcPr>
          <w:p>
            <w:pPr>
              <w:spacing w:after="30" w:before="30"/>
            </w:pPr>
            <w:r>
              <w:rPr>
                <w:color w:val="182230"/>
                <w:sz w:val="14"/>
              </w:rPr>
              <w:t>3,26 %</w:t>
            </w:r>
          </w:p>
        </w:tc>
      </w:tr>
      <w:tr>
        <w:trPr>
          <w:cantSplit/>
        </w:trPr>
        <w:tc>
          <w:tcPr>
            <w:tcW w:type="dxa" w:w="2608"/>
            <w:vAlign w:val="center"/>
            <w:tcBorders>
              <w:bottom w:val="single" w:sz="4" w:color="D8E1EC"/>
            </w:tcBorders>
          </w:tcPr>
          <w:p>
            <w:pPr>
              <w:spacing w:after="30" w:before="30"/>
            </w:pPr>
            <w:r>
              <w:rPr>
                <w:color w:val="182230"/>
                <w:sz w:val="14"/>
              </w:rPr>
              <w:t>R-PP3x</w:t>
            </w:r>
          </w:p>
        </w:tc>
        <w:tc>
          <w:tcPr>
            <w:tcW w:type="dxa" w:w="1247"/>
            <w:vAlign w:val="center"/>
            <w:tcBorders>
              <w:bottom w:val="single" w:sz="4" w:color="D8E1EC"/>
            </w:tcBorders>
          </w:tcPr>
          <w:p>
            <w:pPr>
              <w:spacing w:after="30" w:before="30"/>
            </w:pPr>
            <w:r>
              <w:rPr>
                <w:color w:val="182230"/>
                <w:sz w:val="14"/>
              </w:rPr>
              <w:t>30 j</w:t>
            </w:r>
          </w:p>
        </w:tc>
        <w:tc>
          <w:tcPr>
            <w:tcW w:type="dxa" w:w="1871"/>
            <w:vAlign w:val="center"/>
            <w:tcBorders>
              <w:bottom w:val="single" w:sz="4" w:color="D8E1EC"/>
            </w:tcBorders>
          </w:tcPr>
          <w:p>
            <w:pPr>
              <w:spacing w:after="30" w:before="30"/>
            </w:pPr>
            <w:r>
              <w:rPr>
                <w:color w:val="182230"/>
                <w:sz w:val="14"/>
              </w:rPr>
              <w:t>465,20 MPa</w:t>
            </w:r>
          </w:p>
        </w:tc>
        <w:tc>
          <w:tcPr>
            <w:tcW w:type="dxa" w:w="1871"/>
            <w:vAlign w:val="center"/>
            <w:tcBorders>
              <w:bottom w:val="single" w:sz="4" w:color="D8E1EC"/>
            </w:tcBorders>
          </w:tcPr>
          <w:p>
            <w:pPr>
              <w:spacing w:after="30" w:before="30"/>
            </w:pPr>
            <w:r>
              <w:rPr>
                <w:color w:val="182230"/>
                <w:sz w:val="14"/>
              </w:rPr>
              <w:t>480,71 MPa</w:t>
            </w:r>
          </w:p>
        </w:tc>
        <w:tc>
          <w:tcPr>
            <w:tcW w:type="dxa" w:w="1701"/>
            <w:vAlign w:val="center"/>
            <w:tcBorders>
              <w:bottom w:val="single" w:sz="4" w:color="D8E1EC"/>
            </w:tcBorders>
          </w:tcPr>
          <w:p>
            <w:pPr>
              <w:spacing w:after="30" w:before="30"/>
            </w:pPr>
            <w:r>
              <w:rPr>
                <w:color w:val="182230"/>
                <w:sz w:val="14"/>
              </w:rPr>
              <w:t>3,33 %</w:t>
            </w:r>
          </w:p>
        </w:tc>
      </w:tr>
      <w:tr>
        <w:trPr>
          <w:cantSplit/>
        </w:trPr>
        <w:tc>
          <w:tcPr>
            <w:tcW w:type="dxa" w:w="2608"/>
            <w:shd w:fill="F6F8FB"/>
            <w:vAlign w:val="center"/>
            <w:tcBorders>
              <w:bottom w:val="single" w:sz="4" w:color="D8E1EC"/>
            </w:tcBorders>
          </w:tcPr>
          <w:p>
            <w:pPr>
              <w:spacing w:after="30" w:before="30"/>
            </w:pPr>
            <w:r>
              <w:rPr>
                <w:color w:val="182230"/>
                <w:sz w:val="14"/>
              </w:rPr>
              <w:t>R-PP3x</w:t>
            </w:r>
          </w:p>
        </w:tc>
        <w:tc>
          <w:tcPr>
            <w:tcW w:type="dxa" w:w="1247"/>
            <w:shd w:fill="F6F8FB"/>
            <w:vAlign w:val="center"/>
            <w:tcBorders>
              <w:bottom w:val="single" w:sz="4" w:color="D8E1EC"/>
            </w:tcBorders>
          </w:tcPr>
          <w:p>
            <w:pPr>
              <w:spacing w:after="30" w:before="30"/>
            </w:pPr>
            <w:r>
              <w:rPr>
                <w:color w:val="182230"/>
                <w:sz w:val="14"/>
              </w:rPr>
              <w:t>120 j</w:t>
            </w:r>
          </w:p>
        </w:tc>
        <w:tc>
          <w:tcPr>
            <w:tcW w:type="dxa" w:w="1871"/>
            <w:shd w:fill="F6F8FB"/>
            <w:vAlign w:val="center"/>
            <w:tcBorders>
              <w:bottom w:val="single" w:sz="4" w:color="D8E1EC"/>
            </w:tcBorders>
          </w:tcPr>
          <w:p>
            <w:pPr>
              <w:spacing w:after="30" w:before="30"/>
            </w:pPr>
            <w:r>
              <w:rPr>
                <w:color w:val="182230"/>
                <w:sz w:val="14"/>
              </w:rPr>
              <w:t>454,90 MPa</w:t>
            </w:r>
          </w:p>
        </w:tc>
        <w:tc>
          <w:tcPr>
            <w:tcW w:type="dxa" w:w="1871"/>
            <w:shd w:fill="F6F8FB"/>
            <w:vAlign w:val="center"/>
            <w:tcBorders>
              <w:bottom w:val="single" w:sz="4" w:color="D8E1EC"/>
            </w:tcBorders>
          </w:tcPr>
          <w:p>
            <w:pPr>
              <w:spacing w:after="30" w:before="30"/>
            </w:pPr>
            <w:r>
              <w:rPr>
                <w:color w:val="182230"/>
                <w:sz w:val="14"/>
              </w:rPr>
              <w:t>470,42 MPa</w:t>
            </w:r>
          </w:p>
        </w:tc>
        <w:tc>
          <w:tcPr>
            <w:tcW w:type="dxa" w:w="1701"/>
            <w:shd w:fill="F6F8FB"/>
            <w:vAlign w:val="center"/>
            <w:tcBorders>
              <w:bottom w:val="single" w:sz="4" w:color="D8E1EC"/>
            </w:tcBorders>
          </w:tcPr>
          <w:p>
            <w:pPr>
              <w:spacing w:after="30" w:before="30"/>
            </w:pPr>
            <w:r>
              <w:rPr>
                <w:color w:val="182230"/>
                <w:sz w:val="14"/>
              </w:rPr>
              <w:t>3,41 %</w:t>
            </w:r>
          </w:p>
        </w:tc>
      </w:tr>
      <w:tr>
        <w:trPr>
          <w:cantSplit/>
        </w:trPr>
        <w:tc>
          <w:tcPr>
            <w:tcW w:type="dxa" w:w="2608"/>
            <w:vAlign w:val="center"/>
            <w:tcBorders>
              <w:bottom w:val="single" w:sz="4" w:color="D8E1EC"/>
            </w:tcBorders>
          </w:tcPr>
          <w:p>
            <w:pPr>
              <w:spacing w:after="30" w:before="30"/>
            </w:pPr>
            <w:r>
              <w:rPr>
                <w:color w:val="182230"/>
                <w:sz w:val="14"/>
              </w:rPr>
              <w:t>R-PP3x/3CHF</w:t>
            </w:r>
          </w:p>
        </w:tc>
        <w:tc>
          <w:tcPr>
            <w:tcW w:type="dxa" w:w="1247"/>
            <w:vAlign w:val="center"/>
            <w:tcBorders>
              <w:bottom w:val="single" w:sz="4" w:color="D8E1EC"/>
            </w:tcBorders>
          </w:tcPr>
          <w:p>
            <w:pPr>
              <w:spacing w:after="30" w:before="30"/>
            </w:pPr>
            <w:r>
              <w:rPr>
                <w:color w:val="182230"/>
                <w:sz w:val="14"/>
              </w:rPr>
              <w:t>30 j</w:t>
            </w:r>
          </w:p>
        </w:tc>
        <w:tc>
          <w:tcPr>
            <w:tcW w:type="dxa" w:w="1871"/>
            <w:vAlign w:val="center"/>
            <w:tcBorders>
              <w:bottom w:val="single" w:sz="4" w:color="D8E1EC"/>
            </w:tcBorders>
          </w:tcPr>
          <w:p>
            <w:pPr>
              <w:spacing w:after="30" w:before="30"/>
            </w:pPr>
            <w:r>
              <w:rPr>
                <w:color w:val="182230"/>
                <w:sz w:val="14"/>
              </w:rPr>
              <w:t>504,90 MPa</w:t>
            </w:r>
          </w:p>
        </w:tc>
        <w:tc>
          <w:tcPr>
            <w:tcW w:type="dxa" w:w="1871"/>
            <w:vAlign w:val="center"/>
            <w:tcBorders>
              <w:bottom w:val="single" w:sz="4" w:color="D8E1EC"/>
            </w:tcBorders>
          </w:tcPr>
          <w:p>
            <w:pPr>
              <w:spacing w:after="30" w:before="30"/>
            </w:pPr>
            <w:r>
              <w:rPr>
                <w:color w:val="182230"/>
                <w:sz w:val="14"/>
              </w:rPr>
              <w:t>488,76 MPa</w:t>
            </w:r>
          </w:p>
        </w:tc>
        <w:tc>
          <w:tcPr>
            <w:tcW w:type="dxa" w:w="1701"/>
            <w:vAlign w:val="center"/>
            <w:tcBorders>
              <w:bottom w:val="single" w:sz="4" w:color="D8E1EC"/>
            </w:tcBorders>
          </w:tcPr>
          <w:p>
            <w:pPr>
              <w:spacing w:after="30" w:before="30"/>
            </w:pPr>
            <w:r>
              <w:rPr>
                <w:color w:val="182230"/>
                <w:sz w:val="14"/>
              </w:rPr>
              <w:t>3,20 %</w:t>
            </w:r>
          </w:p>
        </w:tc>
      </w:tr>
      <w:tr>
        <w:trPr>
          <w:cantSplit/>
        </w:trPr>
        <w:tc>
          <w:tcPr>
            <w:tcW w:type="dxa" w:w="2608"/>
            <w:shd w:fill="F6F8FB"/>
            <w:vAlign w:val="center"/>
            <w:tcBorders>
              <w:bottom w:val="single" w:sz="4" w:color="D8E1EC"/>
            </w:tcBorders>
          </w:tcPr>
          <w:p>
            <w:pPr>
              <w:spacing w:after="30" w:before="30"/>
            </w:pPr>
            <w:r>
              <w:rPr>
                <w:color w:val="182230"/>
                <w:sz w:val="14"/>
              </w:rPr>
              <w:t>R-PP3x/3CHF</w:t>
            </w:r>
          </w:p>
        </w:tc>
        <w:tc>
          <w:tcPr>
            <w:tcW w:type="dxa" w:w="1247"/>
            <w:shd w:fill="F6F8FB"/>
            <w:vAlign w:val="center"/>
            <w:tcBorders>
              <w:bottom w:val="single" w:sz="4" w:color="D8E1EC"/>
            </w:tcBorders>
          </w:tcPr>
          <w:p>
            <w:pPr>
              <w:spacing w:after="30" w:before="30"/>
            </w:pPr>
            <w:r>
              <w:rPr>
                <w:color w:val="182230"/>
                <w:sz w:val="14"/>
              </w:rPr>
              <w:t>120 j</w:t>
            </w:r>
          </w:p>
        </w:tc>
        <w:tc>
          <w:tcPr>
            <w:tcW w:type="dxa" w:w="1871"/>
            <w:shd w:fill="F6F8FB"/>
            <w:vAlign w:val="center"/>
            <w:tcBorders>
              <w:bottom w:val="single" w:sz="4" w:color="D8E1EC"/>
            </w:tcBorders>
          </w:tcPr>
          <w:p>
            <w:pPr>
              <w:spacing w:after="30" w:before="30"/>
            </w:pPr>
            <w:r>
              <w:rPr>
                <w:color w:val="182230"/>
                <w:sz w:val="14"/>
              </w:rPr>
              <w:t>488,80 MPa</w:t>
            </w:r>
          </w:p>
        </w:tc>
        <w:tc>
          <w:tcPr>
            <w:tcW w:type="dxa" w:w="1871"/>
            <w:shd w:fill="F6F8FB"/>
            <w:vAlign w:val="center"/>
            <w:tcBorders>
              <w:bottom w:val="single" w:sz="4" w:color="D8E1EC"/>
            </w:tcBorders>
          </w:tcPr>
          <w:p>
            <w:pPr>
              <w:spacing w:after="30" w:before="30"/>
            </w:pPr>
            <w:r>
              <w:rPr>
                <w:color w:val="182230"/>
                <w:sz w:val="14"/>
              </w:rPr>
              <w:t>478,04 MPa</w:t>
            </w:r>
          </w:p>
        </w:tc>
        <w:tc>
          <w:tcPr>
            <w:tcW w:type="dxa" w:w="1701"/>
            <w:shd w:fill="F6F8FB"/>
            <w:vAlign w:val="center"/>
            <w:tcBorders>
              <w:bottom w:val="single" w:sz="4" w:color="D8E1EC"/>
            </w:tcBorders>
          </w:tcPr>
          <w:p>
            <w:pPr>
              <w:spacing w:after="30" w:before="30"/>
            </w:pPr>
            <w:r>
              <w:rPr>
                <w:color w:val="182230"/>
                <w:sz w:val="14"/>
              </w:rPr>
              <w:t>2,20 %</w:t>
            </w:r>
          </w:p>
        </w:tc>
      </w:tr>
      <w:tr>
        <w:trPr>
          <w:cantSplit/>
        </w:trPr>
        <w:tc>
          <w:tcPr>
            <w:tcW w:type="dxa" w:w="2608"/>
            <w:vAlign w:val="center"/>
            <w:tcBorders>
              <w:bottom w:val="single" w:sz="4" w:color="D8E1EC"/>
            </w:tcBorders>
          </w:tcPr>
          <w:p>
            <w:pPr>
              <w:spacing w:after="30" w:before="30"/>
            </w:pPr>
            <w:r>
              <w:rPr>
                <w:color w:val="182230"/>
                <w:sz w:val="14"/>
              </w:rPr>
              <w:t>R-PP3x/5CHF</w:t>
            </w:r>
          </w:p>
        </w:tc>
        <w:tc>
          <w:tcPr>
            <w:tcW w:type="dxa" w:w="1247"/>
            <w:vAlign w:val="center"/>
            <w:tcBorders>
              <w:bottom w:val="single" w:sz="4" w:color="D8E1EC"/>
            </w:tcBorders>
          </w:tcPr>
          <w:p>
            <w:pPr>
              <w:spacing w:after="30" w:before="30"/>
            </w:pPr>
            <w:r>
              <w:rPr>
                <w:color w:val="182230"/>
                <w:sz w:val="14"/>
              </w:rPr>
              <w:t>30 j</w:t>
            </w:r>
          </w:p>
        </w:tc>
        <w:tc>
          <w:tcPr>
            <w:tcW w:type="dxa" w:w="1871"/>
            <w:vAlign w:val="center"/>
            <w:tcBorders>
              <w:bottom w:val="single" w:sz="4" w:color="D8E1EC"/>
            </w:tcBorders>
          </w:tcPr>
          <w:p>
            <w:pPr>
              <w:spacing w:after="30" w:before="30"/>
            </w:pPr>
            <w:r>
              <w:rPr>
                <w:color w:val="182230"/>
                <w:sz w:val="14"/>
              </w:rPr>
              <w:t>492,40 MPa</w:t>
            </w:r>
          </w:p>
        </w:tc>
        <w:tc>
          <w:tcPr>
            <w:tcW w:type="dxa" w:w="1871"/>
            <w:vAlign w:val="center"/>
            <w:tcBorders>
              <w:bottom w:val="single" w:sz="4" w:color="D8E1EC"/>
            </w:tcBorders>
          </w:tcPr>
          <w:p>
            <w:pPr>
              <w:spacing w:after="30" w:before="30"/>
            </w:pPr>
            <w:r>
              <w:rPr>
                <w:color w:val="182230"/>
                <w:sz w:val="14"/>
              </w:rPr>
              <w:t>503,21 MPa</w:t>
            </w:r>
          </w:p>
        </w:tc>
        <w:tc>
          <w:tcPr>
            <w:tcW w:type="dxa" w:w="1701"/>
            <w:vAlign w:val="center"/>
            <w:tcBorders>
              <w:bottom w:val="single" w:sz="4" w:color="D8E1EC"/>
            </w:tcBorders>
          </w:tcPr>
          <w:p>
            <w:pPr>
              <w:spacing w:after="30" w:before="30"/>
            </w:pPr>
            <w:r>
              <w:rPr>
                <w:color w:val="182230"/>
                <w:sz w:val="14"/>
              </w:rPr>
              <w:t>2,20 %</w:t>
            </w:r>
          </w:p>
        </w:tc>
      </w:tr>
      <w:tr>
        <w:trPr>
          <w:cantSplit/>
        </w:trPr>
        <w:tc>
          <w:tcPr>
            <w:tcW w:type="dxa" w:w="2608"/>
            <w:shd w:fill="F6F8FB"/>
            <w:vAlign w:val="center"/>
            <w:tcBorders>
              <w:bottom w:val="single" w:sz="4" w:color="D8E1EC"/>
            </w:tcBorders>
          </w:tcPr>
          <w:p>
            <w:pPr>
              <w:spacing w:after="30" w:before="30"/>
            </w:pPr>
            <w:r>
              <w:rPr>
                <w:color w:val="182230"/>
                <w:sz w:val="14"/>
              </w:rPr>
              <w:t>R-PP3x/5CHF</w:t>
            </w:r>
          </w:p>
        </w:tc>
        <w:tc>
          <w:tcPr>
            <w:tcW w:type="dxa" w:w="1247"/>
            <w:shd w:fill="F6F8FB"/>
            <w:vAlign w:val="center"/>
            <w:tcBorders>
              <w:bottom w:val="single" w:sz="4" w:color="D8E1EC"/>
            </w:tcBorders>
          </w:tcPr>
          <w:p>
            <w:pPr>
              <w:spacing w:after="30" w:before="30"/>
            </w:pPr>
            <w:r>
              <w:rPr>
                <w:color w:val="182230"/>
                <w:sz w:val="14"/>
              </w:rPr>
              <w:t>120 j</w:t>
            </w:r>
          </w:p>
        </w:tc>
        <w:tc>
          <w:tcPr>
            <w:tcW w:type="dxa" w:w="1871"/>
            <w:shd w:fill="F6F8FB"/>
            <w:vAlign w:val="center"/>
            <w:tcBorders>
              <w:bottom w:val="single" w:sz="4" w:color="D8E1EC"/>
            </w:tcBorders>
          </w:tcPr>
          <w:p>
            <w:pPr>
              <w:spacing w:after="30" w:before="30"/>
            </w:pPr>
            <w:r>
              <w:rPr>
                <w:color w:val="182230"/>
                <w:sz w:val="14"/>
              </w:rPr>
              <w:t>481,60 MPa</w:t>
            </w:r>
          </w:p>
        </w:tc>
        <w:tc>
          <w:tcPr>
            <w:tcW w:type="dxa" w:w="1871"/>
            <w:shd w:fill="F6F8FB"/>
            <w:vAlign w:val="center"/>
            <w:tcBorders>
              <w:bottom w:val="single" w:sz="4" w:color="D8E1EC"/>
            </w:tcBorders>
          </w:tcPr>
          <w:p>
            <w:pPr>
              <w:spacing w:after="30" w:before="30"/>
            </w:pPr>
            <w:r>
              <w:rPr>
                <w:color w:val="182230"/>
                <w:sz w:val="14"/>
              </w:rPr>
              <w:t>492,44 MPa</w:t>
            </w:r>
          </w:p>
        </w:tc>
        <w:tc>
          <w:tcPr>
            <w:tcW w:type="dxa" w:w="1701"/>
            <w:shd w:fill="F6F8FB"/>
            <w:vAlign w:val="center"/>
            <w:tcBorders>
              <w:bottom w:val="single" w:sz="4" w:color="D8E1EC"/>
            </w:tcBorders>
          </w:tcPr>
          <w:p>
            <w:pPr>
              <w:spacing w:after="30" w:before="30"/>
            </w:pPr>
            <w:r>
              <w:rPr>
                <w:color w:val="182230"/>
                <w:sz w:val="14"/>
              </w:rPr>
              <w:t>2,25 %</w:t>
            </w:r>
          </w:p>
        </w:tc>
      </w:tr>
    </w:tbl>
    <w:p>
      <w:pPr>
        <w:spacing w:after="0"/>
      </w:pPr>
    </w:p>
    <w:p>
      <w:r>
        <w:rPr>
          <w:i w:val="0"/>
        </w:rPr>
        <w:t>Sommes de contrôle : Σ|ŷ-y| = 109,77 MPa, donc MAE = 109,77/8 = 13,72 MPa. La racine de la moyenne des huit erreurs quadratiques donne RMSE = 13,99 MPa. La moyenne des huit APE donne 2,7498 %, arrondie à 2,75 %. Ces valeurs peuvent être recalculées directement depuis l'annexe A et le protocole de médiane des trois formulations paires.</w:t>
      </w:r>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Résultat exploitable  </w:t>
            </w:r>
            <w:r>
              <w:t>Dans la fenêtre 0-120 jours et pour des formulations proches du PP H301 étudié, la courbe centrale est la meilleure estimation interne disponible. Elle ne qualifie pas un autre grade, un autre climat ou deux années d'exposition.</w:t>
            </w:r>
          </w:p>
        </w:tc>
      </w:tr>
    </w:tbl>
    <w:p>
      <w:pPr>
        <w:pStyle w:val="Heading2"/>
        <w:keepNext/>
      </w:pPr>
      <w:r>
        <w:t>6.2 Comparaison des modèles à 120 jours</w:t>
      </w:r>
    </w:p>
    <w:p>
      <w:r>
        <w:rPr>
          <w:i w:val="0"/>
        </w:rPr>
        <w:t>Un second benchmark conserve E₀ et E30 de la formulation cible, puis prédit E120. Il répond à une question différente : extrapoler après une mesure précoce. La séparation de ces deux protocoles évite de présenter une méthode assistée par une mesure cible comme une prédiction sans essai.</w:t>
      </w:r>
    </w:p>
    <w:tbl>
      <w:tblPr>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2381"/>
            <w:shd w:fill="17365D"/>
            <w:vAlign w:val="center"/>
            <w:tcBorders>
              <w:bottom w:val="single" w:sz="5" w:color="FFFFFF"/>
            </w:tcBorders>
          </w:tcPr>
          <w:p>
            <w:pPr>
              <w:jc w:val="left"/>
            </w:pPr>
            <w:r>
              <w:rPr>
                <w:b/>
                <w:color w:val="FFFFFF"/>
                <w:sz w:val="14"/>
              </w:rPr>
              <w:t>Méthode</w:t>
            </w:r>
          </w:p>
        </w:tc>
        <w:tc>
          <w:tcPr>
            <w:tcW w:type="dxa" w:w="2778"/>
            <w:shd w:fill="17365D"/>
            <w:vAlign w:val="center"/>
            <w:tcBorders>
              <w:bottom w:val="single" w:sz="5" w:color="FFFFFF"/>
            </w:tcBorders>
          </w:tcPr>
          <w:p>
            <w:pPr>
              <w:jc w:val="left"/>
            </w:pPr>
            <w:r>
              <w:rPr>
                <w:b/>
                <w:color w:val="FFFFFF"/>
                <w:sz w:val="14"/>
              </w:rPr>
              <w:t>Information cible utilisée</w:t>
            </w:r>
          </w:p>
        </w:tc>
        <w:tc>
          <w:tcPr>
            <w:tcW w:type="dxa" w:w="1247"/>
            <w:shd w:fill="17365D"/>
            <w:vAlign w:val="center"/>
            <w:tcBorders>
              <w:bottom w:val="single" w:sz="5" w:color="FFFFFF"/>
            </w:tcBorders>
          </w:tcPr>
          <w:p>
            <w:pPr>
              <w:jc w:val="left"/>
            </w:pPr>
            <w:r>
              <w:rPr>
                <w:b/>
                <w:color w:val="FFFFFF"/>
                <w:sz w:val="14"/>
              </w:rPr>
              <w:t>MAPE</w:t>
            </w:r>
          </w:p>
        </w:tc>
        <w:tc>
          <w:tcPr>
            <w:tcW w:type="dxa" w:w="1587"/>
            <w:shd w:fill="17365D"/>
            <w:vAlign w:val="center"/>
            <w:tcBorders>
              <w:bottom w:val="single" w:sz="5" w:color="FFFFFF"/>
            </w:tcBorders>
          </w:tcPr>
          <w:p>
            <w:pPr>
              <w:jc w:val="left"/>
            </w:pPr>
            <w:r>
              <w:rPr>
                <w:b/>
                <w:color w:val="FFFFFF"/>
                <w:sz w:val="14"/>
              </w:rPr>
              <w:t>RMSE</w:t>
            </w:r>
          </w:p>
        </w:tc>
        <w:tc>
          <w:tcPr>
            <w:tcW w:type="dxa" w:w="1304"/>
            <w:shd w:fill="17365D"/>
            <w:vAlign w:val="center"/>
            <w:tcBorders>
              <w:bottom w:val="single" w:sz="5" w:color="FFFFFF"/>
            </w:tcBorders>
          </w:tcPr>
          <w:p>
            <w:pPr>
              <w:jc w:val="left"/>
            </w:pPr>
            <w:r>
              <w:rPr>
                <w:b/>
                <w:color w:val="FFFFFF"/>
                <w:sz w:val="14"/>
              </w:rPr>
              <w:t>R²</w:t>
            </w:r>
          </w:p>
        </w:tc>
      </w:tr>
      <w:tr>
        <w:trPr>
          <w:cantSplit/>
        </w:trPr>
        <w:tc>
          <w:tcPr>
            <w:tcW w:type="dxa" w:w="2381"/>
            <w:vAlign w:val="center"/>
            <w:tcBorders>
              <w:bottom w:val="single" w:sz="4" w:color="D8E1EC"/>
            </w:tcBorders>
          </w:tcPr>
          <w:p>
            <w:pPr>
              <w:spacing w:after="30" w:before="30"/>
            </w:pPr>
            <w:r>
              <w:rPr>
                <w:color w:val="182230"/>
                <w:sz w:val="14"/>
              </w:rPr>
              <w:t>Deux phases hiérarchique</w:t>
            </w:r>
          </w:p>
        </w:tc>
        <w:tc>
          <w:tcPr>
            <w:tcW w:type="dxa" w:w="2778"/>
            <w:vAlign w:val="center"/>
            <w:tcBorders>
              <w:bottom w:val="single" w:sz="4" w:color="D8E1EC"/>
            </w:tcBorders>
          </w:tcPr>
          <w:p>
            <w:pPr>
              <w:spacing w:after="30" w:before="30"/>
            </w:pPr>
            <w:r>
              <w:rPr>
                <w:color w:val="182230"/>
                <w:sz w:val="14"/>
              </w:rPr>
              <w:t>E₀ et E30</w:t>
            </w:r>
          </w:p>
        </w:tc>
        <w:tc>
          <w:tcPr>
            <w:tcW w:type="dxa" w:w="1247"/>
            <w:vAlign w:val="center"/>
            <w:tcBorders>
              <w:bottom w:val="single" w:sz="4" w:color="D8E1EC"/>
            </w:tcBorders>
          </w:tcPr>
          <w:p>
            <w:pPr>
              <w:spacing w:after="30" w:before="30"/>
            </w:pPr>
            <w:r>
              <w:rPr>
                <w:color w:val="182230"/>
                <w:sz w:val="14"/>
              </w:rPr>
              <w:t>0,77 %</w:t>
            </w:r>
          </w:p>
        </w:tc>
        <w:tc>
          <w:tcPr>
            <w:tcW w:type="dxa" w:w="1587"/>
            <w:vAlign w:val="center"/>
            <w:tcBorders>
              <w:bottom w:val="single" w:sz="4" w:color="D8E1EC"/>
            </w:tcBorders>
          </w:tcPr>
          <w:p>
            <w:pPr>
              <w:spacing w:after="30" w:before="30"/>
            </w:pPr>
            <w:r>
              <w:rPr>
                <w:color w:val="182230"/>
                <w:sz w:val="14"/>
              </w:rPr>
              <w:t>5,19 MPa</w:t>
            </w:r>
          </w:p>
        </w:tc>
        <w:tc>
          <w:tcPr>
            <w:tcW w:type="dxa" w:w="1304"/>
            <w:vAlign w:val="center"/>
            <w:tcBorders>
              <w:bottom w:val="single" w:sz="4" w:color="D8E1EC"/>
            </w:tcBorders>
          </w:tcPr>
          <w:p>
            <w:pPr>
              <w:spacing w:after="30" w:before="30"/>
            </w:pPr>
            <w:r>
              <w:rPr>
                <w:color w:val="182230"/>
                <w:sz w:val="14"/>
              </w:rPr>
              <w:t>0,980</w:t>
            </w:r>
          </w:p>
        </w:tc>
      </w:tr>
      <w:tr>
        <w:trPr>
          <w:cantSplit/>
        </w:trPr>
        <w:tc>
          <w:tcPr>
            <w:tcW w:type="dxa" w:w="2381"/>
            <w:shd w:fill="F6F8FB"/>
            <w:vAlign w:val="center"/>
            <w:tcBorders>
              <w:bottom w:val="single" w:sz="4" w:color="D8E1EC"/>
            </w:tcBorders>
          </w:tcPr>
          <w:p>
            <w:pPr>
              <w:spacing w:after="30" w:before="30"/>
            </w:pPr>
            <w:r>
              <w:rPr>
                <w:color w:val="182230"/>
                <w:sz w:val="14"/>
              </w:rPr>
              <w:t>Persistance</w:t>
            </w:r>
          </w:p>
        </w:tc>
        <w:tc>
          <w:tcPr>
            <w:tcW w:type="dxa" w:w="2778"/>
            <w:shd w:fill="F6F8FB"/>
            <w:vAlign w:val="center"/>
            <w:tcBorders>
              <w:bottom w:val="single" w:sz="4" w:color="D8E1EC"/>
            </w:tcBorders>
          </w:tcPr>
          <w:p>
            <w:pPr>
              <w:spacing w:after="30" w:before="30"/>
            </w:pPr>
            <w:r>
              <w:rPr>
                <w:color w:val="182230"/>
                <w:sz w:val="14"/>
              </w:rPr>
              <w:t>E30</w:t>
            </w:r>
          </w:p>
        </w:tc>
        <w:tc>
          <w:tcPr>
            <w:tcW w:type="dxa" w:w="1247"/>
            <w:shd w:fill="F6F8FB"/>
            <w:vAlign w:val="center"/>
            <w:tcBorders>
              <w:bottom w:val="single" w:sz="4" w:color="D8E1EC"/>
            </w:tcBorders>
          </w:tcPr>
          <w:p>
            <w:pPr>
              <w:spacing w:after="30" w:before="30"/>
            </w:pPr>
            <w:r>
              <w:rPr>
                <w:color w:val="182230"/>
                <w:sz w:val="14"/>
              </w:rPr>
              <w:t>2,22 %</w:t>
            </w:r>
          </w:p>
        </w:tc>
        <w:tc>
          <w:tcPr>
            <w:tcW w:type="dxa" w:w="1587"/>
            <w:shd w:fill="F6F8FB"/>
            <w:vAlign w:val="center"/>
            <w:tcBorders>
              <w:bottom w:val="single" w:sz="4" w:color="D8E1EC"/>
            </w:tcBorders>
          </w:tcPr>
          <w:p>
            <w:pPr>
              <w:spacing w:after="30" w:before="30"/>
            </w:pPr>
            <w:r>
              <w:rPr>
                <w:color w:val="182230"/>
                <w:sz w:val="14"/>
              </w:rPr>
              <w:t>11,38 MPa</w:t>
            </w:r>
          </w:p>
        </w:tc>
        <w:tc>
          <w:tcPr>
            <w:tcW w:type="dxa" w:w="1304"/>
            <w:shd w:fill="F6F8FB"/>
            <w:vAlign w:val="center"/>
            <w:tcBorders>
              <w:bottom w:val="single" w:sz="4" w:color="D8E1EC"/>
            </w:tcBorders>
          </w:tcPr>
          <w:p>
            <w:pPr>
              <w:spacing w:after="30" w:before="30"/>
            </w:pPr>
            <w:r>
              <w:rPr>
                <w:color w:val="182230"/>
                <w:sz w:val="14"/>
              </w:rPr>
              <w:t>0,906</w:t>
            </w:r>
          </w:p>
        </w:tc>
      </w:tr>
      <w:tr>
        <w:trPr>
          <w:cantSplit/>
        </w:trPr>
        <w:tc>
          <w:tcPr>
            <w:tcW w:type="dxa" w:w="2381"/>
            <w:vAlign w:val="center"/>
            <w:tcBorders>
              <w:bottom w:val="single" w:sz="4" w:color="D8E1EC"/>
            </w:tcBorders>
          </w:tcPr>
          <w:p>
            <w:pPr>
              <w:spacing w:after="30" w:before="30"/>
            </w:pPr>
            <w:r>
              <w:rPr>
                <w:color w:val="182230"/>
                <w:sz w:val="14"/>
              </w:rPr>
              <w:t>Rétention médiane des pairs</w:t>
            </w:r>
          </w:p>
        </w:tc>
        <w:tc>
          <w:tcPr>
            <w:tcW w:type="dxa" w:w="2778"/>
            <w:vAlign w:val="center"/>
            <w:tcBorders>
              <w:bottom w:val="single" w:sz="4" w:color="D8E1EC"/>
            </w:tcBorders>
          </w:tcPr>
          <w:p>
            <w:pPr>
              <w:spacing w:after="30" w:before="30"/>
            </w:pPr>
            <w:r>
              <w:rPr>
                <w:color w:val="182230"/>
                <w:sz w:val="14"/>
              </w:rPr>
              <w:t>E₀ seulement pour la rétention</w:t>
            </w:r>
          </w:p>
        </w:tc>
        <w:tc>
          <w:tcPr>
            <w:tcW w:type="dxa" w:w="1247"/>
            <w:vAlign w:val="center"/>
            <w:tcBorders>
              <w:bottom w:val="single" w:sz="4" w:color="D8E1EC"/>
            </w:tcBorders>
          </w:tcPr>
          <w:p>
            <w:pPr>
              <w:spacing w:after="30" w:before="30"/>
            </w:pPr>
            <w:r>
              <w:rPr>
                <w:color w:val="182230"/>
                <w:sz w:val="14"/>
              </w:rPr>
              <w:t>2,78 %</w:t>
            </w:r>
          </w:p>
        </w:tc>
        <w:tc>
          <w:tcPr>
            <w:tcW w:type="dxa" w:w="1587"/>
            <w:vAlign w:val="center"/>
            <w:tcBorders>
              <w:bottom w:val="single" w:sz="4" w:color="D8E1EC"/>
            </w:tcBorders>
          </w:tcPr>
          <w:p>
            <w:pPr>
              <w:spacing w:after="30" w:before="30"/>
            </w:pPr>
            <w:r>
              <w:rPr>
                <w:color w:val="182230"/>
                <w:sz w:val="14"/>
              </w:rPr>
              <w:t>14,17 MPa</w:t>
            </w:r>
          </w:p>
        </w:tc>
        <w:tc>
          <w:tcPr>
            <w:tcW w:type="dxa" w:w="1304"/>
            <w:vAlign w:val="center"/>
            <w:tcBorders>
              <w:bottom w:val="single" w:sz="4" w:color="D8E1EC"/>
            </w:tcBorders>
          </w:tcPr>
          <w:p>
            <w:pPr>
              <w:spacing w:after="30" w:before="30"/>
            </w:pPr>
            <w:r>
              <w:rPr>
                <w:color w:val="182230"/>
                <w:sz w:val="14"/>
              </w:rPr>
              <w:t>0,855</w:t>
            </w:r>
          </w:p>
        </w:tc>
      </w:tr>
      <w:tr>
        <w:trPr>
          <w:cantSplit/>
        </w:trPr>
        <w:tc>
          <w:tcPr>
            <w:tcW w:type="dxa" w:w="2381"/>
            <w:shd w:fill="F6F8FB"/>
            <w:vAlign w:val="center"/>
            <w:tcBorders>
              <w:bottom w:val="single" w:sz="4" w:color="D8E1EC"/>
            </w:tcBorders>
          </w:tcPr>
          <w:p>
            <w:pPr>
              <w:spacing w:after="30" w:before="30"/>
            </w:pPr>
            <w:r>
              <w:rPr>
                <w:color w:val="182230"/>
                <w:sz w:val="14"/>
              </w:rPr>
              <w:t>Exponentielle 0-30</w:t>
            </w:r>
          </w:p>
        </w:tc>
        <w:tc>
          <w:tcPr>
            <w:tcW w:type="dxa" w:w="2778"/>
            <w:shd w:fill="F6F8FB"/>
            <w:vAlign w:val="center"/>
            <w:tcBorders>
              <w:bottom w:val="single" w:sz="4" w:color="D8E1EC"/>
            </w:tcBorders>
          </w:tcPr>
          <w:p>
            <w:pPr>
              <w:spacing w:after="30" w:before="30"/>
            </w:pPr>
            <w:r>
              <w:rPr>
                <w:color w:val="182230"/>
                <w:sz w:val="14"/>
              </w:rPr>
              <w:t>E₀ et E30</w:t>
            </w:r>
          </w:p>
        </w:tc>
        <w:tc>
          <w:tcPr>
            <w:tcW w:type="dxa" w:w="1247"/>
            <w:shd w:fill="F6F8FB"/>
            <w:vAlign w:val="center"/>
            <w:tcBorders>
              <w:bottom w:val="single" w:sz="4" w:color="D8E1EC"/>
            </w:tcBorders>
          </w:tcPr>
          <w:p>
            <w:pPr>
              <w:spacing w:after="30" w:before="30"/>
            </w:pPr>
            <w:r>
              <w:rPr>
                <w:color w:val="182230"/>
                <w:sz w:val="14"/>
              </w:rPr>
              <w:t>20,33 %</w:t>
            </w:r>
          </w:p>
        </w:tc>
        <w:tc>
          <w:tcPr>
            <w:tcW w:type="dxa" w:w="1587"/>
            <w:shd w:fill="F6F8FB"/>
            <w:vAlign w:val="center"/>
            <w:tcBorders>
              <w:bottom w:val="single" w:sz="4" w:color="D8E1EC"/>
            </w:tcBorders>
          </w:tcPr>
          <w:p>
            <w:pPr>
              <w:spacing w:after="30" w:before="30"/>
            </w:pPr>
            <w:r>
              <w:rPr>
                <w:color w:val="182230"/>
                <w:sz w:val="14"/>
              </w:rPr>
              <w:t>101,54 MPa</w:t>
            </w:r>
          </w:p>
        </w:tc>
        <w:tc>
          <w:tcPr>
            <w:tcW w:type="dxa" w:w="1304"/>
            <w:shd w:fill="F6F8FB"/>
            <w:vAlign w:val="center"/>
            <w:tcBorders>
              <w:bottom w:val="single" w:sz="4" w:color="D8E1EC"/>
            </w:tcBorders>
          </w:tcPr>
          <w:p>
            <w:pPr>
              <w:spacing w:after="30" w:before="30"/>
            </w:pPr>
            <w:r>
              <w:rPr>
                <w:color w:val="182230"/>
                <w:sz w:val="14"/>
              </w:rPr>
              <w:t>-6,469</w:t>
            </w:r>
          </w:p>
        </w:tc>
      </w:tr>
      <w:tr>
        <w:trPr>
          <w:cantSplit/>
        </w:trPr>
        <w:tc>
          <w:tcPr>
            <w:tcW w:type="dxa" w:w="2381"/>
            <w:vAlign w:val="center"/>
            <w:tcBorders>
              <w:bottom w:val="single" w:sz="4" w:color="D8E1EC"/>
            </w:tcBorders>
          </w:tcPr>
          <w:p>
            <w:pPr>
              <w:spacing w:after="30" w:before="30"/>
            </w:pPr>
            <w:r>
              <w:rPr>
                <w:color w:val="182230"/>
                <w:sz w:val="14"/>
              </w:rPr>
              <w:t>Linéaire 0-30</w:t>
            </w:r>
          </w:p>
        </w:tc>
        <w:tc>
          <w:tcPr>
            <w:tcW w:type="dxa" w:w="2778"/>
            <w:vAlign w:val="center"/>
            <w:tcBorders>
              <w:bottom w:val="single" w:sz="4" w:color="D8E1EC"/>
            </w:tcBorders>
          </w:tcPr>
          <w:p>
            <w:pPr>
              <w:spacing w:after="30" w:before="30"/>
            </w:pPr>
            <w:r>
              <w:rPr>
                <w:color w:val="182230"/>
                <w:sz w:val="14"/>
              </w:rPr>
              <w:t>E₀ et E30</w:t>
            </w:r>
          </w:p>
        </w:tc>
        <w:tc>
          <w:tcPr>
            <w:tcW w:type="dxa" w:w="1247"/>
            <w:vAlign w:val="center"/>
            <w:tcBorders>
              <w:bottom w:val="single" w:sz="4" w:color="D8E1EC"/>
            </w:tcBorders>
          </w:tcPr>
          <w:p>
            <w:pPr>
              <w:spacing w:after="30" w:before="30"/>
            </w:pPr>
            <w:r>
              <w:rPr>
                <w:color w:val="182230"/>
                <w:sz w:val="14"/>
              </w:rPr>
              <w:t>24,54 %</w:t>
            </w:r>
          </w:p>
        </w:tc>
        <w:tc>
          <w:tcPr>
            <w:tcW w:type="dxa" w:w="1587"/>
            <w:vAlign w:val="center"/>
            <w:tcBorders>
              <w:bottom w:val="single" w:sz="4" w:color="D8E1EC"/>
            </w:tcBorders>
          </w:tcPr>
          <w:p>
            <w:pPr>
              <w:spacing w:after="30" w:before="30"/>
            </w:pPr>
            <w:r>
              <w:rPr>
                <w:color w:val="182230"/>
                <w:sz w:val="14"/>
              </w:rPr>
              <w:t>122,85 MPa</w:t>
            </w:r>
          </w:p>
        </w:tc>
        <w:tc>
          <w:tcPr>
            <w:tcW w:type="dxa" w:w="1304"/>
            <w:vAlign w:val="center"/>
            <w:tcBorders>
              <w:bottom w:val="single" w:sz="4" w:color="D8E1EC"/>
            </w:tcBorders>
          </w:tcPr>
          <w:p>
            <w:pPr>
              <w:spacing w:after="30" w:before="30"/>
            </w:pPr>
            <w:r>
              <w:rPr>
                <w:color w:val="182230"/>
                <w:sz w:val="14"/>
              </w:rPr>
              <w:t>-9,932</w:t>
            </w:r>
          </w:p>
        </w:tc>
      </w:tr>
    </w:tbl>
    <w:p>
      <w:pPr>
        <w:spacing w:after="0"/>
      </w:pPr>
    </w:p>
    <w:p>
      <w:r>
        <w:rPr>
          <w:i w:val="0"/>
        </w:rPr>
        <w:t>Le modèle hiérarchique à deux phases est excellent pour prolonger une mesure à 30 jours, mais il ne répond pas au cas « aucun essai de la cible ». La rétention médiane des pairs reste la référence honnête pour ce cas. Les extrapolations exponentielle et linéaire supposent que la vitesse 0-30 jours se maintient jusqu'à 120 jours ; elles échouent parce que la perte ralentit.</w:t>
      </w:r>
    </w:p>
    <w:p>
      <w:pPr>
        <w:pStyle w:val="Heading2"/>
        <w:keepNext/>
      </w:pPr>
      <w:r>
        <w:t>6.3 Budget d'incertitude PP</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Borders>
              <w:bottom w:val="single" w:sz="5" w:color="FFFFFF"/>
            </w:tcBorders>
          </w:tcPr>
          <w:p>
            <w:pPr>
              <w:jc w:val="left"/>
            </w:pPr>
            <w:r>
              <w:rPr>
                <w:b/>
                <w:color w:val="FFFFFF"/>
                <w:sz w:val="14"/>
              </w:rPr>
              <w:t>Source d'incertitude</w:t>
            </w:r>
          </w:p>
        </w:tc>
        <w:tc>
          <w:tcPr>
            <w:tcW w:type="dxa" w:w="2721"/>
            <w:shd w:fill="17365D"/>
            <w:vAlign w:val="center"/>
            <w:tcBorders>
              <w:bottom w:val="single" w:sz="5" w:color="FFFFFF"/>
            </w:tcBorders>
          </w:tcPr>
          <w:p>
            <w:pPr>
              <w:jc w:val="left"/>
            </w:pPr>
            <w:r>
              <w:rPr>
                <w:b/>
                <w:color w:val="FFFFFF"/>
                <w:sz w:val="14"/>
              </w:rPr>
              <w:t>Valeur observée</w:t>
            </w:r>
          </w:p>
        </w:tc>
        <w:tc>
          <w:tcPr>
            <w:tcW w:type="dxa" w:w="3742"/>
            <w:shd w:fill="17365D"/>
            <w:vAlign w:val="center"/>
            <w:tcBorders>
              <w:bottom w:val="single" w:sz="5" w:color="FFFFFF"/>
            </w:tcBorders>
          </w:tcPr>
          <w:p>
            <w:pPr>
              <w:jc w:val="left"/>
            </w:pPr>
            <w:r>
              <w:rPr>
                <w:b/>
                <w:color w:val="FFFFFF"/>
                <w:sz w:val="14"/>
              </w:rPr>
              <w:t>Traitement</w:t>
            </w:r>
          </w:p>
        </w:tc>
      </w:tr>
      <w:tr>
        <w:trPr>
          <w:cantSplit/>
        </w:trPr>
        <w:tc>
          <w:tcPr>
            <w:tcW w:type="dxa" w:w="2835"/>
            <w:vAlign w:val="center"/>
            <w:tcBorders>
              <w:bottom w:val="single" w:sz="4" w:color="D8E1EC"/>
            </w:tcBorders>
          </w:tcPr>
          <w:p>
            <w:pPr>
              <w:spacing w:after="30" w:before="30"/>
            </w:pPr>
            <w:r>
              <w:rPr>
                <w:color w:val="182230"/>
                <w:sz w:val="14"/>
              </w:rPr>
              <w:t>Dispersion expérimentale relative</w:t>
            </w:r>
          </w:p>
        </w:tc>
        <w:tc>
          <w:tcPr>
            <w:tcW w:type="dxa" w:w="2721"/>
            <w:vAlign w:val="center"/>
            <w:tcBorders>
              <w:bottom w:val="single" w:sz="4" w:color="D8E1EC"/>
            </w:tcBorders>
          </w:tcPr>
          <w:p>
            <w:pPr>
              <w:spacing w:after="30" w:before="30"/>
            </w:pPr>
            <w:r>
              <w:rPr>
                <w:color w:val="182230"/>
                <w:sz w:val="14"/>
              </w:rPr>
              <w:t>1,49 à 8,33 % ; moyenne 4,24 %</w:t>
            </w:r>
          </w:p>
        </w:tc>
        <w:tc>
          <w:tcPr>
            <w:tcW w:type="dxa" w:w="3742"/>
            <w:vAlign w:val="center"/>
            <w:tcBorders>
              <w:bottom w:val="single" w:sz="4" w:color="D8E1EC"/>
            </w:tcBorders>
          </w:tcPr>
          <w:p>
            <w:pPr>
              <w:spacing w:after="30" w:before="30"/>
            </w:pPr>
            <w:r>
              <w:rPr>
                <w:color w:val="182230"/>
                <w:sz w:val="14"/>
              </w:rPr>
              <w:t>Conservée avec chaque point</w:t>
            </w:r>
          </w:p>
        </w:tc>
      </w:tr>
      <w:tr>
        <w:trPr>
          <w:cantSplit/>
        </w:trPr>
        <w:tc>
          <w:tcPr>
            <w:tcW w:type="dxa" w:w="2835"/>
            <w:shd w:fill="F6F8FB"/>
            <w:vAlign w:val="center"/>
            <w:tcBorders>
              <w:bottom w:val="single" w:sz="4" w:color="D8E1EC"/>
            </w:tcBorders>
          </w:tcPr>
          <w:p>
            <w:pPr>
              <w:spacing w:after="30" w:before="30"/>
            </w:pPr>
            <w:r>
              <w:rPr>
                <w:color w:val="182230"/>
                <w:sz w:val="14"/>
              </w:rPr>
              <w:t>Erreur de transfert hors formulation</w:t>
            </w:r>
          </w:p>
        </w:tc>
        <w:tc>
          <w:tcPr>
            <w:tcW w:type="dxa" w:w="2721"/>
            <w:shd w:fill="F6F8FB"/>
            <w:vAlign w:val="center"/>
            <w:tcBorders>
              <w:bottom w:val="single" w:sz="4" w:color="D8E1EC"/>
            </w:tcBorders>
          </w:tcPr>
          <w:p>
            <w:pPr>
              <w:spacing w:after="30" w:before="30"/>
            </w:pPr>
            <w:r>
              <w:rPr>
                <w:color w:val="182230"/>
                <w:sz w:val="14"/>
              </w:rPr>
              <w:t>MAPE 2,75 % ; max 3,41 %</w:t>
            </w:r>
          </w:p>
        </w:tc>
        <w:tc>
          <w:tcPr>
            <w:tcW w:type="dxa" w:w="3742"/>
            <w:shd w:fill="F6F8FB"/>
            <w:vAlign w:val="center"/>
            <w:tcBorders>
              <w:bottom w:val="single" w:sz="4" w:color="D8E1EC"/>
            </w:tcBorders>
          </w:tcPr>
          <w:p>
            <w:pPr>
              <w:spacing w:after="30" w:before="30"/>
            </w:pPr>
            <w:r>
              <w:rPr>
                <w:color w:val="182230"/>
                <w:sz w:val="14"/>
              </w:rPr>
              <w:t>Bande interne de la courbe centrale</w:t>
            </w:r>
          </w:p>
        </w:tc>
      </w:tr>
      <w:tr>
        <w:trPr>
          <w:cantSplit/>
        </w:trPr>
        <w:tc>
          <w:tcPr>
            <w:tcW w:type="dxa" w:w="2835"/>
            <w:vAlign w:val="center"/>
            <w:tcBorders>
              <w:bottom w:val="single" w:sz="4" w:color="D8E1EC"/>
            </w:tcBorders>
          </w:tcPr>
          <w:p>
            <w:pPr>
              <w:spacing w:after="30" w:before="30"/>
            </w:pPr>
            <w:r>
              <w:rPr>
                <w:color w:val="182230"/>
                <w:sz w:val="14"/>
              </w:rPr>
              <w:t>Nombre de groupes indépendants</w:t>
            </w:r>
          </w:p>
        </w:tc>
        <w:tc>
          <w:tcPr>
            <w:tcW w:type="dxa" w:w="2721"/>
            <w:vAlign w:val="center"/>
            <w:tcBorders>
              <w:bottom w:val="single" w:sz="4" w:color="D8E1EC"/>
            </w:tcBorders>
          </w:tcPr>
          <w:p>
            <w:pPr>
              <w:spacing w:after="30" w:before="30"/>
            </w:pPr>
            <w:r>
              <w:rPr>
                <w:color w:val="182230"/>
                <w:sz w:val="14"/>
              </w:rPr>
              <w:t>4 formulations, 1 publication</w:t>
            </w:r>
          </w:p>
        </w:tc>
        <w:tc>
          <w:tcPr>
            <w:tcW w:type="dxa" w:w="3742"/>
            <w:vAlign w:val="center"/>
            <w:tcBorders>
              <w:bottom w:val="single" w:sz="4" w:color="D8E1EC"/>
            </w:tcBorders>
          </w:tcPr>
          <w:p>
            <w:pPr>
              <w:spacing w:after="30" w:before="30"/>
            </w:pPr>
            <w:r>
              <w:rPr>
                <w:color w:val="182230"/>
                <w:sz w:val="14"/>
              </w:rPr>
              <w:t>Empêche une qualification externe</w:t>
            </w:r>
          </w:p>
        </w:tc>
      </w:tr>
      <w:tr>
        <w:trPr>
          <w:cantSplit/>
        </w:trPr>
        <w:tc>
          <w:tcPr>
            <w:tcW w:type="dxa" w:w="2835"/>
            <w:shd w:fill="F6F8FB"/>
            <w:vAlign w:val="center"/>
            <w:tcBorders>
              <w:bottom w:val="single" w:sz="4" w:color="D8E1EC"/>
            </w:tcBorders>
          </w:tcPr>
          <w:p>
            <w:pPr>
              <w:spacing w:after="30" w:before="30"/>
            </w:pPr>
            <w:r>
              <w:rPr>
                <w:color w:val="182230"/>
                <w:sz w:val="14"/>
              </w:rPr>
              <w:t>Au-delà de 120 jours</w:t>
            </w:r>
          </w:p>
        </w:tc>
        <w:tc>
          <w:tcPr>
            <w:tcW w:type="dxa" w:w="2721"/>
            <w:shd w:fill="F6F8FB"/>
            <w:vAlign w:val="center"/>
            <w:tcBorders>
              <w:bottom w:val="single" w:sz="4" w:color="D8E1EC"/>
            </w:tcBorders>
          </w:tcPr>
          <w:p>
            <w:pPr>
              <w:spacing w:after="30" w:before="30"/>
            </w:pPr>
            <w:r>
              <w:rPr>
                <w:color w:val="182230"/>
                <w:sz w:val="14"/>
              </w:rPr>
              <w:t>Aucune observation H301</w:t>
            </w:r>
          </w:p>
        </w:tc>
        <w:tc>
          <w:tcPr>
            <w:tcW w:type="dxa" w:w="3742"/>
            <w:shd w:fill="F6F8FB"/>
            <w:vAlign w:val="center"/>
            <w:tcBorders>
              <w:bottom w:val="single" w:sz="4" w:color="D8E1EC"/>
            </w:tcBorders>
          </w:tcPr>
          <w:p>
            <w:pPr>
              <w:spacing w:after="30" w:before="30"/>
            </w:pPr>
            <w:r>
              <w:rPr>
                <w:color w:val="182230"/>
                <w:sz w:val="14"/>
              </w:rPr>
              <w:t>Pénalité d'extrapolation ; résultat non qualifié</w:t>
            </w:r>
          </w:p>
        </w:tc>
      </w:tr>
      <w:tr>
        <w:trPr>
          <w:cantSplit/>
        </w:trPr>
        <w:tc>
          <w:tcPr>
            <w:tcW w:type="dxa" w:w="2835"/>
            <w:vAlign w:val="center"/>
            <w:tcBorders>
              <w:bottom w:val="single" w:sz="4" w:color="D8E1EC"/>
            </w:tcBorders>
          </w:tcPr>
          <w:p>
            <w:pPr>
              <w:spacing w:after="30" w:before="30"/>
            </w:pPr>
            <w:r>
              <w:rPr>
                <w:color w:val="182230"/>
                <w:sz w:val="14"/>
              </w:rPr>
              <w:t>Autre grade ou stabilisation</w:t>
            </w:r>
          </w:p>
        </w:tc>
        <w:tc>
          <w:tcPr>
            <w:tcW w:type="dxa" w:w="2721"/>
            <w:vAlign w:val="center"/>
            <w:tcBorders>
              <w:bottom w:val="single" w:sz="4" w:color="D8E1EC"/>
            </w:tcBorders>
          </w:tcPr>
          <w:p>
            <w:pPr>
              <w:spacing w:after="30" w:before="30"/>
            </w:pPr>
            <w:r>
              <w:rPr>
                <w:color w:val="182230"/>
                <w:sz w:val="14"/>
              </w:rPr>
              <w:t>Non testé</w:t>
            </w:r>
          </w:p>
        </w:tc>
        <w:tc>
          <w:tcPr>
            <w:tcW w:type="dxa" w:w="3742"/>
            <w:vAlign w:val="center"/>
            <w:tcBorders>
              <w:bottom w:val="single" w:sz="4" w:color="D8E1EC"/>
            </w:tcBorders>
          </w:tcPr>
          <w:p>
            <w:pPr>
              <w:spacing w:after="30" w:before="30"/>
            </w:pPr>
            <w:r>
              <w:rPr>
                <w:color w:val="182230"/>
                <w:sz w:val="14"/>
              </w:rPr>
              <w:t>Score de correspondance + pénalité analogue</w:t>
            </w:r>
          </w:p>
        </w:tc>
      </w:tr>
    </w:tbl>
    <w:p>
      <w:pPr>
        <w:spacing w:after="0"/>
      </w:pPr>
    </w:p>
    <w:p>
      <w:pPr>
        <w:pStyle w:val="Heading1"/>
        <w:keepNext/>
        <w:pageBreakBefore/>
      </w:pPr>
      <w:r>
        <w:t>7. Résultats - IIR et transfert thermique</w:t>
      </w:r>
    </w:p>
    <w:p>
      <w:pPr>
        <w:keepNext/>
        <w:jc w:val="center"/>
      </w:pPr>
      <w:r>
        <w:drawing>
          <wp:inline xmlns:a="http://schemas.openxmlformats.org/drawingml/2006/main" xmlns:pic="http://schemas.openxmlformats.org/drawingml/2006/picture">
            <wp:extent cx="5940000" cy="3155625"/>
            <wp:docPr id="9" name="Picture 9"/>
            <wp:cNvGraphicFramePr>
              <a:graphicFrameLocks noChangeAspect="1"/>
            </wp:cNvGraphicFramePr>
            <a:graphic>
              <a:graphicData uri="http://schemas.openxmlformats.org/drawingml/2006/picture">
                <pic:pic>
                  <pic:nvPicPr>
                    <pic:cNvPr id="0" name="iir_curves.png"/>
                    <pic:cNvPicPr/>
                  </pic:nvPicPr>
                  <pic:blipFill>
                    <a:blip r:embed="rId18"/>
                    <a:stretch>
                      <a:fillRect/>
                    </a:stretch>
                  </pic:blipFill>
                  <pic:spPr>
                    <a:xfrm>
                      <a:off x="0" y="0"/>
                      <a:ext cx="5940000" cy="3155625"/>
                    </a:xfrm>
                    <a:prstGeom prst="rect"/>
                  </pic:spPr>
                </pic:pic>
              </a:graphicData>
            </a:graphic>
          </wp:inline>
        </w:drawing>
      </w:r>
    </w:p>
    <w:p>
      <w:pPr>
        <w:pStyle w:val="Caption"/>
        <w:keepLines/>
      </w:pPr>
      <w:r>
        <w:t>Figure 9 - Module du composite IIR/BRC immergé dans Milform 64 SST [2]. La courbe rouge reconstruit 100 °C à partir de 80 et 120 °C, sans utiliser la courbe cible.</w:t>
      </w:r>
    </w:p>
    <w:p>
      <w:pPr>
        <w:pStyle w:val="Heading2"/>
        <w:keepNext/>
      </w:pPr>
      <w:r>
        <w:t>7.1 Restitution des points publiés</w:t>
      </w:r>
    </w:p>
    <w:p>
      <w:r>
        <w:rPr>
          <w:i w:val="0"/>
        </w:rPr>
        <w:t>Les 21 points des trois températures sont restitués avec une erreur numérique nulle lorsque la température et le temps correspondent au tableau. Ce résultat vérifie la transcription, l'interpolation et l'export. Il ne mesure pas une capacité prédictive indépendante.</w:t>
      </w:r>
    </w:p>
    <w:p>
      <w:pPr>
        <w:pStyle w:val="Heading2"/>
        <w:keepNext/>
      </w:pPr>
      <w:r>
        <w:t>7.2 Température 100 °C masquée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984"/>
            <w:shd w:fill="17365D"/>
            <w:vAlign w:val="center"/>
            <w:tcBorders>
              <w:bottom w:val="single" w:sz="5" w:color="FFFFFF"/>
            </w:tcBorders>
          </w:tcPr>
          <w:p>
            <w:pPr>
              <w:jc w:val="left"/>
            </w:pPr>
            <w:r>
              <w:rPr>
                <w:b/>
                <w:color w:val="FFFFFF"/>
                <w:sz w:val="16"/>
              </w:rPr>
              <w:t>Indicateur</w:t>
            </w:r>
          </w:p>
        </w:tc>
        <w:tc>
          <w:tcPr>
            <w:tcW w:type="dxa" w:w="1814"/>
            <w:shd w:fill="17365D"/>
            <w:vAlign w:val="center"/>
            <w:tcBorders>
              <w:bottom w:val="single" w:sz="5" w:color="FFFFFF"/>
            </w:tcBorders>
          </w:tcPr>
          <w:p>
            <w:pPr>
              <w:jc w:val="left"/>
            </w:pPr>
            <w:r>
              <w:rPr>
                <w:b/>
                <w:color w:val="FFFFFF"/>
                <w:sz w:val="16"/>
              </w:rPr>
              <w:t>Résultat</w:t>
            </w:r>
          </w:p>
        </w:tc>
        <w:tc>
          <w:tcPr>
            <w:tcW w:type="dxa" w:w="5499"/>
            <w:shd w:fill="17365D"/>
            <w:vAlign w:val="center"/>
            <w:tcBorders>
              <w:bottom w:val="single" w:sz="5" w:color="FFFFFF"/>
            </w:tcBorders>
          </w:tcPr>
          <w:p>
            <w:pPr>
              <w:jc w:val="left"/>
            </w:pPr>
            <w:r>
              <w:rPr>
                <w:b/>
                <w:color w:val="FFFFFF"/>
                <w:sz w:val="16"/>
              </w:rPr>
              <w:t>Décision</w:t>
            </w:r>
          </w:p>
        </w:tc>
      </w:tr>
      <w:tr>
        <w:trPr>
          <w:cantSplit/>
        </w:trPr>
        <w:tc>
          <w:tcPr>
            <w:tcW w:type="dxa" w:w="1984"/>
            <w:vAlign w:val="center"/>
            <w:tcBorders>
              <w:bottom w:val="single" w:sz="4" w:color="D8E1EC"/>
            </w:tcBorders>
          </w:tcPr>
          <w:p>
            <w:pPr>
              <w:spacing w:after="30" w:before="30"/>
            </w:pPr>
            <w:r>
              <w:rPr>
                <w:color w:val="182230"/>
                <w:sz w:val="16"/>
              </w:rPr>
              <w:t>Prédictions masquées</w:t>
            </w:r>
          </w:p>
        </w:tc>
        <w:tc>
          <w:tcPr>
            <w:tcW w:type="dxa" w:w="1814"/>
            <w:vAlign w:val="center"/>
            <w:tcBorders>
              <w:bottom w:val="single" w:sz="4" w:color="D8E1EC"/>
            </w:tcBorders>
          </w:tcPr>
          <w:p>
            <w:pPr>
              <w:spacing w:after="30" w:before="30"/>
            </w:pPr>
            <w:r>
              <w:rPr>
                <w:color w:val="182230"/>
                <w:sz w:val="16"/>
              </w:rPr>
              <w:t>6</w:t>
            </w:r>
          </w:p>
        </w:tc>
        <w:tc>
          <w:tcPr>
            <w:tcW w:type="dxa" w:w="5499"/>
            <w:vAlign w:val="center"/>
            <w:tcBorders>
              <w:bottom w:val="single" w:sz="4" w:color="D8E1EC"/>
            </w:tcBorders>
          </w:tcPr>
          <w:p>
            <w:pPr>
              <w:spacing w:after="30" w:before="30"/>
            </w:pPr>
            <w:r>
              <w:rPr>
                <w:color w:val="182230"/>
                <w:sz w:val="16"/>
              </w:rPr>
              <w:t>Temps &gt; 0 h</w:t>
            </w:r>
          </w:p>
        </w:tc>
      </w:tr>
      <w:tr>
        <w:trPr>
          <w:cantSplit/>
        </w:trPr>
        <w:tc>
          <w:tcPr>
            <w:tcW w:type="dxa" w:w="1984"/>
            <w:shd w:fill="F6F8FB"/>
            <w:vAlign w:val="center"/>
            <w:tcBorders>
              <w:bottom w:val="single" w:sz="4" w:color="D8E1EC"/>
            </w:tcBorders>
          </w:tcPr>
          <w:p>
            <w:pPr>
              <w:spacing w:after="30" w:before="30"/>
            </w:pPr>
            <w:r>
              <w:rPr>
                <w:color w:val="182230"/>
                <w:sz w:val="16"/>
              </w:rPr>
              <w:t>MAE</w:t>
            </w:r>
          </w:p>
        </w:tc>
        <w:tc>
          <w:tcPr>
            <w:tcW w:type="dxa" w:w="1814"/>
            <w:shd w:fill="F6F8FB"/>
            <w:vAlign w:val="center"/>
            <w:tcBorders>
              <w:bottom w:val="single" w:sz="4" w:color="D8E1EC"/>
            </w:tcBorders>
          </w:tcPr>
          <w:p>
            <w:pPr>
              <w:spacing w:after="30" w:before="30"/>
            </w:pPr>
            <w:r>
              <w:rPr>
                <w:color w:val="182230"/>
                <w:sz w:val="16"/>
              </w:rPr>
              <w:t>0,278 MPa</w:t>
            </w:r>
          </w:p>
        </w:tc>
        <w:tc>
          <w:tcPr>
            <w:tcW w:type="dxa" w:w="5499"/>
            <w:shd w:fill="F6F8FB"/>
            <w:vAlign w:val="center"/>
            <w:tcBorders>
              <w:bottom w:val="single" w:sz="4" w:color="D8E1EC"/>
            </w:tcBorders>
          </w:tcPr>
          <w:p>
            <w:pPr>
              <w:spacing w:after="30" w:before="30"/>
            </w:pPr>
            <w:r>
              <w:rPr>
                <w:color w:val="182230"/>
                <w:sz w:val="16"/>
              </w:rPr>
              <w:t>Écart important face à des modules de 2-3 MPa</w:t>
            </w:r>
          </w:p>
        </w:tc>
      </w:tr>
      <w:tr>
        <w:trPr>
          <w:cantSplit/>
        </w:trPr>
        <w:tc>
          <w:tcPr>
            <w:tcW w:type="dxa" w:w="1984"/>
            <w:vAlign w:val="center"/>
            <w:tcBorders>
              <w:bottom w:val="single" w:sz="4" w:color="D8E1EC"/>
            </w:tcBorders>
          </w:tcPr>
          <w:p>
            <w:pPr>
              <w:spacing w:after="30" w:before="30"/>
            </w:pPr>
            <w:r>
              <w:rPr>
                <w:color w:val="182230"/>
                <w:sz w:val="16"/>
              </w:rPr>
              <w:t>RMSE</w:t>
            </w:r>
          </w:p>
        </w:tc>
        <w:tc>
          <w:tcPr>
            <w:tcW w:type="dxa" w:w="1814"/>
            <w:vAlign w:val="center"/>
            <w:tcBorders>
              <w:bottom w:val="single" w:sz="4" w:color="D8E1EC"/>
            </w:tcBorders>
          </w:tcPr>
          <w:p>
            <w:pPr>
              <w:spacing w:after="30" w:before="30"/>
            </w:pPr>
            <w:r>
              <w:rPr>
                <w:color w:val="182230"/>
                <w:sz w:val="16"/>
              </w:rPr>
              <w:t>0,409 MPa</w:t>
            </w:r>
          </w:p>
        </w:tc>
        <w:tc>
          <w:tcPr>
            <w:tcW w:type="dxa" w:w="5499"/>
            <w:vAlign w:val="center"/>
            <w:tcBorders>
              <w:bottom w:val="single" w:sz="4" w:color="D8E1EC"/>
            </w:tcBorders>
          </w:tcPr>
          <w:p>
            <w:pPr>
              <w:spacing w:after="30" w:before="30"/>
            </w:pPr>
            <w:r>
              <w:rPr>
                <w:color w:val="182230"/>
                <w:sz w:val="16"/>
              </w:rPr>
              <w:t>Sensibilité au transitoire non monotone</w:t>
            </w:r>
          </w:p>
        </w:tc>
      </w:tr>
      <w:tr>
        <w:trPr>
          <w:cantSplit/>
        </w:trPr>
        <w:tc>
          <w:tcPr>
            <w:tcW w:type="dxa" w:w="1984"/>
            <w:shd w:fill="F6F8FB"/>
            <w:vAlign w:val="center"/>
            <w:tcBorders>
              <w:bottom w:val="single" w:sz="4" w:color="D8E1EC"/>
            </w:tcBorders>
          </w:tcPr>
          <w:p>
            <w:pPr>
              <w:spacing w:after="30" w:before="30"/>
            </w:pPr>
            <w:r>
              <w:rPr>
                <w:color w:val="182230"/>
                <w:sz w:val="16"/>
              </w:rPr>
              <w:t>MAPE</w:t>
            </w:r>
          </w:p>
        </w:tc>
        <w:tc>
          <w:tcPr>
            <w:tcW w:type="dxa" w:w="1814"/>
            <w:shd w:fill="F6F8FB"/>
            <w:vAlign w:val="center"/>
            <w:tcBorders>
              <w:bottom w:val="single" w:sz="4" w:color="D8E1EC"/>
            </w:tcBorders>
          </w:tcPr>
          <w:p>
            <w:pPr>
              <w:spacing w:after="30" w:before="30"/>
            </w:pPr>
            <w:r>
              <w:rPr>
                <w:color w:val="182230"/>
                <w:sz w:val="16"/>
              </w:rPr>
              <w:t>11,31 %</w:t>
            </w:r>
          </w:p>
        </w:tc>
        <w:tc>
          <w:tcPr>
            <w:tcW w:type="dxa" w:w="5499"/>
            <w:shd w:fill="F6F8FB"/>
            <w:vAlign w:val="center"/>
            <w:tcBorders>
              <w:bottom w:val="single" w:sz="4" w:color="D8E1EC"/>
            </w:tcBorders>
          </w:tcPr>
          <w:p>
            <w:pPr>
              <w:spacing w:after="30" w:before="30"/>
            </w:pPr>
            <w:r>
              <w:rPr>
                <w:color w:val="182230"/>
                <w:sz w:val="16"/>
              </w:rPr>
              <w:t>Supérieure au cas PP</w:t>
            </w:r>
          </w:p>
        </w:tc>
      </w:tr>
      <w:tr>
        <w:trPr>
          <w:cantSplit/>
        </w:trPr>
        <w:tc>
          <w:tcPr>
            <w:tcW w:type="dxa" w:w="1984"/>
            <w:vAlign w:val="center"/>
            <w:tcBorders>
              <w:bottom w:val="single" w:sz="4" w:color="D8E1EC"/>
            </w:tcBorders>
          </w:tcPr>
          <w:p>
            <w:pPr>
              <w:spacing w:after="30" w:before="30"/>
            </w:pPr>
            <w:r>
              <w:rPr>
                <w:color w:val="182230"/>
                <w:sz w:val="16"/>
              </w:rPr>
              <w:t>Erreur maximale</w:t>
            </w:r>
          </w:p>
        </w:tc>
        <w:tc>
          <w:tcPr>
            <w:tcW w:type="dxa" w:w="1814"/>
            <w:vAlign w:val="center"/>
            <w:tcBorders>
              <w:bottom w:val="single" w:sz="4" w:color="D8E1EC"/>
            </w:tcBorders>
          </w:tcPr>
          <w:p>
            <w:pPr>
              <w:spacing w:after="30" w:before="30"/>
            </w:pPr>
            <w:r>
              <w:rPr>
                <w:color w:val="182230"/>
                <w:sz w:val="16"/>
              </w:rPr>
              <w:t>28,76 %</w:t>
            </w:r>
          </w:p>
        </w:tc>
        <w:tc>
          <w:tcPr>
            <w:tcW w:type="dxa" w:w="5499"/>
            <w:vAlign w:val="center"/>
            <w:tcBorders>
              <w:bottom w:val="single" w:sz="4" w:color="D8E1EC"/>
            </w:tcBorders>
          </w:tcPr>
          <w:p>
            <w:pPr>
              <w:spacing w:after="30" w:before="30"/>
            </w:pPr>
            <w:r>
              <w:rPr>
                <w:color w:val="182230"/>
                <w:sz w:val="16"/>
              </w:rPr>
              <w:t>Incompatible avec une bande étroite</w:t>
            </w:r>
          </w:p>
        </w:tc>
      </w:tr>
      <w:tr>
        <w:trPr>
          <w:cantSplit/>
        </w:trPr>
        <w:tc>
          <w:tcPr>
            <w:tcW w:type="dxa" w:w="1984"/>
            <w:shd w:fill="F6F8FB"/>
            <w:vAlign w:val="center"/>
            <w:tcBorders>
              <w:bottom w:val="single" w:sz="4" w:color="D8E1EC"/>
            </w:tcBorders>
          </w:tcPr>
          <w:p>
            <w:pPr>
              <w:spacing w:after="30" w:before="30"/>
            </w:pPr>
            <w:r>
              <w:rPr>
                <w:color w:val="182230"/>
                <w:sz w:val="16"/>
              </w:rPr>
              <w:t>R²</w:t>
            </w:r>
          </w:p>
        </w:tc>
        <w:tc>
          <w:tcPr>
            <w:tcW w:type="dxa" w:w="1814"/>
            <w:shd w:fill="F6F8FB"/>
            <w:vAlign w:val="center"/>
            <w:tcBorders>
              <w:bottom w:val="single" w:sz="4" w:color="D8E1EC"/>
            </w:tcBorders>
          </w:tcPr>
          <w:p>
            <w:pPr>
              <w:spacing w:after="30" w:before="30"/>
            </w:pPr>
            <w:r>
              <w:rPr>
                <w:color w:val="182230"/>
                <w:sz w:val="16"/>
              </w:rPr>
              <w:t>-2,15</w:t>
            </w:r>
          </w:p>
        </w:tc>
        <w:tc>
          <w:tcPr>
            <w:tcW w:type="dxa" w:w="5499"/>
            <w:shd w:fill="F6F8FB"/>
            <w:vAlign w:val="center"/>
            <w:tcBorders>
              <w:bottom w:val="single" w:sz="4" w:color="D8E1EC"/>
            </w:tcBorders>
          </w:tcPr>
          <w:p>
            <w:pPr>
              <w:spacing w:after="30" w:before="30"/>
            </w:pPr>
            <w:r>
              <w:rPr>
                <w:color w:val="182230"/>
                <w:sz w:val="16"/>
              </w:rPr>
              <w:t>Transfert refusé</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C44747"/>
            <w:tcBorders>
              <w:top w:val="nil"/>
              <w:left w:val="nil"/>
              <w:bottom w:val="nil"/>
              <w:right w:val="nil"/>
            </w:tcBorders>
          </w:tcPr>
          <w:p/>
        </w:tc>
        <w:tc>
          <w:tcPr>
            <w:tcW w:type="dxa" w:w="4933"/>
            <w:shd w:fill="FCEEEE"/>
            <w:tcBorders>
              <w:top w:val="nil"/>
              <w:left w:val="nil"/>
              <w:bottom w:val="nil"/>
              <w:right w:val="nil"/>
            </w:tcBorders>
          </w:tcPr>
          <w:p>
            <w:pPr>
              <w:spacing w:after="40"/>
            </w:pPr>
            <w:r>
              <w:rPr>
                <w:b/>
                <w:color w:val="C44747"/>
              </w:rPr>
              <w:t xml:space="preserve">Analyse physique  </w:t>
            </w:r>
            <w:r>
              <w:t>À 120 °C, le module augmente d'abord fortement puis diminue. Une loi monotone ou une interpolation linéaire en température ne capture pas la compétition entre gonflement, extraction de charge, réticulation et scission. SeaMat doit privilégier les courbes exactes à 80, 100 et 120 °C.</w:t>
            </w:r>
          </w:p>
        </w:tc>
      </w:tr>
    </w:tbl>
    <w:p>
      <w:pPr>
        <w:pStyle w:val="Heading2"/>
        <w:keepNext/>
      </w:pPr>
      <w:r>
        <w:t>7.3 Seuil de durée de vie</w:t>
      </w:r>
    </w:p>
    <w:p>
      <w:r>
        <w:rPr>
          <w:i w:val="0"/>
        </w:rPr>
        <w:t>Le choix d'un seuil de 80 % ou 50 % est une définition d'usage, pas une propriété intrinsèque. Le moteur recherche le premier franchissement dans l'horizon demandé. « Non atteint » signifie seulement que le seuil n'est pas franchi pendant cette fenêtre.</w:t>
      </w:r>
    </w:p>
    <w:p>
      <w:pPr>
        <w:pStyle w:val="Heading1"/>
        <w:keepNext/>
        <w:pageBreakBefore/>
      </w:pPr>
      <w:r>
        <w:t>8. Comparaison multi-matériaux et portée</w:t>
      </w:r>
    </w:p>
    <w:p>
      <w:pPr>
        <w:keepNext/>
        <w:jc w:val="center"/>
      </w:pPr>
      <w:r>
        <w:drawing>
          <wp:inline xmlns:a="http://schemas.openxmlformats.org/drawingml/2006/main" xmlns:pic="http://schemas.openxmlformats.org/drawingml/2006/picture">
            <wp:extent cx="5940000" cy="3155625"/>
            <wp:docPr id="10" name="Picture 10"/>
            <wp:cNvGraphicFramePr>
              <a:graphicFrameLocks noChangeAspect="1"/>
            </wp:cNvGraphicFramePr>
            <a:graphic>
              <a:graphicData uri="http://schemas.openxmlformats.org/drawingml/2006/picture">
                <pic:pic>
                  <pic:nvPicPr>
                    <pic:cNvPr id="0" name="validation_metrics.png"/>
                    <pic:cNvPicPr/>
                  </pic:nvPicPr>
                  <pic:blipFill>
                    <a:blip r:embed="rId19"/>
                    <a:stretch>
                      <a:fillRect/>
                    </a:stretch>
                  </pic:blipFill>
                  <pic:spPr>
                    <a:xfrm>
                      <a:off x="0" y="0"/>
                      <a:ext cx="5940000" cy="3155625"/>
                    </a:xfrm>
                    <a:prstGeom prst="rect"/>
                  </pic:spPr>
                </pic:pic>
              </a:graphicData>
            </a:graphic>
          </wp:inline>
        </w:drawing>
      </w:r>
    </w:p>
    <w:p>
      <w:pPr>
        <w:pStyle w:val="Caption"/>
        <w:keepLines/>
      </w:pPr>
      <w:r>
        <w:t>Figure 10 - Erreurs relatives moyennes obtenues avec des protocoles de masquage adaptés à chaque corpus.</w:t>
      </w:r>
    </w:p>
    <w:tbl>
      <w:tblPr>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2324"/>
            <w:shd w:fill="17365D"/>
            <w:vAlign w:val="center"/>
            <w:tcBorders>
              <w:bottom w:val="single" w:sz="5" w:color="FFFFFF"/>
            </w:tcBorders>
          </w:tcPr>
          <w:p>
            <w:pPr>
              <w:jc w:val="left"/>
            </w:pPr>
            <w:r>
              <w:rPr>
                <w:b/>
                <w:color w:val="FFFFFF"/>
                <w:sz w:val="15"/>
              </w:rPr>
              <w:t>Cas</w:t>
            </w:r>
          </w:p>
        </w:tc>
        <w:tc>
          <w:tcPr>
            <w:tcW w:type="dxa" w:w="1134"/>
            <w:shd w:fill="17365D"/>
            <w:vAlign w:val="center"/>
            <w:tcBorders>
              <w:bottom w:val="single" w:sz="5" w:color="FFFFFF"/>
            </w:tcBorders>
          </w:tcPr>
          <w:p>
            <w:pPr>
              <w:jc w:val="left"/>
            </w:pPr>
            <w:r>
              <w:rPr>
                <w:b/>
                <w:color w:val="FFFFFF"/>
                <w:sz w:val="15"/>
              </w:rPr>
              <w:t>MAPE</w:t>
            </w:r>
          </w:p>
        </w:tc>
        <w:tc>
          <w:tcPr>
            <w:tcW w:type="dxa" w:w="1134"/>
            <w:shd w:fill="17365D"/>
            <w:vAlign w:val="center"/>
            <w:tcBorders>
              <w:bottom w:val="single" w:sz="5" w:color="FFFFFF"/>
            </w:tcBorders>
          </w:tcPr>
          <w:p>
            <w:pPr>
              <w:jc w:val="left"/>
            </w:pPr>
            <w:r>
              <w:rPr>
                <w:b/>
                <w:color w:val="FFFFFF"/>
                <w:sz w:val="15"/>
              </w:rPr>
              <w:t>R²</w:t>
            </w:r>
          </w:p>
        </w:tc>
        <w:tc>
          <w:tcPr>
            <w:tcW w:type="dxa" w:w="3005"/>
            <w:shd w:fill="17365D"/>
            <w:vAlign w:val="center"/>
            <w:tcBorders>
              <w:bottom w:val="single" w:sz="5" w:color="FFFFFF"/>
            </w:tcBorders>
          </w:tcPr>
          <w:p>
            <w:pPr>
              <w:jc w:val="left"/>
            </w:pPr>
            <w:r>
              <w:rPr>
                <w:b/>
                <w:color w:val="FFFFFF"/>
                <w:sz w:val="15"/>
              </w:rPr>
              <w:t>Domaine prouvé</w:t>
            </w:r>
          </w:p>
        </w:tc>
        <w:tc>
          <w:tcPr>
            <w:tcW w:type="dxa" w:w="1701"/>
            <w:shd w:fill="17365D"/>
            <w:vAlign w:val="center"/>
            <w:tcBorders>
              <w:bottom w:val="single" w:sz="5" w:color="FFFFFF"/>
            </w:tcBorders>
          </w:tcPr>
          <w:p>
            <w:pPr>
              <w:jc w:val="left"/>
            </w:pPr>
            <w:r>
              <w:rPr>
                <w:b/>
                <w:color w:val="FFFFFF"/>
                <w:sz w:val="15"/>
              </w:rPr>
              <w:t>Statut</w:t>
            </w:r>
          </w:p>
        </w:tc>
      </w:tr>
      <w:tr>
        <w:trPr>
          <w:cantSplit/>
        </w:trPr>
        <w:tc>
          <w:tcPr>
            <w:tcW w:type="dxa" w:w="2324"/>
            <w:vAlign w:val="center"/>
            <w:tcBorders>
              <w:bottom w:val="single" w:sz="4" w:color="D8E1EC"/>
            </w:tcBorders>
          </w:tcPr>
          <w:p>
            <w:pPr>
              <w:spacing w:after="30" w:before="30"/>
            </w:pPr>
            <w:r>
              <w:rPr>
                <w:color w:val="182230"/>
                <w:sz w:val="15"/>
              </w:rPr>
              <w:t>PP H301 - hors formulation</w:t>
            </w:r>
          </w:p>
        </w:tc>
        <w:tc>
          <w:tcPr>
            <w:tcW w:type="dxa" w:w="1134"/>
            <w:vAlign w:val="center"/>
            <w:tcBorders>
              <w:bottom w:val="single" w:sz="4" w:color="D8E1EC"/>
            </w:tcBorders>
          </w:tcPr>
          <w:p>
            <w:pPr>
              <w:spacing w:after="30" w:before="30"/>
            </w:pPr>
            <w:r>
              <w:rPr>
                <w:color w:val="182230"/>
                <w:sz w:val="15"/>
              </w:rPr>
              <w:t>2,75 %</w:t>
            </w:r>
          </w:p>
        </w:tc>
        <w:tc>
          <w:tcPr>
            <w:tcW w:type="dxa" w:w="1134"/>
            <w:vAlign w:val="center"/>
            <w:tcBorders>
              <w:bottom w:val="single" w:sz="4" w:color="D8E1EC"/>
            </w:tcBorders>
          </w:tcPr>
          <w:p>
            <w:pPr>
              <w:spacing w:after="30" w:before="30"/>
            </w:pPr>
            <w:r>
              <w:rPr>
                <w:color w:val="182230"/>
                <w:sz w:val="15"/>
              </w:rPr>
              <w:t>0,854</w:t>
            </w:r>
          </w:p>
        </w:tc>
        <w:tc>
          <w:tcPr>
            <w:tcW w:type="dxa" w:w="3005"/>
            <w:vAlign w:val="center"/>
            <w:tcBorders>
              <w:bottom w:val="single" w:sz="4" w:color="D8E1EC"/>
            </w:tcBorders>
          </w:tcPr>
          <w:p>
            <w:pPr>
              <w:spacing w:after="30" w:before="30"/>
            </w:pPr>
            <w:r>
              <w:rPr>
                <w:color w:val="182230"/>
                <w:sz w:val="15"/>
              </w:rPr>
              <w:t>0-120 jours, formulations de l'article</w:t>
            </w:r>
          </w:p>
        </w:tc>
        <w:tc>
          <w:tcPr>
            <w:tcW w:type="dxa" w:w="1701"/>
            <w:vAlign w:val="center"/>
            <w:tcBorders>
              <w:bottom w:val="single" w:sz="4" w:color="D8E1EC"/>
            </w:tcBorders>
          </w:tcPr>
          <w:p>
            <w:pPr>
              <w:spacing w:after="30" w:before="30"/>
            </w:pPr>
            <w:r>
              <w:rPr>
                <w:color w:val="182230"/>
                <w:sz w:val="15"/>
              </w:rPr>
              <w:t>Calibrage interne accepté</w:t>
            </w:r>
          </w:p>
        </w:tc>
      </w:tr>
      <w:tr>
        <w:trPr>
          <w:cantSplit/>
        </w:trPr>
        <w:tc>
          <w:tcPr>
            <w:tcW w:type="dxa" w:w="2324"/>
            <w:shd w:fill="F6F8FB"/>
            <w:vAlign w:val="center"/>
            <w:tcBorders>
              <w:bottom w:val="single" w:sz="4" w:color="D8E1EC"/>
            </w:tcBorders>
          </w:tcPr>
          <w:p>
            <w:pPr>
              <w:spacing w:after="30" w:before="30"/>
            </w:pPr>
            <w:r>
              <w:rPr>
                <w:color w:val="182230"/>
                <w:sz w:val="15"/>
              </w:rPr>
              <w:t>IIR - température 100 °C cachée</w:t>
            </w:r>
          </w:p>
        </w:tc>
        <w:tc>
          <w:tcPr>
            <w:tcW w:type="dxa" w:w="1134"/>
            <w:shd w:fill="F6F8FB"/>
            <w:vAlign w:val="center"/>
            <w:tcBorders>
              <w:bottom w:val="single" w:sz="4" w:color="D8E1EC"/>
            </w:tcBorders>
          </w:tcPr>
          <w:p>
            <w:pPr>
              <w:spacing w:after="30" w:before="30"/>
            </w:pPr>
            <w:r>
              <w:rPr>
                <w:color w:val="182230"/>
                <w:sz w:val="15"/>
              </w:rPr>
              <w:t>11,31 %</w:t>
            </w:r>
          </w:p>
        </w:tc>
        <w:tc>
          <w:tcPr>
            <w:tcW w:type="dxa" w:w="1134"/>
            <w:shd w:fill="F6F8FB"/>
            <w:vAlign w:val="center"/>
            <w:tcBorders>
              <w:bottom w:val="single" w:sz="4" w:color="D8E1EC"/>
            </w:tcBorders>
          </w:tcPr>
          <w:p>
            <w:pPr>
              <w:spacing w:after="30" w:before="30"/>
            </w:pPr>
            <w:r>
              <w:rPr>
                <w:color w:val="182230"/>
                <w:sz w:val="15"/>
              </w:rPr>
              <w:t>-2,154</w:t>
            </w:r>
          </w:p>
        </w:tc>
        <w:tc>
          <w:tcPr>
            <w:tcW w:type="dxa" w:w="3005"/>
            <w:shd w:fill="F6F8FB"/>
            <w:vAlign w:val="center"/>
            <w:tcBorders>
              <w:bottom w:val="single" w:sz="4" w:color="D8E1EC"/>
            </w:tcBorders>
          </w:tcPr>
          <w:p>
            <w:pPr>
              <w:spacing w:after="30" w:before="30"/>
            </w:pPr>
            <w:r>
              <w:rPr>
                <w:color w:val="182230"/>
                <w:sz w:val="15"/>
              </w:rPr>
              <w:t>Aucun transfert thermique qualifié</w:t>
            </w:r>
          </w:p>
        </w:tc>
        <w:tc>
          <w:tcPr>
            <w:tcW w:type="dxa" w:w="1701"/>
            <w:shd w:fill="F6F8FB"/>
            <w:vAlign w:val="center"/>
            <w:tcBorders>
              <w:bottom w:val="single" w:sz="4" w:color="D8E1EC"/>
            </w:tcBorders>
          </w:tcPr>
          <w:p>
            <w:pPr>
              <w:spacing w:after="30" w:before="30"/>
            </w:pPr>
            <w:r>
              <w:rPr>
                <w:color w:val="182230"/>
                <w:sz w:val="15"/>
              </w:rPr>
              <w:t>Refusé</w:t>
            </w:r>
          </w:p>
        </w:tc>
      </w:tr>
      <w:tr>
        <w:trPr>
          <w:cantSplit/>
        </w:trPr>
        <w:tc>
          <w:tcPr>
            <w:tcW w:type="dxa" w:w="2324"/>
            <w:vAlign w:val="center"/>
            <w:tcBorders>
              <w:bottom w:val="single" w:sz="4" w:color="D8E1EC"/>
            </w:tcBorders>
          </w:tcPr>
          <w:p>
            <w:pPr>
              <w:spacing w:after="30" w:before="30"/>
            </w:pPr>
            <w:r>
              <w:rPr>
                <w:color w:val="182230"/>
                <w:sz w:val="15"/>
              </w:rPr>
              <w:t>Lin/époxy - campagne cachée</w:t>
            </w:r>
          </w:p>
        </w:tc>
        <w:tc>
          <w:tcPr>
            <w:tcW w:type="dxa" w:w="1134"/>
            <w:vAlign w:val="center"/>
            <w:tcBorders>
              <w:bottom w:val="single" w:sz="4" w:color="D8E1EC"/>
            </w:tcBorders>
          </w:tcPr>
          <w:p>
            <w:pPr>
              <w:spacing w:after="30" w:before="30"/>
            </w:pPr>
            <w:r>
              <w:rPr>
                <w:color w:val="182230"/>
                <w:sz w:val="15"/>
              </w:rPr>
              <w:t>5,41 %</w:t>
            </w:r>
          </w:p>
        </w:tc>
        <w:tc>
          <w:tcPr>
            <w:tcW w:type="dxa" w:w="1134"/>
            <w:vAlign w:val="center"/>
            <w:tcBorders>
              <w:bottom w:val="single" w:sz="4" w:color="D8E1EC"/>
            </w:tcBorders>
          </w:tcPr>
          <w:p>
            <w:pPr>
              <w:spacing w:after="30" w:before="30"/>
            </w:pPr>
            <w:r>
              <w:rPr>
                <w:color w:val="182230"/>
                <w:sz w:val="15"/>
              </w:rPr>
              <w:t>0,975</w:t>
            </w:r>
          </w:p>
        </w:tc>
        <w:tc>
          <w:tcPr>
            <w:tcW w:type="dxa" w:w="3005"/>
            <w:vAlign w:val="center"/>
            <w:tcBorders>
              <w:bottom w:val="single" w:sz="4" w:color="D8E1EC"/>
            </w:tcBorders>
          </w:tcPr>
          <w:p>
            <w:pPr>
              <w:spacing w:after="30" w:before="30"/>
            </w:pPr>
            <w:r>
              <w:rPr>
                <w:color w:val="182230"/>
                <w:sz w:val="15"/>
              </w:rPr>
              <w:t>0-38 jours, 90 % HR, 20-40 °C</w:t>
            </w:r>
          </w:p>
        </w:tc>
        <w:tc>
          <w:tcPr>
            <w:tcW w:type="dxa" w:w="1701"/>
            <w:vAlign w:val="center"/>
            <w:tcBorders>
              <w:bottom w:val="single" w:sz="4" w:color="D8E1EC"/>
            </w:tcBorders>
          </w:tcPr>
          <w:p>
            <w:pPr>
              <w:spacing w:after="30" w:before="30"/>
            </w:pPr>
            <w:r>
              <w:rPr>
                <w:color w:val="182230"/>
                <w:sz w:val="15"/>
              </w:rPr>
              <w:t>Pilote interne</w:t>
            </w:r>
          </w:p>
        </w:tc>
      </w:tr>
    </w:tbl>
    <w:p>
      <w:pPr>
        <w:spacing w:after="0"/>
      </w:pPr>
    </w:p>
    <w:p>
      <w:r>
        <w:rPr>
          <w:i w:val="0"/>
        </w:rPr>
        <w:t>Le cas lin/époxy repose en partie sur une numérisation de figure estimée à ±3 %. Sa bande pilote ±11,4 % combine erreur de transfert et lecture, mais ne remplace pas la variabilité brute des éprouvettes. Les trois résultats démontrent l'intérêt du routage : un score global unique effacerait les différences de propriété, de milieu et de protocole.</w:t>
      </w:r>
    </w:p>
    <w:p>
      <w:pPr>
        <w:pStyle w:val="Heading2"/>
        <w:keepNext/>
      </w:pPr>
      <w:r>
        <w:t>8.1 Matrice d'utilisation</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Borders>
              <w:bottom w:val="single" w:sz="5" w:color="FFFFFF"/>
            </w:tcBorders>
          </w:tcPr>
          <w:p>
            <w:pPr>
              <w:jc w:val="left"/>
            </w:pPr>
            <w:r>
              <w:rPr>
                <w:b/>
                <w:color w:val="FFFFFF"/>
                <w:sz w:val="16"/>
              </w:rPr>
              <w:t>Situation</w:t>
            </w:r>
          </w:p>
        </w:tc>
        <w:tc>
          <w:tcPr>
            <w:tcW w:type="dxa" w:w="3458"/>
            <w:shd w:fill="17365D"/>
            <w:vAlign w:val="center"/>
            <w:tcBorders>
              <w:bottom w:val="single" w:sz="5" w:color="FFFFFF"/>
            </w:tcBorders>
          </w:tcPr>
          <w:p>
            <w:pPr>
              <w:jc w:val="left"/>
            </w:pPr>
            <w:r>
              <w:rPr>
                <w:b/>
                <w:color w:val="FFFFFF"/>
                <w:sz w:val="16"/>
              </w:rPr>
              <w:t>Valeur à retenir</w:t>
            </w:r>
          </w:p>
        </w:tc>
        <w:tc>
          <w:tcPr>
            <w:tcW w:type="dxa" w:w="3005"/>
            <w:shd w:fill="17365D"/>
            <w:vAlign w:val="center"/>
            <w:tcBorders>
              <w:bottom w:val="single" w:sz="5" w:color="FFFFFF"/>
            </w:tcBorders>
          </w:tcPr>
          <w:p>
            <w:pPr>
              <w:jc w:val="left"/>
            </w:pPr>
            <w:r>
              <w:rPr>
                <w:b/>
                <w:color w:val="FFFFFF"/>
                <w:sz w:val="16"/>
              </w:rPr>
              <w:t>Action</w:t>
            </w:r>
          </w:p>
        </w:tc>
      </w:tr>
      <w:tr>
        <w:trPr>
          <w:cantSplit/>
        </w:trPr>
        <w:tc>
          <w:tcPr>
            <w:tcW w:type="dxa" w:w="2835"/>
            <w:vAlign w:val="center"/>
            <w:tcBorders>
              <w:bottom w:val="single" w:sz="4" w:color="D8E1EC"/>
            </w:tcBorders>
          </w:tcPr>
          <w:p>
            <w:pPr>
              <w:spacing w:after="30" w:before="30"/>
            </w:pPr>
            <w:r>
              <w:rPr>
                <w:color w:val="182230"/>
                <w:sz w:val="16"/>
              </w:rPr>
              <w:t>Même grade et conditions, dans la fenêtre publiée</w:t>
            </w:r>
          </w:p>
        </w:tc>
        <w:tc>
          <w:tcPr>
            <w:tcW w:type="dxa" w:w="3458"/>
            <w:vAlign w:val="center"/>
            <w:tcBorders>
              <w:bottom w:val="single" w:sz="4" w:color="D8E1EC"/>
            </w:tcBorders>
          </w:tcPr>
          <w:p>
            <w:pPr>
              <w:spacing w:after="30" w:before="30"/>
            </w:pPr>
            <w:r>
              <w:rPr>
                <w:color w:val="182230"/>
                <w:sz w:val="16"/>
              </w:rPr>
              <w:t>Courbe centrale + dispersion publiée</w:t>
            </w:r>
          </w:p>
        </w:tc>
        <w:tc>
          <w:tcPr>
            <w:tcW w:type="dxa" w:w="3005"/>
            <w:vAlign w:val="center"/>
            <w:tcBorders>
              <w:bottom w:val="single" w:sz="4" w:color="D8E1EC"/>
            </w:tcBorders>
          </w:tcPr>
          <w:p>
            <w:pPr>
              <w:spacing w:after="30" w:before="30"/>
            </w:pPr>
            <w:r>
              <w:rPr>
                <w:color w:val="182230"/>
                <w:sz w:val="16"/>
              </w:rPr>
              <w:t>Utiliser pour comparer et préparer l'essai</w:t>
            </w:r>
          </w:p>
        </w:tc>
      </w:tr>
      <w:tr>
        <w:trPr>
          <w:cantSplit/>
        </w:trPr>
        <w:tc>
          <w:tcPr>
            <w:tcW w:type="dxa" w:w="2835"/>
            <w:shd w:fill="F6F8FB"/>
            <w:vAlign w:val="center"/>
            <w:tcBorders>
              <w:bottom w:val="single" w:sz="4" w:color="D8E1EC"/>
            </w:tcBorders>
          </w:tcPr>
          <w:p>
            <w:pPr>
              <w:spacing w:after="30" w:before="30"/>
            </w:pPr>
            <w:r>
              <w:rPr>
                <w:color w:val="182230"/>
                <w:sz w:val="16"/>
              </w:rPr>
              <w:t>Grade voisin, validation hors groupe acceptée</w:t>
            </w:r>
          </w:p>
        </w:tc>
        <w:tc>
          <w:tcPr>
            <w:tcW w:type="dxa" w:w="3458"/>
            <w:shd w:fill="F6F8FB"/>
            <w:vAlign w:val="center"/>
            <w:tcBorders>
              <w:bottom w:val="single" w:sz="4" w:color="D8E1EC"/>
            </w:tcBorders>
          </w:tcPr>
          <w:p>
            <w:pPr>
              <w:spacing w:after="30" w:before="30"/>
            </w:pPr>
            <w:r>
              <w:rPr>
                <w:color w:val="182230"/>
                <w:sz w:val="16"/>
              </w:rPr>
              <w:t>Courbe centrale + erreur masquée + pénalité</w:t>
            </w:r>
          </w:p>
        </w:tc>
        <w:tc>
          <w:tcPr>
            <w:tcW w:type="dxa" w:w="3005"/>
            <w:shd w:fill="F6F8FB"/>
            <w:vAlign w:val="center"/>
            <w:tcBorders>
              <w:bottom w:val="single" w:sz="4" w:color="D8E1EC"/>
            </w:tcBorders>
          </w:tcPr>
          <w:p>
            <w:pPr>
              <w:spacing w:after="30" w:before="30"/>
            </w:pPr>
            <w:r>
              <w:rPr>
                <w:color w:val="182230"/>
                <w:sz w:val="16"/>
              </w:rPr>
              <w:t>Présélection, puis confirmation</w:t>
            </w:r>
          </w:p>
        </w:tc>
      </w:tr>
      <w:tr>
        <w:trPr>
          <w:cantSplit/>
        </w:trPr>
        <w:tc>
          <w:tcPr>
            <w:tcW w:type="dxa" w:w="2835"/>
            <w:vAlign w:val="center"/>
            <w:tcBorders>
              <w:bottom w:val="single" w:sz="4" w:color="D8E1EC"/>
            </w:tcBorders>
          </w:tcPr>
          <w:p>
            <w:pPr>
              <w:spacing w:after="30" w:before="30"/>
            </w:pPr>
            <w:r>
              <w:rPr>
                <w:color w:val="182230"/>
                <w:sz w:val="16"/>
              </w:rPr>
              <w:t>Extrapolation temporelle</w:t>
            </w:r>
          </w:p>
        </w:tc>
        <w:tc>
          <w:tcPr>
            <w:tcW w:type="dxa" w:w="3458"/>
            <w:vAlign w:val="center"/>
            <w:tcBorders>
              <w:bottom w:val="single" w:sz="4" w:color="D8E1EC"/>
            </w:tcBorders>
          </w:tcPr>
          <w:p>
            <w:pPr>
              <w:spacing w:after="30" w:before="30"/>
            </w:pPr>
            <w:r>
              <w:rPr>
                <w:color w:val="182230"/>
                <w:sz w:val="16"/>
              </w:rPr>
              <w:t>Courbe prolongée avec limite visible</w:t>
            </w:r>
          </w:p>
        </w:tc>
        <w:tc>
          <w:tcPr>
            <w:tcW w:type="dxa" w:w="3005"/>
            <w:vAlign w:val="center"/>
            <w:tcBorders>
              <w:bottom w:val="single" w:sz="4" w:color="D8E1EC"/>
            </w:tcBorders>
          </w:tcPr>
          <w:p>
            <w:pPr>
              <w:spacing w:after="30" w:before="30"/>
            </w:pPr>
            <w:r>
              <w:rPr>
                <w:color w:val="182230"/>
                <w:sz w:val="16"/>
              </w:rPr>
              <w:t>Ne pas annoncer la même précision</w:t>
            </w:r>
          </w:p>
        </w:tc>
      </w:tr>
      <w:tr>
        <w:trPr>
          <w:cantSplit/>
        </w:trPr>
        <w:tc>
          <w:tcPr>
            <w:tcW w:type="dxa" w:w="2835"/>
            <w:shd w:fill="F6F8FB"/>
            <w:vAlign w:val="center"/>
            <w:tcBorders>
              <w:bottom w:val="single" w:sz="4" w:color="D8E1EC"/>
            </w:tcBorders>
          </w:tcPr>
          <w:p>
            <w:pPr>
              <w:spacing w:after="30" w:before="30"/>
            </w:pPr>
            <w:r>
              <w:rPr>
                <w:color w:val="182230"/>
                <w:sz w:val="16"/>
              </w:rPr>
              <w:t>Transfert refusé ou coefficients absents</w:t>
            </w:r>
          </w:p>
        </w:tc>
        <w:tc>
          <w:tcPr>
            <w:tcW w:type="dxa" w:w="3458"/>
            <w:shd w:fill="F6F8FB"/>
            <w:vAlign w:val="center"/>
            <w:tcBorders>
              <w:bottom w:val="single" w:sz="4" w:color="D8E1EC"/>
            </w:tcBorders>
          </w:tcPr>
          <w:p>
            <w:pPr>
              <w:spacing w:after="30" w:before="30"/>
            </w:pPr>
            <w:r>
              <w:rPr>
                <w:color w:val="182230"/>
                <w:sz w:val="16"/>
              </w:rPr>
              <w:t>Aucune durée qualifiée</w:t>
            </w:r>
          </w:p>
        </w:tc>
        <w:tc>
          <w:tcPr>
            <w:tcW w:type="dxa" w:w="3005"/>
            <w:shd w:fill="F6F8FB"/>
            <w:vAlign w:val="center"/>
            <w:tcBorders>
              <w:bottom w:val="single" w:sz="4" w:color="D8E1EC"/>
            </w:tcBorders>
          </w:tcPr>
          <w:p>
            <w:pPr>
              <w:spacing w:after="30" w:before="30"/>
            </w:pPr>
            <w:r>
              <w:rPr>
                <w:color w:val="182230"/>
                <w:sz w:val="16"/>
              </w:rPr>
              <w:t>Acquérir une source ou définir un essai</w:t>
            </w:r>
          </w:p>
        </w:tc>
      </w:tr>
    </w:tbl>
    <w:p>
      <w:pPr>
        <w:spacing w:after="0"/>
      </w:pPr>
    </w:p>
    <w:p>
      <w:pPr>
        <w:pStyle w:val="Heading2"/>
        <w:keepNext/>
      </w:pPr>
      <w:r>
        <w:t>8.2 Couverture scientifique actuelle des 75 matériaux</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835"/>
            <w:shd w:fill="17365D"/>
            <w:vAlign w:val="center"/>
            <w:tcBorders>
              <w:bottom w:val="single" w:sz="5" w:color="FFFFFF"/>
            </w:tcBorders>
          </w:tcPr>
          <w:p>
            <w:pPr>
              <w:jc w:val="left"/>
            </w:pPr>
            <w:r>
              <w:rPr>
                <w:b/>
                <w:color w:val="FFFFFF"/>
                <w:sz w:val="15"/>
              </w:rPr>
              <w:t>Niveau de couverture</w:t>
            </w:r>
          </w:p>
        </w:tc>
        <w:tc>
          <w:tcPr>
            <w:tcW w:type="dxa" w:w="2268"/>
            <w:shd w:fill="17365D"/>
            <w:vAlign w:val="center"/>
            <w:tcBorders>
              <w:bottom w:val="single" w:sz="5" w:color="FFFFFF"/>
            </w:tcBorders>
          </w:tcPr>
          <w:p>
            <w:pPr>
              <w:jc w:val="left"/>
            </w:pPr>
            <w:r>
              <w:rPr>
                <w:b/>
                <w:color w:val="FFFFFF"/>
                <w:sz w:val="15"/>
              </w:rPr>
              <w:t>Matériaux</w:t>
            </w:r>
          </w:p>
        </w:tc>
        <w:tc>
          <w:tcPr>
            <w:tcW w:type="dxa" w:w="4195"/>
            <w:shd w:fill="17365D"/>
            <w:vAlign w:val="center"/>
            <w:tcBorders>
              <w:bottom w:val="single" w:sz="5" w:color="FFFFFF"/>
            </w:tcBorders>
          </w:tcPr>
          <w:p>
            <w:pPr>
              <w:jc w:val="left"/>
            </w:pPr>
            <w:r>
              <w:rPr>
                <w:b/>
                <w:color w:val="FFFFFF"/>
                <w:sz w:val="15"/>
              </w:rPr>
              <w:t>Ce que SeaMat sait faire</w:t>
            </w:r>
          </w:p>
        </w:tc>
      </w:tr>
      <w:tr>
        <w:trPr>
          <w:cantSplit/>
        </w:trPr>
        <w:tc>
          <w:tcPr>
            <w:tcW w:type="dxa" w:w="2835"/>
            <w:vAlign w:val="center"/>
            <w:tcBorders>
              <w:bottom w:val="single" w:sz="4" w:color="D8E1EC"/>
            </w:tcBorders>
          </w:tcPr>
          <w:p>
            <w:pPr>
              <w:spacing w:after="30" w:before="30"/>
            </w:pPr>
            <w:r>
              <w:rPr>
                <w:color w:val="182230"/>
                <w:sz w:val="15"/>
              </w:rPr>
              <w:t>Cinétique acceptée et testable</w:t>
            </w:r>
          </w:p>
        </w:tc>
        <w:tc>
          <w:tcPr>
            <w:tcW w:type="dxa" w:w="2268"/>
            <w:vAlign w:val="center"/>
            <w:tcBorders>
              <w:bottom w:val="single" w:sz="4" w:color="D8E1EC"/>
            </w:tcBorders>
          </w:tcPr>
          <w:p>
            <w:pPr>
              <w:spacing w:after="30" w:before="30"/>
            </w:pPr>
            <w:r>
              <w:rPr>
                <w:color w:val="182230"/>
                <w:sz w:val="15"/>
              </w:rPr>
              <w:t>PP, IIR</w:t>
            </w:r>
          </w:p>
        </w:tc>
        <w:tc>
          <w:tcPr>
            <w:tcW w:type="dxa" w:w="4195"/>
            <w:vAlign w:val="center"/>
            <w:tcBorders>
              <w:bottom w:val="single" w:sz="4" w:color="D8E1EC"/>
            </w:tcBorders>
          </w:tcPr>
          <w:p>
            <w:pPr>
              <w:spacing w:after="30" w:before="30"/>
            </w:pPr>
            <w:r>
              <w:rPr>
                <w:color w:val="182230"/>
                <w:sz w:val="15"/>
              </w:rPr>
              <w:t>Routage vers données réelles ; précision propre au cas</w:t>
            </w:r>
          </w:p>
        </w:tc>
      </w:tr>
      <w:tr>
        <w:trPr>
          <w:cantSplit/>
        </w:trPr>
        <w:tc>
          <w:tcPr>
            <w:tcW w:type="dxa" w:w="2835"/>
            <w:shd w:fill="F6F8FB"/>
            <w:vAlign w:val="center"/>
            <w:tcBorders>
              <w:bottom w:val="single" w:sz="4" w:color="D8E1EC"/>
            </w:tcBorders>
          </w:tcPr>
          <w:p>
            <w:pPr>
              <w:spacing w:after="30" w:before="30"/>
            </w:pPr>
            <w:r>
              <w:rPr>
                <w:color w:val="182230"/>
                <w:sz w:val="15"/>
              </w:rPr>
              <w:t>Pilote en revue</w:t>
            </w:r>
          </w:p>
        </w:tc>
        <w:tc>
          <w:tcPr>
            <w:tcW w:type="dxa" w:w="2268"/>
            <w:shd w:fill="F6F8FB"/>
            <w:vAlign w:val="center"/>
            <w:tcBorders>
              <w:bottom w:val="single" w:sz="4" w:color="D8E1EC"/>
            </w:tcBorders>
          </w:tcPr>
          <w:p>
            <w:pPr>
              <w:spacing w:after="30" w:before="30"/>
            </w:pPr>
            <w:r>
              <w:rPr>
                <w:color w:val="182230"/>
                <w:sz w:val="15"/>
              </w:rPr>
              <w:t>Lin/époxy</w:t>
            </w:r>
          </w:p>
        </w:tc>
        <w:tc>
          <w:tcPr>
            <w:tcW w:type="dxa" w:w="4195"/>
            <w:shd w:fill="F6F8FB"/>
            <w:vAlign w:val="center"/>
            <w:tcBorders>
              <w:bottom w:val="single" w:sz="4" w:color="D8E1EC"/>
            </w:tcBorders>
          </w:tcPr>
          <w:p>
            <w:pPr>
              <w:spacing w:after="30" w:before="30"/>
            </w:pPr>
            <w:r>
              <w:rPr>
                <w:color w:val="182230"/>
                <w:sz w:val="15"/>
              </w:rPr>
              <w:t>Transfert interne, sans activation de production</w:t>
            </w:r>
          </w:p>
        </w:tc>
      </w:tr>
      <w:tr>
        <w:trPr>
          <w:cantSplit/>
        </w:trPr>
        <w:tc>
          <w:tcPr>
            <w:tcW w:type="dxa" w:w="2835"/>
            <w:vAlign w:val="center"/>
            <w:tcBorders>
              <w:bottom w:val="single" w:sz="4" w:color="D8E1EC"/>
            </w:tcBorders>
          </w:tcPr>
          <w:p>
            <w:pPr>
              <w:spacing w:after="30" w:before="30"/>
            </w:pPr>
            <w:r>
              <w:rPr>
                <w:color w:val="182230"/>
                <w:sz w:val="15"/>
              </w:rPr>
              <w:t>E₀ fabricant recoupé</w:t>
            </w:r>
          </w:p>
        </w:tc>
        <w:tc>
          <w:tcPr>
            <w:tcW w:type="dxa" w:w="2268"/>
            <w:vAlign w:val="center"/>
            <w:tcBorders>
              <w:bottom w:val="single" w:sz="4" w:color="D8E1EC"/>
            </w:tcBorders>
          </w:tcPr>
          <w:p>
            <w:pPr>
              <w:spacing w:after="30" w:before="30"/>
            </w:pPr>
            <w:r>
              <w:rPr>
                <w:color w:val="182230"/>
                <w:sz w:val="15"/>
              </w:rPr>
              <w:t>19 matériaux, 21 profils</w:t>
            </w:r>
          </w:p>
        </w:tc>
        <w:tc>
          <w:tcPr>
            <w:tcW w:type="dxa" w:w="4195"/>
            <w:vAlign w:val="center"/>
            <w:tcBorders>
              <w:bottom w:val="single" w:sz="4" w:color="D8E1EC"/>
            </w:tcBorders>
          </w:tcPr>
          <w:p>
            <w:pPr>
              <w:spacing w:after="30" w:before="30"/>
            </w:pPr>
            <w:r>
              <w:rPr>
                <w:color w:val="182230"/>
                <w:sz w:val="15"/>
              </w:rPr>
              <w:t>Initialiser E₀ avec grade, norme et conditionnement</w:t>
            </w:r>
          </w:p>
        </w:tc>
      </w:tr>
      <w:tr>
        <w:trPr>
          <w:cantSplit/>
        </w:trPr>
        <w:tc>
          <w:tcPr>
            <w:tcW w:type="dxa" w:w="2835"/>
            <w:shd w:fill="F6F8FB"/>
            <w:vAlign w:val="center"/>
            <w:tcBorders>
              <w:bottom w:val="single" w:sz="4" w:color="D8E1EC"/>
            </w:tcBorders>
          </w:tcPr>
          <w:p>
            <w:pPr>
              <w:spacing w:after="30" w:before="30"/>
            </w:pPr>
            <w:r>
              <w:rPr>
                <w:color w:val="182230"/>
                <w:sz w:val="15"/>
              </w:rPr>
              <w:t>Taxonomie + mécanismes candidats</w:t>
            </w:r>
          </w:p>
        </w:tc>
        <w:tc>
          <w:tcPr>
            <w:tcW w:type="dxa" w:w="2268"/>
            <w:shd w:fill="F6F8FB"/>
            <w:vAlign w:val="center"/>
            <w:tcBorders>
              <w:bottom w:val="single" w:sz="4" w:color="D8E1EC"/>
            </w:tcBorders>
          </w:tcPr>
          <w:p>
            <w:pPr>
              <w:spacing w:after="30" w:before="30"/>
            </w:pPr>
            <w:r>
              <w:rPr>
                <w:color w:val="182230"/>
                <w:sz w:val="15"/>
              </w:rPr>
              <w:t>75 matériaux</w:t>
            </w:r>
          </w:p>
        </w:tc>
        <w:tc>
          <w:tcPr>
            <w:tcW w:type="dxa" w:w="4195"/>
            <w:shd w:fill="F6F8FB"/>
            <w:vAlign w:val="center"/>
            <w:tcBorders>
              <w:bottom w:val="single" w:sz="4" w:color="D8E1EC"/>
            </w:tcBorders>
          </w:tcPr>
          <w:p>
            <w:pPr>
              <w:spacing w:after="30" w:before="30"/>
            </w:pPr>
            <w:r>
              <w:rPr>
                <w:color w:val="182230"/>
                <w:sz w:val="15"/>
              </w:rPr>
              <w:t>Proposer les champs et experts pertinents</w:t>
            </w:r>
          </w:p>
        </w:tc>
      </w:tr>
      <w:tr>
        <w:trPr>
          <w:cantSplit/>
        </w:trPr>
        <w:tc>
          <w:tcPr>
            <w:tcW w:type="dxa" w:w="2835"/>
            <w:vAlign w:val="center"/>
            <w:tcBorders>
              <w:bottom w:val="single" w:sz="4" w:color="D8E1EC"/>
            </w:tcBorders>
          </w:tcPr>
          <w:p>
            <w:pPr>
              <w:spacing w:after="30" w:before="30"/>
            </w:pPr>
            <w:r>
              <w:rPr>
                <w:color w:val="182230"/>
                <w:sz w:val="15"/>
              </w:rPr>
              <w:t>Qualification externe 95/95</w:t>
            </w:r>
          </w:p>
        </w:tc>
        <w:tc>
          <w:tcPr>
            <w:tcW w:type="dxa" w:w="2268"/>
            <w:vAlign w:val="center"/>
            <w:tcBorders>
              <w:bottom w:val="single" w:sz="4" w:color="D8E1EC"/>
            </w:tcBorders>
          </w:tcPr>
          <w:p>
            <w:pPr>
              <w:spacing w:after="30" w:before="30"/>
            </w:pPr>
            <w:r>
              <w:rPr>
                <w:color w:val="182230"/>
                <w:sz w:val="15"/>
              </w:rPr>
              <w:t>Aucun domaine à ce jour</w:t>
            </w:r>
          </w:p>
        </w:tc>
        <w:tc>
          <w:tcPr>
            <w:tcW w:type="dxa" w:w="4195"/>
            <w:vAlign w:val="center"/>
            <w:tcBorders>
              <w:bottom w:val="single" w:sz="4" w:color="D8E1EC"/>
            </w:tcBorders>
          </w:tcPr>
          <w:p>
            <w:pPr>
              <w:spacing w:after="30" w:before="30"/>
            </w:pPr>
            <w:r>
              <w:rPr>
                <w:color w:val="182230"/>
                <w:sz w:val="15"/>
              </w:rPr>
              <w:t>Protocole disponible, preuve à constituer</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E28A32"/>
            <w:tcBorders>
              <w:top w:val="nil"/>
              <w:left w:val="nil"/>
              <w:bottom w:val="nil"/>
              <w:right w:val="nil"/>
            </w:tcBorders>
          </w:tcPr>
          <w:p/>
        </w:tc>
        <w:tc>
          <w:tcPr>
            <w:tcW w:type="dxa" w:w="4933"/>
            <w:shd w:fill="FFF4E6"/>
            <w:tcBorders>
              <w:top w:val="nil"/>
              <w:left w:val="nil"/>
              <w:bottom w:val="nil"/>
              <w:right w:val="nil"/>
            </w:tcBorders>
          </w:tcPr>
          <w:p>
            <w:pPr>
              <w:spacing w:after="40"/>
            </w:pPr>
            <w:r>
              <w:rPr>
                <w:b/>
                <w:color w:val="E28A32"/>
              </w:rPr>
              <w:t xml:space="preserve">Interprétation  </w:t>
            </w:r>
            <w:r>
              <w:t>« Fonctionne pour 75 matériaux » signifie que le même contrat, les contrôles et les modèles par mécanismes sont disponibles. Cela ne signifie pas que 75 cinétiques ont été apprises ou validées.</w:t>
            </w:r>
          </w:p>
        </w:tc>
      </w:tr>
    </w:tbl>
    <w:p>
      <w:pPr>
        <w:pStyle w:val="Heading2"/>
        <w:keepNext/>
      </w:pPr>
      <w:r>
        <w:t>8.3 Conditions de généralisation par famille</w:t>
      </w:r>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757"/>
            <w:shd w:fill="17365D"/>
            <w:vAlign w:val="center"/>
            <w:tcBorders>
              <w:bottom w:val="single" w:sz="5" w:color="FFFFFF"/>
            </w:tcBorders>
          </w:tcPr>
          <w:p>
            <w:pPr>
              <w:jc w:val="left"/>
            </w:pPr>
            <w:r>
              <w:rPr>
                <w:b/>
                <w:color w:val="FFFFFF"/>
                <w:sz w:val="13"/>
              </w:rPr>
              <w:t>Famille</w:t>
            </w:r>
          </w:p>
        </w:tc>
        <w:tc>
          <w:tcPr>
            <w:tcW w:type="dxa" w:w="2381"/>
            <w:shd w:fill="17365D"/>
            <w:vAlign w:val="center"/>
            <w:tcBorders>
              <w:bottom w:val="single" w:sz="5" w:color="FFFFFF"/>
            </w:tcBorders>
          </w:tcPr>
          <w:p>
            <w:pPr>
              <w:jc w:val="left"/>
            </w:pPr>
            <w:r>
              <w:rPr>
                <w:b/>
                <w:color w:val="FFFFFF"/>
                <w:sz w:val="13"/>
              </w:rPr>
              <w:t>Entrées déterminantes</w:t>
            </w:r>
          </w:p>
        </w:tc>
        <w:tc>
          <w:tcPr>
            <w:tcW w:type="dxa" w:w="3231"/>
            <w:shd w:fill="17365D"/>
            <w:vAlign w:val="center"/>
            <w:tcBorders>
              <w:bottom w:val="single" w:sz="5" w:color="FFFFFF"/>
            </w:tcBorders>
          </w:tcPr>
          <w:p>
            <w:pPr>
              <w:jc w:val="left"/>
            </w:pPr>
            <w:r>
              <w:rPr>
                <w:b/>
                <w:color w:val="FFFFFF"/>
                <w:sz w:val="13"/>
              </w:rPr>
              <w:t>Données nécessaires pour mesurer la précision</w:t>
            </w:r>
          </w:p>
        </w:tc>
        <w:tc>
          <w:tcPr>
            <w:tcW w:type="dxa" w:w="1928"/>
            <w:shd w:fill="17365D"/>
            <w:vAlign w:val="center"/>
            <w:tcBorders>
              <w:bottom w:val="single" w:sz="5" w:color="FFFFFF"/>
            </w:tcBorders>
          </w:tcPr>
          <w:p>
            <w:pPr>
              <w:jc w:val="left"/>
            </w:pPr>
            <w:r>
              <w:rPr>
                <w:b/>
                <w:color w:val="FFFFFF"/>
                <w:sz w:val="13"/>
              </w:rPr>
              <w:t>Échec typique</w:t>
            </w:r>
          </w:p>
        </w:tc>
      </w:tr>
      <w:tr>
        <w:trPr>
          <w:cantSplit/>
        </w:trPr>
        <w:tc>
          <w:tcPr>
            <w:tcW w:type="dxa" w:w="1757"/>
            <w:vAlign w:val="center"/>
            <w:tcBorders>
              <w:bottom w:val="single" w:sz="4" w:color="D8E1EC"/>
            </w:tcBorders>
          </w:tcPr>
          <w:p>
            <w:pPr>
              <w:spacing w:after="30" w:before="30"/>
            </w:pPr>
            <w:r>
              <w:rPr>
                <w:color w:val="182230"/>
                <w:sz w:val="13"/>
              </w:rPr>
              <w:t>Polyoléfines / UV</w:t>
            </w:r>
          </w:p>
        </w:tc>
        <w:tc>
          <w:tcPr>
            <w:tcW w:type="dxa" w:w="2381"/>
            <w:vAlign w:val="center"/>
            <w:tcBorders>
              <w:bottom w:val="single" w:sz="4" w:color="D8E1EC"/>
            </w:tcBorders>
          </w:tcPr>
          <w:p>
            <w:pPr>
              <w:spacing w:after="30" w:before="30"/>
            </w:pPr>
            <w:r>
              <w:rPr>
                <w:color w:val="182230"/>
                <w:sz w:val="13"/>
              </w:rPr>
              <w:t>grade, antioxydants, UV, T, épaisseur</w:t>
            </w:r>
          </w:p>
        </w:tc>
        <w:tc>
          <w:tcPr>
            <w:tcW w:type="dxa" w:w="3231"/>
            <w:vAlign w:val="center"/>
            <w:tcBorders>
              <w:bottom w:val="single" w:sz="4" w:color="D8E1EC"/>
            </w:tcBorders>
          </w:tcPr>
          <w:p>
            <w:pPr>
              <w:spacing w:after="30" w:before="30"/>
            </w:pPr>
            <w:r>
              <w:rPr>
                <w:color w:val="182230"/>
                <w:sz w:val="13"/>
              </w:rPr>
              <w:t>Plusieurs grades et climats, dose spectrale</w:t>
            </w:r>
          </w:p>
        </w:tc>
        <w:tc>
          <w:tcPr>
            <w:tcW w:type="dxa" w:w="1928"/>
            <w:vAlign w:val="center"/>
            <w:tcBorders>
              <w:bottom w:val="single" w:sz="4" w:color="D8E1EC"/>
            </w:tcBorders>
          </w:tcPr>
          <w:p>
            <w:pPr>
              <w:spacing w:after="30" w:before="30"/>
            </w:pPr>
            <w:r>
              <w:rPr>
                <w:color w:val="182230"/>
                <w:sz w:val="13"/>
              </w:rPr>
              <w:t>Dose UV cumulée supposée réciproque</w:t>
            </w:r>
          </w:p>
        </w:tc>
      </w:tr>
      <w:tr>
        <w:trPr>
          <w:cantSplit/>
        </w:trPr>
        <w:tc>
          <w:tcPr>
            <w:tcW w:type="dxa" w:w="1757"/>
            <w:shd w:fill="F6F8FB"/>
            <w:vAlign w:val="center"/>
            <w:tcBorders>
              <w:bottom w:val="single" w:sz="4" w:color="D8E1EC"/>
            </w:tcBorders>
          </w:tcPr>
          <w:p>
            <w:pPr>
              <w:spacing w:after="30" w:before="30"/>
            </w:pPr>
            <w:r>
              <w:rPr>
                <w:color w:val="182230"/>
                <w:sz w:val="13"/>
              </w:rPr>
              <w:t>Polyamides / eau</w:t>
            </w:r>
          </w:p>
        </w:tc>
        <w:tc>
          <w:tcPr>
            <w:tcW w:type="dxa" w:w="2381"/>
            <w:shd w:fill="F6F8FB"/>
            <w:vAlign w:val="center"/>
            <w:tcBorders>
              <w:bottom w:val="single" w:sz="4" w:color="D8E1EC"/>
            </w:tcBorders>
          </w:tcPr>
          <w:p>
            <w:pPr>
              <w:spacing w:after="30" w:before="30"/>
            </w:pPr>
            <w:r>
              <w:rPr>
                <w:color w:val="182230"/>
                <w:sz w:val="13"/>
              </w:rPr>
              <w:t>HR/liquide, D, e, T, cristallinité</w:t>
            </w:r>
          </w:p>
        </w:tc>
        <w:tc>
          <w:tcPr>
            <w:tcW w:type="dxa" w:w="3231"/>
            <w:shd w:fill="F6F8FB"/>
            <w:vAlign w:val="center"/>
            <w:tcBorders>
              <w:bottom w:val="single" w:sz="4" w:color="D8E1EC"/>
            </w:tcBorders>
          </w:tcPr>
          <w:p>
            <w:pPr>
              <w:spacing w:after="30" w:before="30"/>
            </w:pPr>
            <w:r>
              <w:rPr>
                <w:color w:val="182230"/>
                <w:sz w:val="13"/>
              </w:rPr>
              <w:t>Sorption + E(t), plusieurs épaisseurs et T</w:t>
            </w:r>
          </w:p>
        </w:tc>
        <w:tc>
          <w:tcPr>
            <w:tcW w:type="dxa" w:w="1928"/>
            <w:shd w:fill="F6F8FB"/>
            <w:vAlign w:val="center"/>
            <w:tcBorders>
              <w:bottom w:val="single" w:sz="4" w:color="D8E1EC"/>
            </w:tcBorders>
          </w:tcPr>
          <w:p>
            <w:pPr>
              <w:spacing w:after="30" w:before="30"/>
            </w:pPr>
            <w:r>
              <w:rPr>
                <w:color w:val="182230"/>
                <w:sz w:val="13"/>
              </w:rPr>
              <w:t>Confondre plastification réversible et hydrolyse</w:t>
            </w:r>
          </w:p>
        </w:tc>
      </w:tr>
      <w:tr>
        <w:trPr>
          <w:cantSplit/>
        </w:trPr>
        <w:tc>
          <w:tcPr>
            <w:tcW w:type="dxa" w:w="1757"/>
            <w:vAlign w:val="center"/>
            <w:tcBorders>
              <w:bottom w:val="single" w:sz="4" w:color="D8E1EC"/>
            </w:tcBorders>
          </w:tcPr>
          <w:p>
            <w:pPr>
              <w:spacing w:after="30" w:before="30"/>
            </w:pPr>
            <w:r>
              <w:rPr>
                <w:color w:val="182230"/>
                <w:sz w:val="13"/>
              </w:rPr>
              <w:t>Polyesters hydrolysables</w:t>
            </w:r>
          </w:p>
        </w:tc>
        <w:tc>
          <w:tcPr>
            <w:tcW w:type="dxa" w:w="2381"/>
            <w:vAlign w:val="center"/>
            <w:tcBorders>
              <w:bottom w:val="single" w:sz="4" w:color="D8E1EC"/>
            </w:tcBorders>
          </w:tcPr>
          <w:p>
            <w:pPr>
              <w:spacing w:after="30" w:before="30"/>
            </w:pPr>
            <w:r>
              <w:rPr>
                <w:color w:val="182230"/>
                <w:sz w:val="13"/>
              </w:rPr>
              <w:t>eau, pH, T, masse molaire</w:t>
            </w:r>
          </w:p>
        </w:tc>
        <w:tc>
          <w:tcPr>
            <w:tcW w:type="dxa" w:w="3231"/>
            <w:vAlign w:val="center"/>
            <w:tcBorders>
              <w:bottom w:val="single" w:sz="4" w:color="D8E1EC"/>
            </w:tcBorders>
          </w:tcPr>
          <w:p>
            <w:pPr>
              <w:spacing w:after="30" w:before="30"/>
            </w:pPr>
            <w:r>
              <w:rPr>
                <w:color w:val="182230"/>
                <w:sz w:val="13"/>
              </w:rPr>
              <w:t>Chimie + mécanique sur grades identifiés</w:t>
            </w:r>
          </w:p>
        </w:tc>
        <w:tc>
          <w:tcPr>
            <w:tcW w:type="dxa" w:w="1928"/>
            <w:vAlign w:val="center"/>
            <w:tcBorders>
              <w:bottom w:val="single" w:sz="4" w:color="D8E1EC"/>
            </w:tcBorders>
          </w:tcPr>
          <w:p>
            <w:pPr>
              <w:spacing w:after="30" w:before="30"/>
            </w:pPr>
            <w:r>
              <w:rPr>
                <w:color w:val="182230"/>
                <w:sz w:val="13"/>
              </w:rPr>
              <w:t>Transfert d'un pH ou catalyseur à un autre</w:t>
            </w:r>
          </w:p>
        </w:tc>
      </w:tr>
      <w:tr>
        <w:trPr>
          <w:cantSplit/>
        </w:trPr>
        <w:tc>
          <w:tcPr>
            <w:tcW w:type="dxa" w:w="1757"/>
            <w:shd w:fill="F6F8FB"/>
            <w:vAlign w:val="center"/>
            <w:tcBorders>
              <w:bottom w:val="single" w:sz="4" w:color="D8E1EC"/>
            </w:tcBorders>
          </w:tcPr>
          <w:p>
            <w:pPr>
              <w:spacing w:after="30" w:before="30"/>
            </w:pPr>
            <w:r>
              <w:rPr>
                <w:color w:val="182230"/>
                <w:sz w:val="13"/>
              </w:rPr>
              <w:t>Thermodurcissables</w:t>
            </w:r>
          </w:p>
        </w:tc>
        <w:tc>
          <w:tcPr>
            <w:tcW w:type="dxa" w:w="2381"/>
            <w:shd w:fill="F6F8FB"/>
            <w:vAlign w:val="center"/>
            <w:tcBorders>
              <w:bottom w:val="single" w:sz="4" w:color="D8E1EC"/>
            </w:tcBorders>
          </w:tcPr>
          <w:p>
            <w:pPr>
              <w:spacing w:after="30" w:before="30"/>
            </w:pPr>
            <w:r>
              <w:rPr>
                <w:color w:val="182230"/>
                <w:sz w:val="13"/>
              </w:rPr>
              <w:t>cure, Tg, réseau, humidité</w:t>
            </w:r>
          </w:p>
        </w:tc>
        <w:tc>
          <w:tcPr>
            <w:tcW w:type="dxa" w:w="3231"/>
            <w:shd w:fill="F6F8FB"/>
            <w:vAlign w:val="center"/>
            <w:tcBorders>
              <w:bottom w:val="single" w:sz="4" w:color="D8E1EC"/>
            </w:tcBorders>
          </w:tcPr>
          <w:p>
            <w:pPr>
              <w:spacing w:after="30" w:before="30"/>
            </w:pPr>
            <w:r>
              <w:rPr>
                <w:color w:val="182230"/>
                <w:sz w:val="13"/>
              </w:rPr>
              <w:t>Lots/cures et propriétés de réseau</w:t>
            </w:r>
          </w:p>
        </w:tc>
        <w:tc>
          <w:tcPr>
            <w:tcW w:type="dxa" w:w="1928"/>
            <w:shd w:fill="F6F8FB"/>
            <w:vAlign w:val="center"/>
            <w:tcBorders>
              <w:bottom w:val="single" w:sz="4" w:color="D8E1EC"/>
            </w:tcBorders>
          </w:tcPr>
          <w:p>
            <w:pPr>
              <w:spacing w:after="30" w:before="30"/>
            </w:pPr>
            <w:r>
              <w:rPr>
                <w:color w:val="182230"/>
                <w:sz w:val="13"/>
              </w:rPr>
              <w:t>Post-réticulation prise pour absence de dommage</w:t>
            </w:r>
          </w:p>
        </w:tc>
      </w:tr>
      <w:tr>
        <w:trPr>
          <w:cantSplit/>
        </w:trPr>
        <w:tc>
          <w:tcPr>
            <w:tcW w:type="dxa" w:w="1757"/>
            <w:vAlign w:val="center"/>
            <w:tcBorders>
              <w:bottom w:val="single" w:sz="4" w:color="D8E1EC"/>
            </w:tcBorders>
          </w:tcPr>
          <w:p>
            <w:pPr>
              <w:spacing w:after="30" w:before="30"/>
            </w:pPr>
            <w:r>
              <w:rPr>
                <w:color w:val="182230"/>
                <w:sz w:val="13"/>
              </w:rPr>
              <w:t>Élastomères</w:t>
            </w:r>
          </w:p>
        </w:tc>
        <w:tc>
          <w:tcPr>
            <w:tcW w:type="dxa" w:w="2381"/>
            <w:vAlign w:val="center"/>
            <w:tcBorders>
              <w:bottom w:val="single" w:sz="4" w:color="D8E1EC"/>
            </w:tcBorders>
          </w:tcPr>
          <w:p>
            <w:pPr>
              <w:spacing w:after="30" w:before="30"/>
            </w:pPr>
            <w:r>
              <w:rPr>
                <w:color w:val="182230"/>
                <w:sz w:val="13"/>
              </w:rPr>
              <w:t>réticulation, charge, fluide, gonflement</w:t>
            </w:r>
          </w:p>
        </w:tc>
        <w:tc>
          <w:tcPr>
            <w:tcW w:type="dxa" w:w="3231"/>
            <w:vAlign w:val="center"/>
            <w:tcBorders>
              <w:bottom w:val="single" w:sz="4" w:color="D8E1EC"/>
            </w:tcBorders>
          </w:tcPr>
          <w:p>
            <w:pPr>
              <w:spacing w:after="30" w:before="30"/>
            </w:pPr>
            <w:r>
              <w:rPr>
                <w:color w:val="182230"/>
                <w:sz w:val="13"/>
              </w:rPr>
              <w:t>Plusieurs liquides, T et indicateurs mécaniques</w:t>
            </w:r>
          </w:p>
        </w:tc>
        <w:tc>
          <w:tcPr>
            <w:tcW w:type="dxa" w:w="1928"/>
            <w:vAlign w:val="center"/>
            <w:tcBorders>
              <w:bottom w:val="single" w:sz="4" w:color="D8E1EC"/>
            </w:tcBorders>
          </w:tcPr>
          <w:p>
            <w:pPr>
              <w:spacing w:after="30" w:before="30"/>
            </w:pPr>
            <w:r>
              <w:rPr>
                <w:color w:val="182230"/>
                <w:sz w:val="13"/>
              </w:rPr>
              <w:t>Module seul masque la rupture ou compression set</w:t>
            </w:r>
          </w:p>
        </w:tc>
      </w:tr>
      <w:tr>
        <w:trPr>
          <w:cantSplit/>
        </w:trPr>
        <w:tc>
          <w:tcPr>
            <w:tcW w:type="dxa" w:w="1757"/>
            <w:shd w:fill="F6F8FB"/>
            <w:vAlign w:val="center"/>
            <w:tcBorders>
              <w:bottom w:val="single" w:sz="4" w:color="D8E1EC"/>
            </w:tcBorders>
          </w:tcPr>
          <w:p>
            <w:pPr>
              <w:spacing w:after="30" w:before="30"/>
            </w:pPr>
            <w:r>
              <w:rPr>
                <w:color w:val="182230"/>
                <w:sz w:val="13"/>
              </w:rPr>
              <w:t>Composites</w:t>
            </w:r>
          </w:p>
        </w:tc>
        <w:tc>
          <w:tcPr>
            <w:tcW w:type="dxa" w:w="2381"/>
            <w:shd w:fill="F6F8FB"/>
            <w:vAlign w:val="center"/>
            <w:tcBorders>
              <w:bottom w:val="single" w:sz="4" w:color="D8E1EC"/>
            </w:tcBorders>
          </w:tcPr>
          <w:p>
            <w:pPr>
              <w:spacing w:after="30" w:before="30"/>
            </w:pPr>
            <w:r>
              <w:rPr>
                <w:color w:val="182230"/>
                <w:sz w:val="13"/>
              </w:rPr>
              <w:t>matrice, fibres, orientation, interface, porosité</w:t>
            </w:r>
          </w:p>
        </w:tc>
        <w:tc>
          <w:tcPr>
            <w:tcW w:type="dxa" w:w="3231"/>
            <w:shd w:fill="F6F8FB"/>
            <w:vAlign w:val="center"/>
            <w:tcBorders>
              <w:bottom w:val="single" w:sz="4" w:color="D8E1EC"/>
            </w:tcBorders>
          </w:tcPr>
          <w:p>
            <w:pPr>
              <w:spacing w:after="30" w:before="30"/>
            </w:pPr>
            <w:r>
              <w:rPr>
                <w:color w:val="182230"/>
                <w:sz w:val="13"/>
              </w:rPr>
              <w:t>Séries directionnelles, absorption et endommagement</w:t>
            </w:r>
          </w:p>
        </w:tc>
        <w:tc>
          <w:tcPr>
            <w:tcW w:type="dxa" w:w="1928"/>
            <w:shd w:fill="F6F8FB"/>
            <w:vAlign w:val="center"/>
            <w:tcBorders>
              <w:bottom w:val="single" w:sz="4" w:color="D8E1EC"/>
            </w:tcBorders>
          </w:tcPr>
          <w:p>
            <w:pPr>
              <w:spacing w:after="30" w:before="30"/>
            </w:pPr>
            <w:r>
              <w:rPr>
                <w:color w:val="182230"/>
                <w:sz w:val="13"/>
              </w:rPr>
              <w:t>Transfert de la matrice au composite</w:t>
            </w:r>
          </w:p>
        </w:tc>
      </w:tr>
      <w:tr>
        <w:trPr>
          <w:cantSplit/>
        </w:trPr>
        <w:tc>
          <w:tcPr>
            <w:tcW w:type="dxa" w:w="1757"/>
            <w:vAlign w:val="center"/>
            <w:tcBorders>
              <w:bottom w:val="single" w:sz="4" w:color="D8E1EC"/>
            </w:tcBorders>
          </w:tcPr>
          <w:p>
            <w:pPr>
              <w:spacing w:after="30" w:before="30"/>
            </w:pPr>
            <w:r>
              <w:rPr>
                <w:color w:val="182230"/>
                <w:sz w:val="13"/>
              </w:rPr>
              <w:t>Haute performance</w:t>
            </w:r>
          </w:p>
        </w:tc>
        <w:tc>
          <w:tcPr>
            <w:tcW w:type="dxa" w:w="2381"/>
            <w:vAlign w:val="center"/>
            <w:tcBorders>
              <w:bottom w:val="single" w:sz="4" w:color="D8E1EC"/>
            </w:tcBorders>
          </w:tcPr>
          <w:p>
            <w:pPr>
              <w:spacing w:after="30" w:before="30"/>
            </w:pPr>
            <w:r>
              <w:rPr>
                <w:color w:val="182230"/>
                <w:sz w:val="13"/>
              </w:rPr>
              <w:t>Tg/Tm, oxygène, irradiation</w:t>
            </w:r>
          </w:p>
        </w:tc>
        <w:tc>
          <w:tcPr>
            <w:tcW w:type="dxa" w:w="3231"/>
            <w:vAlign w:val="center"/>
            <w:tcBorders>
              <w:bottom w:val="single" w:sz="4" w:color="D8E1EC"/>
            </w:tcBorders>
          </w:tcPr>
          <w:p>
            <w:pPr>
              <w:spacing w:after="30" w:before="30"/>
            </w:pPr>
            <w:r>
              <w:rPr>
                <w:color w:val="182230"/>
                <w:sz w:val="13"/>
              </w:rPr>
              <w:t>Longues durées et températures sous transitions</w:t>
            </w:r>
          </w:p>
        </w:tc>
        <w:tc>
          <w:tcPr>
            <w:tcW w:type="dxa" w:w="1928"/>
            <w:vAlign w:val="center"/>
            <w:tcBorders>
              <w:bottom w:val="single" w:sz="4" w:color="D8E1EC"/>
            </w:tcBorders>
          </w:tcPr>
          <w:p>
            <w:pPr>
              <w:spacing w:after="30" w:before="30"/>
            </w:pPr>
            <w:r>
              <w:rPr>
                <w:color w:val="182230"/>
                <w:sz w:val="13"/>
              </w:rPr>
              <w:t>Extrapolation accélérée changeant de régime</w:t>
            </w:r>
          </w:p>
        </w:tc>
      </w:tr>
    </w:tbl>
    <w:p>
      <w:pPr>
        <w:spacing w:after="0"/>
      </w:pPr>
    </w:p>
    <w:p>
      <w:pPr>
        <w:pStyle w:val="Heading2"/>
        <w:keepNext/>
      </w:pPr>
      <w:r>
        <w:t>8.4 Ce que produit SeaMat pour n'importe quel ajout</w:t>
      </w:r>
    </w:p>
    <w:p>
      <w:pPr>
        <w:pStyle w:val="ListBullet"/>
        <w:spacing w:after="60"/>
        <w:ind w:left="255" w:hanging="113"/>
      </w:pPr>
      <w:r>
        <w:t>Une courbe calculable si E₀ et un horizon sont présents, avec le statut correspondant à la preuve.</w:t>
      </w:r>
    </w:p>
    <w:p>
      <w:pPr>
        <w:pStyle w:val="ListBullet"/>
        <w:spacing w:after="60"/>
        <w:ind w:left="255" w:hanging="113"/>
      </w:pPr>
      <w:r>
        <w:t>Une précision chiffrée seulement si des prédictions masquées compatibles existent.</w:t>
      </w:r>
    </w:p>
    <w:p>
      <w:pPr>
        <w:pStyle w:val="ListBullet"/>
        <w:spacing w:after="60"/>
        <w:ind w:left="255" w:hanging="113"/>
      </w:pPr>
      <w:r>
        <w:t>Une bande de scénarios si des bornes de coefficients sont fournies ; elle n'est pas probabiliste par défaut.</w:t>
      </w:r>
    </w:p>
    <w:p>
      <w:pPr>
        <w:pStyle w:val="ListBullet"/>
        <w:spacing w:after="60"/>
        <w:ind w:left="255" w:hanging="113"/>
      </w:pPr>
      <w:r>
        <w:t>Un refus de durée de vie lorsque le seuil est hors fenêtre, que l'analogue est trop éloigné ou que la validation échoue.</w:t>
      </w:r>
    </w:p>
    <w:p>
      <w:pPr>
        <w:pStyle w:val="ListBullet"/>
        <w:spacing w:after="60"/>
        <w:ind w:left="255" w:hanging="113"/>
      </w:pPr>
      <w:r>
        <w:t>La liste des informations prioritaires à compléter afin d'améliorer la précision du cas individuel.</w:t>
      </w:r>
    </w:p>
    <w:p>
      <w:pPr>
        <w:pStyle w:val="Heading1"/>
        <w:keepNext/>
        <w:pageBreakBefore/>
      </w:pPr>
      <w:r>
        <w:t>9. Interprétabilité et cohérence physique</w:t>
      </w:r>
    </w:p>
    <w:p>
      <w:pPr>
        <w:pStyle w:val="Heading2"/>
        <w:keepNext/>
      </w:pPr>
      <w:r>
        <w:t>9.1 SHAP : usage prévu et limite actuelle</w:t>
      </w:r>
    </w:p>
    <w:p>
      <w:r>
        <w:rPr>
          <w:i w:val="0"/>
        </w:rPr>
        <w:t>SHAP attribue à chaque variable une contribution locale à la prédiction d'un modèle [7]. SeaMat l'active pour un corpus tabulaire comportant suffisamment d'expériences indépendantes et compare ses conclusions à une importance par permutation. Les corpus PP et IIR actuels ne permettent pas une interprétation globale robuste : l'humidité et l'épaisseur sont constantes ou absentes, et seules quelques courbes indépendantes existent. Un graphique SHAP sur ces données donnerait une précision visuelle sans base statistique.</w:t>
      </w:r>
    </w:p>
    <w:tbl>
      <w:tblPr>
        <w:tblW w:type="auto" w:w="0"/>
        <w:tblLayout w:type="fixed"/>
        <w:tblLook w:firstColumn="1" w:firstRow="1" w:lastColumn="0" w:lastRow="0" w:noHBand="0" w:noVBand="1" w:val="04A0"/>
      </w:tblPr>
      <w:tblGrid>
        <w:gridCol w:w="102"/>
        <w:gridCol w:w="9298"/>
      </w:tblGrid>
      <w:tr>
        <w:tc>
          <w:tcPr>
            <w:tcW w:type="dxa" w:w="4933"/>
            <w:shd w:fill="2864C7"/>
            <w:tcBorders>
              <w:top w:val="nil"/>
              <w:left w:val="nil"/>
              <w:bottom w:val="nil"/>
              <w:right w:val="nil"/>
            </w:tcBorders>
          </w:tcPr>
          <w:p/>
        </w:tc>
        <w:tc>
          <w:tcPr>
            <w:tcW w:type="dxa" w:w="4933"/>
            <w:shd w:fill="EEF4FB"/>
            <w:tcBorders>
              <w:top w:val="nil"/>
              <w:left w:val="nil"/>
              <w:bottom w:val="nil"/>
              <w:right w:val="nil"/>
            </w:tcBorders>
          </w:tcPr>
          <w:p>
            <w:pPr>
              <w:spacing w:after="40"/>
            </w:pPr>
            <w:r>
              <w:rPr>
                <w:b/>
                <w:color w:val="2864C7"/>
              </w:rPr>
              <w:t xml:space="preserve">Choix retenu  </w:t>
            </w:r>
            <w:r>
              <w:t>L'interprétation de production repose actuellement sur la route choisie, les équations, le domaine et des perturbations contrôlées. SHAP reste disponible pour un futur corpus multi-expériences, mais aucun résultat n'est inventé.</w:t>
            </w:r>
          </w:p>
        </w:tc>
      </w:tr>
    </w:tbl>
    <w:p>
      <w:pPr>
        <w:pStyle w:val="Heading2"/>
        <w:keepNext/>
      </w:pPr>
      <w:r>
        <w:t>9.2 Protocole SHAP prévu</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531"/>
            <w:shd w:fill="17365D"/>
            <w:vAlign w:val="center"/>
            <w:tcBorders>
              <w:bottom w:val="single" w:sz="5" w:color="FFFFFF"/>
            </w:tcBorders>
          </w:tcPr>
          <w:p>
            <w:pPr>
              <w:jc w:val="left"/>
            </w:pPr>
            <w:r>
              <w:rPr>
                <w:b/>
                <w:color w:val="FFFFFF"/>
                <w:sz w:val="14"/>
              </w:rPr>
              <w:t>Étape</w:t>
            </w:r>
          </w:p>
        </w:tc>
        <w:tc>
          <w:tcPr>
            <w:tcW w:type="dxa" w:w="3969"/>
            <w:shd w:fill="17365D"/>
            <w:vAlign w:val="center"/>
            <w:tcBorders>
              <w:bottom w:val="single" w:sz="5" w:color="FFFFFF"/>
            </w:tcBorders>
          </w:tcPr>
          <w:p>
            <w:pPr>
              <w:jc w:val="left"/>
            </w:pPr>
            <w:r>
              <w:rPr>
                <w:b/>
                <w:color w:val="FFFFFF"/>
                <w:sz w:val="14"/>
              </w:rPr>
              <w:t>Méthode</w:t>
            </w:r>
          </w:p>
        </w:tc>
        <w:tc>
          <w:tcPr>
            <w:tcW w:type="dxa" w:w="3798"/>
            <w:shd w:fill="17365D"/>
            <w:vAlign w:val="center"/>
            <w:tcBorders>
              <w:bottom w:val="single" w:sz="5" w:color="FFFFFF"/>
            </w:tcBorders>
          </w:tcPr>
          <w:p>
            <w:pPr>
              <w:jc w:val="left"/>
            </w:pPr>
            <w:r>
              <w:rPr>
                <w:b/>
                <w:color w:val="FFFFFF"/>
                <w:sz w:val="14"/>
              </w:rPr>
              <w:t>Critère de cohérence</w:t>
            </w:r>
          </w:p>
        </w:tc>
      </w:tr>
      <w:tr>
        <w:trPr>
          <w:cantSplit/>
        </w:trPr>
        <w:tc>
          <w:tcPr>
            <w:tcW w:type="dxa" w:w="1531"/>
            <w:vAlign w:val="center"/>
            <w:tcBorders>
              <w:bottom w:val="single" w:sz="4" w:color="D8E1EC"/>
            </w:tcBorders>
          </w:tcPr>
          <w:p>
            <w:pPr>
              <w:spacing w:after="30" w:before="30"/>
            </w:pPr>
            <w:r>
              <w:rPr>
                <w:color w:val="182230"/>
                <w:sz w:val="14"/>
              </w:rPr>
              <w:t>Modèle</w:t>
            </w:r>
          </w:p>
        </w:tc>
        <w:tc>
          <w:tcPr>
            <w:tcW w:type="dxa" w:w="3969"/>
            <w:vAlign w:val="center"/>
            <w:tcBorders>
              <w:bottom w:val="single" w:sz="4" w:color="D8E1EC"/>
            </w:tcBorders>
          </w:tcPr>
          <w:p>
            <w:pPr>
              <w:spacing w:after="30" w:before="30"/>
            </w:pPr>
            <w:r>
              <w:rPr>
                <w:color w:val="182230"/>
                <w:sz w:val="14"/>
              </w:rPr>
              <w:t>Meilleur modèle tabulaire validé hors groupe</w:t>
            </w:r>
          </w:p>
        </w:tc>
        <w:tc>
          <w:tcPr>
            <w:tcW w:type="dxa" w:w="3798"/>
            <w:vAlign w:val="center"/>
            <w:tcBorders>
              <w:bottom w:val="single" w:sz="4" w:color="D8E1EC"/>
            </w:tcBorders>
          </w:tcPr>
          <w:p>
            <w:pPr>
              <w:spacing w:after="30" w:before="30"/>
            </w:pPr>
            <w:r>
              <w:rPr>
                <w:color w:val="182230"/>
                <w:sz w:val="14"/>
              </w:rPr>
              <w:t>Gain face à Ridge et médiane analogue</w:t>
            </w:r>
          </w:p>
        </w:tc>
      </w:tr>
      <w:tr>
        <w:trPr>
          <w:cantSplit/>
        </w:trPr>
        <w:tc>
          <w:tcPr>
            <w:tcW w:type="dxa" w:w="1531"/>
            <w:shd w:fill="F6F8FB"/>
            <w:vAlign w:val="center"/>
            <w:tcBorders>
              <w:bottom w:val="single" w:sz="4" w:color="D8E1EC"/>
            </w:tcBorders>
          </w:tcPr>
          <w:p>
            <w:pPr>
              <w:spacing w:after="30" w:before="30"/>
            </w:pPr>
            <w:r>
              <w:rPr>
                <w:color w:val="182230"/>
                <w:sz w:val="14"/>
              </w:rPr>
              <w:t>Référence</w:t>
            </w:r>
          </w:p>
        </w:tc>
        <w:tc>
          <w:tcPr>
            <w:tcW w:type="dxa" w:w="3969"/>
            <w:shd w:fill="F6F8FB"/>
            <w:vAlign w:val="center"/>
            <w:tcBorders>
              <w:bottom w:val="single" w:sz="4" w:color="D8E1EC"/>
            </w:tcBorders>
          </w:tcPr>
          <w:p>
            <w:pPr>
              <w:spacing w:after="30" w:before="30"/>
            </w:pPr>
            <w:r>
              <w:rPr>
                <w:color w:val="182230"/>
                <w:sz w:val="14"/>
              </w:rPr>
              <w:t>Jeu de fond issu du pli d'apprentissage</w:t>
            </w:r>
          </w:p>
        </w:tc>
        <w:tc>
          <w:tcPr>
            <w:tcW w:type="dxa" w:w="3798"/>
            <w:shd w:fill="F6F8FB"/>
            <w:vAlign w:val="center"/>
            <w:tcBorders>
              <w:bottom w:val="single" w:sz="4" w:color="D8E1EC"/>
            </w:tcBorders>
          </w:tcPr>
          <w:p>
            <w:pPr>
              <w:spacing w:after="30" w:before="30"/>
            </w:pPr>
            <w:r>
              <w:rPr>
                <w:color w:val="182230"/>
                <w:sz w:val="14"/>
              </w:rPr>
              <w:t>Aucune donnée du groupe test</w:t>
            </w:r>
          </w:p>
        </w:tc>
      </w:tr>
      <w:tr>
        <w:trPr>
          <w:cantSplit/>
        </w:trPr>
        <w:tc>
          <w:tcPr>
            <w:tcW w:type="dxa" w:w="1531"/>
            <w:vAlign w:val="center"/>
            <w:tcBorders>
              <w:bottom w:val="single" w:sz="4" w:color="D8E1EC"/>
            </w:tcBorders>
          </w:tcPr>
          <w:p>
            <w:pPr>
              <w:spacing w:after="30" w:before="30"/>
            </w:pPr>
            <w:r>
              <w:rPr>
                <w:color w:val="182230"/>
                <w:sz w:val="14"/>
              </w:rPr>
              <w:t>Valeurs locales</w:t>
            </w:r>
          </w:p>
        </w:tc>
        <w:tc>
          <w:tcPr>
            <w:tcW w:type="dxa" w:w="3969"/>
            <w:vAlign w:val="center"/>
            <w:tcBorders>
              <w:bottom w:val="single" w:sz="4" w:color="D8E1EC"/>
            </w:tcBorders>
          </w:tcPr>
          <w:p>
            <w:pPr>
              <w:spacing w:after="30" w:before="30"/>
            </w:pPr>
            <w:r>
              <w:rPr>
                <w:color w:val="182230"/>
                <w:sz w:val="14"/>
              </w:rPr>
              <w:t>SHAP par prédiction et par horizon</w:t>
            </w:r>
          </w:p>
        </w:tc>
        <w:tc>
          <w:tcPr>
            <w:tcW w:type="dxa" w:w="3798"/>
            <w:vAlign w:val="center"/>
            <w:tcBorders>
              <w:bottom w:val="single" w:sz="4" w:color="D8E1EC"/>
            </w:tcBorders>
          </w:tcPr>
          <w:p>
            <w:pPr>
              <w:spacing w:after="30" w:before="30"/>
            </w:pPr>
            <w:r>
              <w:rPr>
                <w:color w:val="182230"/>
                <w:sz w:val="14"/>
              </w:rPr>
              <w:t>Somme des contributions = sortie du modèle</w:t>
            </w:r>
          </w:p>
        </w:tc>
      </w:tr>
      <w:tr>
        <w:trPr>
          <w:cantSplit/>
        </w:trPr>
        <w:tc>
          <w:tcPr>
            <w:tcW w:type="dxa" w:w="1531"/>
            <w:shd w:fill="F6F8FB"/>
            <w:vAlign w:val="center"/>
            <w:tcBorders>
              <w:bottom w:val="single" w:sz="4" w:color="D8E1EC"/>
            </w:tcBorders>
          </w:tcPr>
          <w:p>
            <w:pPr>
              <w:spacing w:after="30" w:before="30"/>
            </w:pPr>
            <w:r>
              <w:rPr>
                <w:color w:val="182230"/>
                <w:sz w:val="14"/>
              </w:rPr>
              <w:t>Valeurs globales</w:t>
            </w:r>
          </w:p>
        </w:tc>
        <w:tc>
          <w:tcPr>
            <w:tcW w:type="dxa" w:w="3969"/>
            <w:shd w:fill="F6F8FB"/>
            <w:vAlign w:val="center"/>
            <w:tcBorders>
              <w:bottom w:val="single" w:sz="4" w:color="D8E1EC"/>
            </w:tcBorders>
          </w:tcPr>
          <w:p>
            <w:pPr>
              <w:spacing w:after="30" w:before="30"/>
            </w:pPr>
            <w:r>
              <w:rPr>
                <w:color w:val="182230"/>
                <w:sz w:val="14"/>
              </w:rPr>
              <w:t>Moyenne de |SHAP| par groupe, avec dispersion</w:t>
            </w:r>
          </w:p>
        </w:tc>
        <w:tc>
          <w:tcPr>
            <w:tcW w:type="dxa" w:w="3798"/>
            <w:shd w:fill="F6F8FB"/>
            <w:vAlign w:val="center"/>
            <w:tcBorders>
              <w:bottom w:val="single" w:sz="4" w:color="D8E1EC"/>
            </w:tcBorders>
          </w:tcPr>
          <w:p>
            <w:pPr>
              <w:spacing w:after="30" w:before="30"/>
            </w:pPr>
            <w:r>
              <w:rPr>
                <w:color w:val="182230"/>
                <w:sz w:val="14"/>
              </w:rPr>
              <w:t>Stabilité entre plis et laboratoires</w:t>
            </w:r>
          </w:p>
        </w:tc>
      </w:tr>
      <w:tr>
        <w:trPr>
          <w:cantSplit/>
        </w:trPr>
        <w:tc>
          <w:tcPr>
            <w:tcW w:type="dxa" w:w="1531"/>
            <w:vAlign w:val="center"/>
            <w:tcBorders>
              <w:bottom w:val="single" w:sz="4" w:color="D8E1EC"/>
            </w:tcBorders>
          </w:tcPr>
          <w:p>
            <w:pPr>
              <w:spacing w:after="30" w:before="30"/>
            </w:pPr>
            <w:r>
              <w:rPr>
                <w:color w:val="182230"/>
                <w:sz w:val="14"/>
              </w:rPr>
              <w:t>Dépendances</w:t>
            </w:r>
          </w:p>
        </w:tc>
        <w:tc>
          <w:tcPr>
            <w:tcW w:type="dxa" w:w="3969"/>
            <w:vAlign w:val="center"/>
            <w:tcBorders>
              <w:bottom w:val="single" w:sz="4" w:color="D8E1EC"/>
            </w:tcBorders>
          </w:tcPr>
          <w:p>
            <w:pPr>
              <w:spacing w:after="30" w:before="30"/>
            </w:pPr>
            <w:r>
              <w:rPr>
                <w:color w:val="182230"/>
                <w:sz w:val="14"/>
              </w:rPr>
              <w:t>SHAP(T), SHAP(HR), SHAP(e), interactions</w:t>
            </w:r>
          </w:p>
        </w:tc>
        <w:tc>
          <w:tcPr>
            <w:tcW w:type="dxa" w:w="3798"/>
            <w:vAlign w:val="center"/>
            <w:tcBorders>
              <w:bottom w:val="single" w:sz="4" w:color="D8E1EC"/>
            </w:tcBorders>
          </w:tcPr>
          <w:p>
            <w:pPr>
              <w:spacing w:after="30" w:before="30"/>
            </w:pPr>
            <w:r>
              <w:rPr>
                <w:color w:val="182230"/>
                <w:sz w:val="14"/>
              </w:rPr>
              <w:t>Sens physique et absence d'artefact</w:t>
            </w:r>
          </w:p>
        </w:tc>
      </w:tr>
      <w:tr>
        <w:trPr>
          <w:cantSplit/>
        </w:trPr>
        <w:tc>
          <w:tcPr>
            <w:tcW w:type="dxa" w:w="1531"/>
            <w:shd w:fill="F6F8FB"/>
            <w:vAlign w:val="center"/>
            <w:tcBorders>
              <w:bottom w:val="single" w:sz="4" w:color="D8E1EC"/>
            </w:tcBorders>
          </w:tcPr>
          <w:p>
            <w:pPr>
              <w:spacing w:after="30" w:before="30"/>
            </w:pPr>
            <w:r>
              <w:rPr>
                <w:color w:val="182230"/>
                <w:sz w:val="14"/>
              </w:rPr>
              <w:t>Contrôle</w:t>
            </w:r>
          </w:p>
        </w:tc>
        <w:tc>
          <w:tcPr>
            <w:tcW w:type="dxa" w:w="3969"/>
            <w:shd w:fill="F6F8FB"/>
            <w:vAlign w:val="center"/>
            <w:tcBorders>
              <w:bottom w:val="single" w:sz="4" w:color="D8E1EC"/>
            </w:tcBorders>
          </w:tcPr>
          <w:p>
            <w:pPr>
              <w:spacing w:after="30" w:before="30"/>
            </w:pPr>
            <w:r>
              <w:rPr>
                <w:color w:val="182230"/>
                <w:sz w:val="14"/>
              </w:rPr>
              <w:t>Importance par permutation groupée</w:t>
            </w:r>
          </w:p>
        </w:tc>
        <w:tc>
          <w:tcPr>
            <w:tcW w:type="dxa" w:w="3798"/>
            <w:shd w:fill="F6F8FB"/>
            <w:vAlign w:val="center"/>
            <w:tcBorders>
              <w:bottom w:val="single" w:sz="4" w:color="D8E1EC"/>
            </w:tcBorders>
          </w:tcPr>
          <w:p>
            <w:pPr>
              <w:spacing w:after="30" w:before="30"/>
            </w:pPr>
            <w:r>
              <w:rPr>
                <w:color w:val="182230"/>
                <w:sz w:val="14"/>
              </w:rPr>
              <w:t>Même hiérarchie qualitative</w:t>
            </w:r>
          </w:p>
        </w:tc>
      </w:tr>
    </w:tbl>
    <w:p>
      <w:pPr>
        <w:spacing w:after="0"/>
      </w:pPr>
    </w:p>
    <w:p>
      <w:pPr>
        <w:pStyle w:val="Heading2"/>
        <w:keepNext/>
      </w:pPr>
      <w:r>
        <w:t>9.3 Signes physiques attendus</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701"/>
            <w:shd w:fill="17365D"/>
            <w:vAlign w:val="center"/>
            <w:tcBorders>
              <w:bottom w:val="single" w:sz="5" w:color="FFFFFF"/>
            </w:tcBorders>
          </w:tcPr>
          <w:p>
            <w:pPr>
              <w:jc w:val="left"/>
            </w:pPr>
            <w:r>
              <w:rPr>
                <w:b/>
                <w:color w:val="FFFFFF"/>
                <w:sz w:val="14"/>
              </w:rPr>
              <w:t>Variable</w:t>
            </w:r>
          </w:p>
        </w:tc>
        <w:tc>
          <w:tcPr>
            <w:tcW w:type="dxa" w:w="4025"/>
            <w:shd w:fill="17365D"/>
            <w:vAlign w:val="center"/>
            <w:tcBorders>
              <w:bottom w:val="single" w:sz="5" w:color="FFFFFF"/>
            </w:tcBorders>
          </w:tcPr>
          <w:p>
            <w:pPr>
              <w:jc w:val="left"/>
            </w:pPr>
            <w:r>
              <w:rPr>
                <w:b/>
                <w:color w:val="FFFFFF"/>
                <w:sz w:val="14"/>
              </w:rPr>
              <w:t>Effet attendu sous hypothèses constantes</w:t>
            </w:r>
          </w:p>
        </w:tc>
        <w:tc>
          <w:tcPr>
            <w:tcW w:type="dxa" w:w="3572"/>
            <w:shd w:fill="17365D"/>
            <w:vAlign w:val="center"/>
            <w:tcBorders>
              <w:bottom w:val="single" w:sz="5" w:color="FFFFFF"/>
            </w:tcBorders>
          </w:tcPr>
          <w:p>
            <w:pPr>
              <w:jc w:val="left"/>
            </w:pPr>
            <w:r>
              <w:rPr>
                <w:b/>
                <w:color w:val="FFFFFF"/>
                <w:sz w:val="14"/>
              </w:rPr>
              <w:t>Cause d'une inversion légitime</w:t>
            </w:r>
          </w:p>
        </w:tc>
      </w:tr>
      <w:tr>
        <w:trPr>
          <w:cantSplit/>
        </w:trPr>
        <w:tc>
          <w:tcPr>
            <w:tcW w:type="dxa" w:w="1701"/>
            <w:vAlign w:val="center"/>
            <w:tcBorders>
              <w:bottom w:val="single" w:sz="4" w:color="D8E1EC"/>
            </w:tcBorders>
          </w:tcPr>
          <w:p>
            <w:pPr>
              <w:spacing w:after="30" w:before="30"/>
            </w:pPr>
            <w:r>
              <w:rPr>
                <w:color w:val="182230"/>
                <w:sz w:val="14"/>
              </w:rPr>
              <w:t>Température</w:t>
            </w:r>
          </w:p>
        </w:tc>
        <w:tc>
          <w:tcPr>
            <w:tcW w:type="dxa" w:w="4025"/>
            <w:vAlign w:val="center"/>
            <w:tcBorders>
              <w:bottom w:val="single" w:sz="4" w:color="D8E1EC"/>
            </w:tcBorders>
          </w:tcPr>
          <w:p>
            <w:pPr>
              <w:spacing w:after="30" w:before="30"/>
            </w:pPr>
            <w:r>
              <w:rPr>
                <w:color w:val="182230"/>
                <w:sz w:val="14"/>
              </w:rPr>
              <w:t>Accélération du dommage ; SHAP négatif sur E/E₀</w:t>
            </w:r>
          </w:p>
        </w:tc>
        <w:tc>
          <w:tcPr>
            <w:tcW w:type="dxa" w:w="3572"/>
            <w:vAlign w:val="center"/>
            <w:tcBorders>
              <w:bottom w:val="single" w:sz="4" w:color="D8E1EC"/>
            </w:tcBorders>
          </w:tcPr>
          <w:p>
            <w:pPr>
              <w:spacing w:after="30" w:before="30"/>
            </w:pPr>
            <w:r>
              <w:rPr>
                <w:color w:val="182230"/>
                <w:sz w:val="14"/>
              </w:rPr>
              <w:t>Post-réticulation, cristallisation, changement de mécanisme</w:t>
            </w:r>
          </w:p>
        </w:tc>
      </w:tr>
      <w:tr>
        <w:trPr>
          <w:cantSplit/>
        </w:trPr>
        <w:tc>
          <w:tcPr>
            <w:tcW w:type="dxa" w:w="1701"/>
            <w:shd w:fill="F6F8FB"/>
            <w:vAlign w:val="center"/>
            <w:tcBorders>
              <w:bottom w:val="single" w:sz="4" w:color="D8E1EC"/>
            </w:tcBorders>
          </w:tcPr>
          <w:p>
            <w:pPr>
              <w:spacing w:after="30" w:before="30"/>
            </w:pPr>
            <w:r>
              <w:rPr>
                <w:color w:val="182230"/>
                <w:sz w:val="14"/>
              </w:rPr>
              <w:t>Humidité / activité</w:t>
            </w:r>
          </w:p>
        </w:tc>
        <w:tc>
          <w:tcPr>
            <w:tcW w:type="dxa" w:w="4025"/>
            <w:shd w:fill="F6F8FB"/>
            <w:vAlign w:val="center"/>
            <w:tcBorders>
              <w:bottom w:val="single" w:sz="4" w:color="D8E1EC"/>
            </w:tcBorders>
          </w:tcPr>
          <w:p>
            <w:pPr>
              <w:spacing w:after="30" w:before="30"/>
            </w:pPr>
            <w:r>
              <w:rPr>
                <w:color w:val="182230"/>
                <w:sz w:val="14"/>
              </w:rPr>
              <w:t>Plus d'eau, plastification/hydrolyse accrues</w:t>
            </w:r>
          </w:p>
        </w:tc>
        <w:tc>
          <w:tcPr>
            <w:tcW w:type="dxa" w:w="3572"/>
            <w:shd w:fill="F6F8FB"/>
            <w:vAlign w:val="center"/>
            <w:tcBorders>
              <w:bottom w:val="single" w:sz="4" w:color="D8E1EC"/>
            </w:tcBorders>
          </w:tcPr>
          <w:p>
            <w:pPr>
              <w:spacing w:after="30" w:before="30"/>
            </w:pPr>
            <w:r>
              <w:rPr>
                <w:color w:val="182230"/>
                <w:sz w:val="14"/>
              </w:rPr>
              <w:t>Saturation, conditionnement de mesure, matériau hydrophobe</w:t>
            </w:r>
          </w:p>
        </w:tc>
      </w:tr>
      <w:tr>
        <w:trPr>
          <w:cantSplit/>
        </w:trPr>
        <w:tc>
          <w:tcPr>
            <w:tcW w:type="dxa" w:w="1701"/>
            <w:vAlign w:val="center"/>
            <w:tcBorders>
              <w:bottom w:val="single" w:sz="4" w:color="D8E1EC"/>
            </w:tcBorders>
          </w:tcPr>
          <w:p>
            <w:pPr>
              <w:spacing w:after="30" w:before="30"/>
            </w:pPr>
            <w:r>
              <w:rPr>
                <w:color w:val="182230"/>
                <w:sz w:val="14"/>
              </w:rPr>
              <w:t>Épaisseur</w:t>
            </w:r>
          </w:p>
        </w:tc>
        <w:tc>
          <w:tcPr>
            <w:tcW w:type="dxa" w:w="4025"/>
            <w:vAlign w:val="center"/>
            <w:tcBorders>
              <w:bottom w:val="single" w:sz="4" w:color="D8E1EC"/>
            </w:tcBorders>
          </w:tcPr>
          <w:p>
            <w:pPr>
              <w:spacing w:after="30" w:before="30"/>
            </w:pPr>
            <w:r>
              <w:rPr>
                <w:color w:val="182230"/>
                <w:sz w:val="14"/>
              </w:rPr>
              <w:t>Absorption moyenne plus lente dans une plaque épaisse</w:t>
            </w:r>
          </w:p>
        </w:tc>
        <w:tc>
          <w:tcPr>
            <w:tcW w:type="dxa" w:w="3572"/>
            <w:vAlign w:val="center"/>
            <w:tcBorders>
              <w:bottom w:val="single" w:sz="4" w:color="D8E1EC"/>
            </w:tcBorders>
          </w:tcPr>
          <w:p>
            <w:pPr>
              <w:spacing w:after="30" w:before="30"/>
            </w:pPr>
            <w:r>
              <w:rPr>
                <w:color w:val="182230"/>
                <w:sz w:val="14"/>
              </w:rPr>
              <w:t>Vieillissement de surface, fissuration, géométrie différente</w:t>
            </w:r>
          </w:p>
        </w:tc>
      </w:tr>
      <w:tr>
        <w:trPr>
          <w:cantSplit/>
        </w:trPr>
        <w:tc>
          <w:tcPr>
            <w:tcW w:type="dxa" w:w="1701"/>
            <w:shd w:fill="F6F8FB"/>
            <w:vAlign w:val="center"/>
            <w:tcBorders>
              <w:bottom w:val="single" w:sz="4" w:color="D8E1EC"/>
            </w:tcBorders>
          </w:tcPr>
          <w:p>
            <w:pPr>
              <w:spacing w:after="30" w:before="30"/>
            </w:pPr>
            <w:r>
              <w:rPr>
                <w:color w:val="182230"/>
                <w:sz w:val="14"/>
              </w:rPr>
              <w:t>Temps</w:t>
            </w:r>
          </w:p>
        </w:tc>
        <w:tc>
          <w:tcPr>
            <w:tcW w:type="dxa" w:w="4025"/>
            <w:shd w:fill="F6F8FB"/>
            <w:vAlign w:val="center"/>
            <w:tcBorders>
              <w:bottom w:val="single" w:sz="4" w:color="D8E1EC"/>
            </w:tcBorders>
          </w:tcPr>
          <w:p>
            <w:pPr>
              <w:spacing w:after="30" w:before="30"/>
            </w:pPr>
            <w:r>
              <w:rPr>
                <w:color w:val="182230"/>
                <w:sz w:val="14"/>
              </w:rPr>
              <w:t>Rétention souvent décroissante</w:t>
            </w:r>
          </w:p>
        </w:tc>
        <w:tc>
          <w:tcPr>
            <w:tcW w:type="dxa" w:w="3572"/>
            <w:shd w:fill="F6F8FB"/>
            <w:vAlign w:val="center"/>
            <w:tcBorders>
              <w:bottom w:val="single" w:sz="4" w:color="D8E1EC"/>
            </w:tcBorders>
          </w:tcPr>
          <w:p>
            <w:pPr>
              <w:spacing w:after="30" w:before="30"/>
            </w:pPr>
            <w:r>
              <w:rPr>
                <w:color w:val="182230"/>
                <w:sz w:val="14"/>
              </w:rPr>
              <w:t>Rigidification transitoire et réponses non monotones</w:t>
            </w:r>
          </w:p>
        </w:tc>
      </w:tr>
      <w:tr>
        <w:trPr>
          <w:cantSplit/>
        </w:trPr>
        <w:tc>
          <w:tcPr>
            <w:tcW w:type="dxa" w:w="1701"/>
            <w:vAlign w:val="center"/>
            <w:tcBorders>
              <w:bottom w:val="single" w:sz="4" w:color="D8E1EC"/>
            </w:tcBorders>
          </w:tcPr>
          <w:p>
            <w:pPr>
              <w:spacing w:after="30" w:before="30"/>
            </w:pPr>
            <w:r>
              <w:rPr>
                <w:color w:val="182230"/>
                <w:sz w:val="14"/>
              </w:rPr>
              <w:t>Stabilisants</w:t>
            </w:r>
          </w:p>
        </w:tc>
        <w:tc>
          <w:tcPr>
            <w:tcW w:type="dxa" w:w="4025"/>
            <w:vAlign w:val="center"/>
            <w:tcBorders>
              <w:bottom w:val="single" w:sz="4" w:color="D8E1EC"/>
            </w:tcBorders>
          </w:tcPr>
          <w:p>
            <w:pPr>
              <w:spacing w:after="30" w:before="30"/>
            </w:pPr>
            <w:r>
              <w:rPr>
                <w:color w:val="182230"/>
                <w:sz w:val="14"/>
              </w:rPr>
              <w:t>Induction plus longue</w:t>
            </w:r>
          </w:p>
        </w:tc>
        <w:tc>
          <w:tcPr>
            <w:tcW w:type="dxa" w:w="3572"/>
            <w:vAlign w:val="center"/>
            <w:tcBorders>
              <w:bottom w:val="single" w:sz="4" w:color="D8E1EC"/>
            </w:tcBorders>
          </w:tcPr>
          <w:p>
            <w:pPr>
              <w:spacing w:after="30" w:before="30"/>
            </w:pPr>
            <w:r>
              <w:rPr>
                <w:color w:val="182230"/>
                <w:sz w:val="14"/>
              </w:rPr>
              <w:t>Compatibilité, migration ou concentration non optimale</w:t>
            </w:r>
          </w:p>
        </w:tc>
      </w:tr>
      <w:tr>
        <w:trPr>
          <w:cantSplit/>
        </w:trPr>
        <w:tc>
          <w:tcPr>
            <w:tcW w:type="dxa" w:w="1701"/>
            <w:shd w:fill="F6F8FB"/>
            <w:vAlign w:val="center"/>
            <w:tcBorders>
              <w:bottom w:val="single" w:sz="4" w:color="D8E1EC"/>
            </w:tcBorders>
          </w:tcPr>
          <w:p>
            <w:pPr>
              <w:spacing w:after="30" w:before="30"/>
            </w:pPr>
            <w:r>
              <w:rPr>
                <w:color w:val="182230"/>
                <w:sz w:val="14"/>
              </w:rPr>
              <w:t>Renfort</w:t>
            </w:r>
          </w:p>
        </w:tc>
        <w:tc>
          <w:tcPr>
            <w:tcW w:type="dxa" w:w="4025"/>
            <w:shd w:fill="F6F8FB"/>
            <w:vAlign w:val="center"/>
            <w:tcBorders>
              <w:bottom w:val="single" w:sz="4" w:color="D8E1EC"/>
            </w:tcBorders>
          </w:tcPr>
          <w:p>
            <w:pPr>
              <w:spacing w:after="30" w:before="30"/>
            </w:pPr>
            <w:r>
              <w:rPr>
                <w:color w:val="182230"/>
                <w:sz w:val="14"/>
              </w:rPr>
              <w:t>Rigidité initiale et diffusion modifiées</w:t>
            </w:r>
          </w:p>
        </w:tc>
        <w:tc>
          <w:tcPr>
            <w:tcW w:type="dxa" w:w="3572"/>
            <w:shd w:fill="F6F8FB"/>
            <w:vAlign w:val="center"/>
            <w:tcBorders>
              <w:bottom w:val="single" w:sz="4" w:color="D8E1EC"/>
            </w:tcBorders>
          </w:tcPr>
          <w:p>
            <w:pPr>
              <w:spacing w:after="30" w:before="30"/>
            </w:pPr>
            <w:r>
              <w:rPr>
                <w:color w:val="182230"/>
                <w:sz w:val="14"/>
              </w:rPr>
              <w:t>Interface hygroscopique ou défauts de dispersion</w:t>
            </w:r>
          </w:p>
        </w:tc>
      </w:tr>
    </w:tbl>
    <w:p>
      <w:pPr>
        <w:spacing w:after="0"/>
      </w:pPr>
    </w:p>
    <w:p>
      <w:r>
        <w:rPr>
          <w:i w:val="0"/>
        </w:rPr>
        <w:t>Une dépendance SHAP conforme à ces signes ne prouve pas que le modèle a appris la loi physique : des corrélations entre grade, température et laboratoire peuvent produire le même motif. La vérification exige des perturbations contrôlées, des groupes indépendants et une comparaison aux équations.</w:t>
      </w:r>
    </w:p>
    <w:p>
      <w:pPr>
        <w:pStyle w:val="Heading2"/>
        <w:keepNext/>
      </w:pPr>
      <w:r>
        <w:t>9.4 Contrôles de sensibilité</w:t>
      </w:r>
    </w:p>
    <w:p>
      <w:pPr>
        <w:keepNext/>
        <w:jc w:val="center"/>
      </w:pPr>
      <w:r>
        <w:drawing>
          <wp:inline xmlns:a="http://schemas.openxmlformats.org/drawingml/2006/main" xmlns:pic="http://schemas.openxmlformats.org/drawingml/2006/picture">
            <wp:extent cx="5940000" cy="3155625"/>
            <wp:docPr id="11" name="Picture 11"/>
            <wp:cNvGraphicFramePr>
              <a:graphicFrameLocks noChangeAspect="1"/>
            </wp:cNvGraphicFramePr>
            <a:graphic>
              <a:graphicData uri="http://schemas.openxmlformats.org/drawingml/2006/picture">
                <pic:pic>
                  <pic:nvPicPr>
                    <pic:cNvPr id="0" name="sensitivity.png"/>
                    <pic:cNvPicPr/>
                  </pic:nvPicPr>
                  <pic:blipFill>
                    <a:blip r:embed="rId20"/>
                    <a:stretch>
                      <a:fillRect/>
                    </a:stretch>
                  </pic:blipFill>
                  <pic:spPr>
                    <a:xfrm>
                      <a:off x="0" y="0"/>
                      <a:ext cx="5940000" cy="3155625"/>
                    </a:xfrm>
                    <a:prstGeom prst="rect"/>
                  </pic:spPr>
                </pic:pic>
              </a:graphicData>
            </a:graphic>
          </wp:inline>
        </w:drawing>
      </w:r>
    </w:p>
    <w:p>
      <w:pPr>
        <w:pStyle w:val="Caption"/>
        <w:keepLines/>
      </w:pPr>
      <w:r>
        <w:t>Figure 11 - Vérification numérique du sous-modèle Fick + hydrolyse. Les coefficients sont synthétiques ; seule la cohérence des équations est testée.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1928"/>
            <w:shd w:fill="17365D"/>
            <w:vAlign w:val="center"/>
            <w:tcBorders>
              <w:bottom w:val="single" w:sz="5" w:color="FFFFFF"/>
            </w:tcBorders>
          </w:tcPr>
          <w:p>
            <w:pPr>
              <w:jc w:val="left"/>
            </w:pPr>
            <w:r>
              <w:rPr>
                <w:b/>
                <w:color w:val="FFFFFF"/>
                <w:sz w:val="15"/>
              </w:rPr>
              <w:t>Paramètre</w:t>
            </w:r>
          </w:p>
        </w:tc>
        <w:tc>
          <w:tcPr>
            <w:tcW w:type="dxa" w:w="3402"/>
            <w:shd w:fill="17365D"/>
            <w:vAlign w:val="center"/>
            <w:tcBorders>
              <w:bottom w:val="single" w:sz="5" w:color="FFFFFF"/>
            </w:tcBorders>
          </w:tcPr>
          <w:p>
            <w:pPr>
              <w:jc w:val="left"/>
            </w:pPr>
            <w:r>
              <w:rPr>
                <w:b/>
                <w:color w:val="FFFFFF"/>
                <w:sz w:val="15"/>
              </w:rPr>
              <w:t>Effet attendu</w:t>
            </w:r>
          </w:p>
        </w:tc>
        <w:tc>
          <w:tcPr>
            <w:tcW w:type="dxa" w:w="3969"/>
            <w:shd w:fill="17365D"/>
            <w:vAlign w:val="center"/>
            <w:tcBorders>
              <w:bottom w:val="single" w:sz="5" w:color="FFFFFF"/>
            </w:tcBorders>
          </w:tcPr>
          <w:p>
            <w:pPr>
              <w:jc w:val="left"/>
            </w:pPr>
            <w:r>
              <w:rPr>
                <w:b/>
                <w:color w:val="FFFFFF"/>
                <w:sz w:val="15"/>
              </w:rPr>
              <w:t>Contrôle observé</w:t>
            </w:r>
          </w:p>
        </w:tc>
      </w:tr>
      <w:tr>
        <w:trPr>
          <w:cantSplit/>
        </w:trPr>
        <w:tc>
          <w:tcPr>
            <w:tcW w:type="dxa" w:w="1928"/>
            <w:vAlign w:val="center"/>
            <w:tcBorders>
              <w:bottom w:val="single" w:sz="4" w:color="D8E1EC"/>
            </w:tcBorders>
          </w:tcPr>
          <w:p>
            <w:pPr>
              <w:spacing w:after="30" w:before="30"/>
            </w:pPr>
            <w:r>
              <w:rPr>
                <w:color w:val="182230"/>
                <w:sz w:val="15"/>
              </w:rPr>
              <w:t>E₀</w:t>
            </w:r>
          </w:p>
        </w:tc>
        <w:tc>
          <w:tcPr>
            <w:tcW w:type="dxa" w:w="3402"/>
            <w:vAlign w:val="center"/>
            <w:tcBorders>
              <w:bottom w:val="single" w:sz="4" w:color="D8E1EC"/>
            </w:tcBorders>
          </w:tcPr>
          <w:p>
            <w:pPr>
              <w:spacing w:after="30" w:before="30"/>
            </w:pPr>
            <w:r>
              <w:rPr>
                <w:color w:val="182230"/>
                <w:sz w:val="15"/>
              </w:rPr>
              <w:t>Multiplie E(t), sans changer R(t)</w:t>
            </w:r>
          </w:p>
        </w:tc>
        <w:tc>
          <w:tcPr>
            <w:tcW w:type="dxa" w:w="3969"/>
            <w:vAlign w:val="center"/>
            <w:tcBorders>
              <w:bottom w:val="single" w:sz="4" w:color="D8E1EC"/>
            </w:tcBorders>
          </w:tcPr>
          <w:p>
            <w:pPr>
              <w:spacing w:after="30" w:before="30"/>
            </w:pPr>
            <w:r>
              <w:rPr>
                <w:color w:val="182230"/>
                <w:sz w:val="15"/>
              </w:rPr>
              <w:t>Ratio de module = 2,00 ; écart de rétention = 0</w:t>
            </w:r>
          </w:p>
        </w:tc>
      </w:tr>
      <w:tr>
        <w:trPr>
          <w:cantSplit/>
        </w:trPr>
        <w:tc>
          <w:tcPr>
            <w:tcW w:type="dxa" w:w="1928"/>
            <w:shd w:fill="F6F8FB"/>
            <w:vAlign w:val="center"/>
            <w:tcBorders>
              <w:bottom w:val="single" w:sz="4" w:color="D8E1EC"/>
            </w:tcBorders>
          </w:tcPr>
          <w:p>
            <w:pPr>
              <w:spacing w:after="30" w:before="30"/>
            </w:pPr>
            <w:r>
              <w:rPr>
                <w:color w:val="182230"/>
                <w:sz w:val="15"/>
              </w:rPr>
              <w:t>Seuil</w:t>
            </w:r>
          </w:p>
        </w:tc>
        <w:tc>
          <w:tcPr>
            <w:tcW w:type="dxa" w:w="3402"/>
            <w:shd w:fill="F6F8FB"/>
            <w:vAlign w:val="center"/>
            <w:tcBorders>
              <w:bottom w:val="single" w:sz="4" w:color="D8E1EC"/>
            </w:tcBorders>
          </w:tcPr>
          <w:p>
            <w:pPr>
              <w:spacing w:after="30" w:before="30"/>
            </w:pPr>
            <w:r>
              <w:rPr>
                <w:color w:val="182230"/>
                <w:sz w:val="15"/>
              </w:rPr>
              <w:t>Change le temps de franchissement</w:t>
            </w:r>
          </w:p>
        </w:tc>
        <w:tc>
          <w:tcPr>
            <w:tcW w:type="dxa" w:w="3969"/>
            <w:shd w:fill="F6F8FB"/>
            <w:vAlign w:val="center"/>
            <w:tcBorders>
              <w:bottom w:val="single" w:sz="4" w:color="D8E1EC"/>
            </w:tcBorders>
          </w:tcPr>
          <w:p>
            <w:pPr>
              <w:spacing w:after="30" w:before="30"/>
            </w:pPr>
            <w:r>
              <w:rPr>
                <w:color w:val="182230"/>
                <w:sz w:val="15"/>
              </w:rPr>
              <w:t>Courbe inchangée</w:t>
            </w:r>
          </w:p>
        </w:tc>
      </w:tr>
      <w:tr>
        <w:trPr>
          <w:cantSplit/>
        </w:trPr>
        <w:tc>
          <w:tcPr>
            <w:tcW w:type="dxa" w:w="1928"/>
            <w:vAlign w:val="center"/>
            <w:tcBorders>
              <w:bottom w:val="single" w:sz="4" w:color="D8E1EC"/>
            </w:tcBorders>
          </w:tcPr>
          <w:p>
            <w:pPr>
              <w:spacing w:after="30" w:before="30"/>
            </w:pPr>
            <w:r>
              <w:rPr>
                <w:color w:val="182230"/>
                <w:sz w:val="15"/>
              </w:rPr>
              <w:t>Humidité en immersion</w:t>
            </w:r>
          </w:p>
        </w:tc>
        <w:tc>
          <w:tcPr>
            <w:tcW w:type="dxa" w:w="3402"/>
            <w:vAlign w:val="center"/>
            <w:tcBorders>
              <w:bottom w:val="single" w:sz="4" w:color="D8E1EC"/>
            </w:tcBorders>
          </w:tcPr>
          <w:p>
            <w:pPr>
              <w:spacing w:after="30" w:before="30"/>
            </w:pPr>
            <w:r>
              <w:rPr>
                <w:color w:val="182230"/>
                <w:sz w:val="15"/>
              </w:rPr>
              <w:t>Sans objet</w:t>
            </w:r>
          </w:p>
        </w:tc>
        <w:tc>
          <w:tcPr>
            <w:tcW w:type="dxa" w:w="3969"/>
            <w:vAlign w:val="center"/>
            <w:tcBorders>
              <w:bottom w:val="single" w:sz="4" w:color="D8E1EC"/>
            </w:tcBorders>
          </w:tcPr>
          <w:p>
            <w:pPr>
              <w:spacing w:after="30" w:before="30"/>
            </w:pPr>
            <w:r>
              <w:rPr>
                <w:color w:val="182230"/>
                <w:sz w:val="15"/>
              </w:rPr>
              <w:t>Courbes identiques</w:t>
            </w:r>
          </w:p>
        </w:tc>
      </w:tr>
      <w:tr>
        <w:trPr>
          <w:cantSplit/>
        </w:trPr>
        <w:tc>
          <w:tcPr>
            <w:tcW w:type="dxa" w:w="1928"/>
            <w:shd w:fill="F6F8FB"/>
            <w:vAlign w:val="center"/>
            <w:tcBorders>
              <w:bottom w:val="single" w:sz="4" w:color="D8E1EC"/>
            </w:tcBorders>
          </w:tcPr>
          <w:p>
            <w:pPr>
              <w:spacing w:after="30" w:before="30"/>
            </w:pPr>
            <w:r>
              <w:rPr>
                <w:color w:val="182230"/>
                <w:sz w:val="15"/>
              </w:rPr>
              <w:t>Épaisseur sans D documenté</w:t>
            </w:r>
          </w:p>
        </w:tc>
        <w:tc>
          <w:tcPr>
            <w:tcW w:type="dxa" w:w="3402"/>
            <w:shd w:fill="F6F8FB"/>
            <w:vAlign w:val="center"/>
            <w:tcBorders>
              <w:bottom w:val="single" w:sz="4" w:color="D8E1EC"/>
            </w:tcBorders>
          </w:tcPr>
          <w:p>
            <w:pPr>
              <w:spacing w:after="30" w:before="30"/>
            </w:pPr>
            <w:r>
              <w:rPr>
                <w:color w:val="182230"/>
                <w:sz w:val="15"/>
              </w:rPr>
              <w:t>Aucun effet inventé</w:t>
            </w:r>
          </w:p>
        </w:tc>
        <w:tc>
          <w:tcPr>
            <w:tcW w:type="dxa" w:w="3969"/>
            <w:shd w:fill="F6F8FB"/>
            <w:vAlign w:val="center"/>
            <w:tcBorders>
              <w:bottom w:val="single" w:sz="4" w:color="D8E1EC"/>
            </w:tcBorders>
          </w:tcPr>
          <w:p>
            <w:pPr>
              <w:spacing w:after="30" w:before="30"/>
            </w:pPr>
            <w:r>
              <w:rPr>
                <w:color w:val="182230"/>
                <w:sz w:val="15"/>
              </w:rPr>
              <w:t>Champ marqué non caractérisé</w:t>
            </w:r>
          </w:p>
        </w:tc>
      </w:tr>
      <w:tr>
        <w:trPr>
          <w:cantSplit/>
        </w:trPr>
        <w:tc>
          <w:tcPr>
            <w:tcW w:type="dxa" w:w="1928"/>
            <w:vAlign w:val="center"/>
            <w:tcBorders>
              <w:bottom w:val="single" w:sz="4" w:color="D8E1EC"/>
            </w:tcBorders>
          </w:tcPr>
          <w:p>
            <w:pPr>
              <w:spacing w:after="30" w:before="30"/>
            </w:pPr>
            <w:r>
              <w:rPr>
                <w:color w:val="182230"/>
                <w:sz w:val="15"/>
              </w:rPr>
              <w:t>T, HR, e avec D et k explicites</w:t>
            </w:r>
          </w:p>
        </w:tc>
        <w:tc>
          <w:tcPr>
            <w:tcW w:type="dxa" w:w="3402"/>
            <w:vAlign w:val="center"/>
            <w:tcBorders>
              <w:bottom w:val="single" w:sz="4" w:color="D8E1EC"/>
            </w:tcBorders>
          </w:tcPr>
          <w:p>
            <w:pPr>
              <w:spacing w:after="30" w:before="30"/>
            </w:pPr>
            <w:r>
              <w:rPr>
                <w:color w:val="182230"/>
                <w:sz w:val="15"/>
              </w:rPr>
              <w:t>Modifient diffusion et hydrolyse</w:t>
            </w:r>
          </w:p>
        </w:tc>
        <w:tc>
          <w:tcPr>
            <w:tcW w:type="dxa" w:w="3969"/>
            <w:vAlign w:val="center"/>
            <w:tcBorders>
              <w:bottom w:val="single" w:sz="4" w:color="D8E1EC"/>
            </w:tcBorders>
          </w:tcPr>
          <w:p>
            <w:pPr>
              <w:spacing w:after="30" w:before="30"/>
            </w:pPr>
            <w:r>
              <w:rPr>
                <w:color w:val="182230"/>
                <w:sz w:val="15"/>
              </w:rPr>
              <w:t>Ordre physique respecté dans le contrôle</w:t>
            </w:r>
          </w:p>
        </w:tc>
      </w:tr>
    </w:tbl>
    <w:p>
      <w:pPr>
        <w:spacing w:after="0"/>
      </w:pPr>
    </w:p>
    <w:p>
      <w:r>
        <w:rPr>
          <w:i w:val="0"/>
        </w:rPr>
        <w:t>Le contrôle HDPE de Fairbrother et al. rappelle qu'une augmentation de rigidité peut accompagner l'embrittlement et la cristallinité [6]. SeaMat n'impose donc pas une diminution monotone universelle et n'assimile jamais module, résistance et allongement à rupture.</w:t>
      </w:r>
    </w:p>
    <w:p>
      <w:pPr>
        <w:pStyle w:val="Heading1"/>
        <w:keepNext/>
        <w:pageBreakBefore/>
      </w:pPr>
      <w:r>
        <w:t>10. Analyse critique : extrapolation, surapprentissage et incertitude</w:t>
      </w:r>
    </w:p>
    <w:p>
      <w:pPr>
        <w:pStyle w:val="Heading2"/>
        <w:keepNext/>
      </w:pPr>
      <w:r>
        <w:t>10.1 Domaine connu</w:t>
      </w:r>
    </w:p>
    <w:p>
      <w:pPr>
        <w:pStyle w:val="ListBullet"/>
        <w:spacing w:after="60"/>
        <w:ind w:left="255" w:hanging="113"/>
      </w:pPr>
      <w:r>
        <w:t>PP : 0-120 jours de vieillissement naturel, quatre formulations d'une même étude et un grade H301.</w:t>
      </w:r>
    </w:p>
    <w:p>
      <w:pPr>
        <w:pStyle w:val="ListBullet"/>
        <w:spacing w:after="60"/>
        <w:ind w:left="255" w:hanging="113"/>
      </w:pPr>
      <w:r>
        <w:t>IIR : 0-24 h en immersion Milform 64 SST, 80-120 °C, formulation BRC précise.</w:t>
      </w:r>
    </w:p>
    <w:p>
      <w:pPr>
        <w:pStyle w:val="ListBullet"/>
        <w:spacing w:after="60"/>
        <w:ind w:left="255" w:hanging="113"/>
      </w:pPr>
      <w:r>
        <w:t>Lin/époxy : 0-38 jours, 90 % HR, deux températures et une formulation de stratifié.</w:t>
      </w:r>
    </w:p>
    <w:p>
      <w:pPr>
        <w:pStyle w:val="Heading2"/>
        <w:keepNext/>
      </w:pPr>
      <w:r>
        <w:t>10.2 Hors domaine</w:t>
      </w:r>
    </w:p>
    <w:p>
      <w:r>
        <w:rPr>
          <w:i w:val="0"/>
        </w:rPr>
        <w:t>Au-delà de la fenêtre observée, l'incertitude doit croître avec la distance temporelle. Un horizon supérieur à 2 500 h, une température extrême, une autre humidité, un liquide différent ou un grade non identifié peuvent changer de mécanisme. Une bande uniforme de ±5 % serait esthétiquement étroite mais scientifiquement injustifiable.</w:t>
      </w:r>
    </w:p>
    <w:p>
      <w:pPr>
        <w:pStyle w:val="Heading2"/>
        <w:keepNext/>
      </w:pPr>
      <w:r>
        <w:t>10.3 Signatures d'aberration</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098"/>
            <w:shd w:fill="17365D"/>
            <w:vAlign w:val="center"/>
            <w:tcBorders>
              <w:bottom w:val="single" w:sz="5" w:color="FFFFFF"/>
            </w:tcBorders>
          </w:tcPr>
          <w:p>
            <w:pPr>
              <w:jc w:val="left"/>
            </w:pPr>
            <w:r>
              <w:rPr>
                <w:b/>
                <w:color w:val="FFFFFF"/>
                <w:sz w:val="16"/>
              </w:rPr>
              <w:t>Signal</w:t>
            </w:r>
          </w:p>
        </w:tc>
        <w:tc>
          <w:tcPr>
            <w:tcW w:type="dxa" w:w="3515"/>
            <w:shd w:fill="17365D"/>
            <w:vAlign w:val="center"/>
            <w:tcBorders>
              <w:bottom w:val="single" w:sz="5" w:color="FFFFFF"/>
            </w:tcBorders>
          </w:tcPr>
          <w:p>
            <w:pPr>
              <w:jc w:val="left"/>
            </w:pPr>
            <w:r>
              <w:rPr>
                <w:b/>
                <w:color w:val="FFFFFF"/>
                <w:sz w:val="16"/>
              </w:rPr>
              <w:t>Cause possible</w:t>
            </w:r>
          </w:p>
        </w:tc>
        <w:tc>
          <w:tcPr>
            <w:tcW w:type="dxa" w:w="3685"/>
            <w:shd w:fill="17365D"/>
            <w:vAlign w:val="center"/>
            <w:tcBorders>
              <w:bottom w:val="single" w:sz="5" w:color="FFFFFF"/>
            </w:tcBorders>
          </w:tcPr>
          <w:p>
            <w:pPr>
              <w:jc w:val="left"/>
            </w:pPr>
            <w:r>
              <w:rPr>
                <w:b/>
                <w:color w:val="FFFFFF"/>
                <w:sz w:val="16"/>
              </w:rPr>
              <w:t>Réponse logicielle</w:t>
            </w:r>
          </w:p>
        </w:tc>
      </w:tr>
      <w:tr>
        <w:trPr>
          <w:cantSplit/>
        </w:trPr>
        <w:tc>
          <w:tcPr>
            <w:tcW w:type="dxa" w:w="2098"/>
            <w:vAlign w:val="center"/>
            <w:tcBorders>
              <w:bottom w:val="single" w:sz="4" w:color="D8E1EC"/>
            </w:tcBorders>
          </w:tcPr>
          <w:p>
            <w:pPr>
              <w:spacing w:after="30" w:before="30"/>
            </w:pPr>
            <w:r>
              <w:rPr>
                <w:color w:val="182230"/>
                <w:sz w:val="16"/>
              </w:rPr>
              <w:t>Courbe non monotone</w:t>
            </w:r>
          </w:p>
        </w:tc>
        <w:tc>
          <w:tcPr>
            <w:tcW w:type="dxa" w:w="3515"/>
            <w:vAlign w:val="center"/>
            <w:tcBorders>
              <w:bottom w:val="single" w:sz="4" w:color="D8E1EC"/>
            </w:tcBorders>
          </w:tcPr>
          <w:p>
            <w:pPr>
              <w:spacing w:after="30" w:before="30"/>
            </w:pPr>
            <w:r>
              <w:rPr>
                <w:color w:val="182230"/>
                <w:sz w:val="16"/>
              </w:rPr>
              <w:t>Rigidification, cristallisation, gonflement, bruit</w:t>
            </w:r>
          </w:p>
        </w:tc>
        <w:tc>
          <w:tcPr>
            <w:tcW w:type="dxa" w:w="3685"/>
            <w:vAlign w:val="center"/>
            <w:tcBorders>
              <w:bottom w:val="single" w:sz="4" w:color="D8E1EC"/>
            </w:tcBorders>
          </w:tcPr>
          <w:p>
            <w:pPr>
              <w:spacing w:after="30" w:before="30"/>
            </w:pPr>
            <w:r>
              <w:rPr>
                <w:color w:val="182230"/>
                <w:sz w:val="16"/>
              </w:rPr>
              <w:t>Autoriser la forme ; éviter une loi imposée</w:t>
            </w:r>
          </w:p>
        </w:tc>
      </w:tr>
      <w:tr>
        <w:trPr>
          <w:cantSplit/>
        </w:trPr>
        <w:tc>
          <w:tcPr>
            <w:tcW w:type="dxa" w:w="2098"/>
            <w:shd w:fill="F6F8FB"/>
            <w:vAlign w:val="center"/>
            <w:tcBorders>
              <w:bottom w:val="single" w:sz="4" w:color="D8E1EC"/>
            </w:tcBorders>
          </w:tcPr>
          <w:p>
            <w:pPr>
              <w:spacing w:after="30" w:before="30"/>
            </w:pPr>
            <w:r>
              <w:rPr>
                <w:color w:val="182230"/>
                <w:sz w:val="16"/>
              </w:rPr>
              <w:t>R² négatif</w:t>
            </w:r>
          </w:p>
        </w:tc>
        <w:tc>
          <w:tcPr>
            <w:tcW w:type="dxa" w:w="3515"/>
            <w:shd w:fill="F6F8FB"/>
            <w:vAlign w:val="center"/>
            <w:tcBorders>
              <w:bottom w:val="single" w:sz="4" w:color="D8E1EC"/>
            </w:tcBorders>
          </w:tcPr>
          <w:p>
            <w:pPr>
              <w:spacing w:after="30" w:before="30"/>
            </w:pPr>
            <w:r>
              <w:rPr>
                <w:color w:val="182230"/>
                <w:sz w:val="16"/>
              </w:rPr>
              <w:t>Transfert ou modèle inadapté</w:t>
            </w:r>
          </w:p>
        </w:tc>
        <w:tc>
          <w:tcPr>
            <w:tcW w:type="dxa" w:w="3685"/>
            <w:shd w:fill="F6F8FB"/>
            <w:vAlign w:val="center"/>
            <w:tcBorders>
              <w:bottom w:val="single" w:sz="4" w:color="D8E1EC"/>
            </w:tcBorders>
          </w:tcPr>
          <w:p>
            <w:pPr>
              <w:spacing w:after="30" w:before="30"/>
            </w:pPr>
            <w:r>
              <w:rPr>
                <w:color w:val="182230"/>
                <w:sz w:val="16"/>
              </w:rPr>
              <w:t>Refuser la route</w:t>
            </w:r>
          </w:p>
        </w:tc>
      </w:tr>
      <w:tr>
        <w:trPr>
          <w:cantSplit/>
        </w:trPr>
        <w:tc>
          <w:tcPr>
            <w:tcW w:type="dxa" w:w="2098"/>
            <w:vAlign w:val="center"/>
            <w:tcBorders>
              <w:bottom w:val="single" w:sz="4" w:color="D8E1EC"/>
            </w:tcBorders>
          </w:tcPr>
          <w:p>
            <w:pPr>
              <w:spacing w:after="30" w:before="30"/>
            </w:pPr>
            <w:r>
              <w:rPr>
                <w:color w:val="182230"/>
                <w:sz w:val="16"/>
              </w:rPr>
              <w:t>Borne physiquement impossible</w:t>
            </w:r>
          </w:p>
        </w:tc>
        <w:tc>
          <w:tcPr>
            <w:tcW w:type="dxa" w:w="3515"/>
            <w:vAlign w:val="center"/>
            <w:tcBorders>
              <w:bottom w:val="single" w:sz="4" w:color="D8E1EC"/>
            </w:tcBorders>
          </w:tcPr>
          <w:p>
            <w:pPr>
              <w:spacing w:after="30" w:before="30"/>
            </w:pPr>
            <w:r>
              <w:rPr>
                <w:color w:val="182230"/>
                <w:sz w:val="16"/>
              </w:rPr>
              <w:t>Mauvaise paramétrisation ou extrapolation</w:t>
            </w:r>
          </w:p>
        </w:tc>
        <w:tc>
          <w:tcPr>
            <w:tcW w:type="dxa" w:w="3685"/>
            <w:vAlign w:val="center"/>
            <w:tcBorders>
              <w:bottom w:val="single" w:sz="4" w:color="D8E1EC"/>
            </w:tcBorders>
          </w:tcPr>
          <w:p>
            <w:pPr>
              <w:spacing w:after="30" w:before="30"/>
            </w:pPr>
            <w:r>
              <w:rPr>
                <w:color w:val="182230"/>
                <w:sz w:val="16"/>
              </w:rPr>
              <w:t>Contraindre, signaler, bloquer</w:t>
            </w:r>
          </w:p>
        </w:tc>
      </w:tr>
      <w:tr>
        <w:trPr>
          <w:cantSplit/>
        </w:trPr>
        <w:tc>
          <w:tcPr>
            <w:tcW w:type="dxa" w:w="2098"/>
            <w:shd w:fill="F6F8FB"/>
            <w:vAlign w:val="center"/>
            <w:tcBorders>
              <w:bottom w:val="single" w:sz="4" w:color="D8E1EC"/>
            </w:tcBorders>
          </w:tcPr>
          <w:p>
            <w:pPr>
              <w:spacing w:after="30" w:before="30"/>
            </w:pPr>
            <w:r>
              <w:rPr>
                <w:color w:val="182230"/>
                <w:sz w:val="16"/>
              </w:rPr>
              <w:t>Passage de Tg/Tm</w:t>
            </w:r>
          </w:p>
        </w:tc>
        <w:tc>
          <w:tcPr>
            <w:tcW w:type="dxa" w:w="3515"/>
            <w:shd w:fill="F6F8FB"/>
            <w:vAlign w:val="center"/>
            <w:tcBorders>
              <w:bottom w:val="single" w:sz="4" w:color="D8E1EC"/>
            </w:tcBorders>
          </w:tcPr>
          <w:p>
            <w:pPr>
              <w:spacing w:after="30" w:before="30"/>
            </w:pPr>
            <w:r>
              <w:rPr>
                <w:color w:val="182230"/>
                <w:sz w:val="16"/>
              </w:rPr>
              <w:t>Changement d'état ou de mécanisme</w:t>
            </w:r>
          </w:p>
        </w:tc>
        <w:tc>
          <w:tcPr>
            <w:tcW w:type="dxa" w:w="3685"/>
            <w:shd w:fill="F6F8FB"/>
            <w:vAlign w:val="center"/>
            <w:tcBorders>
              <w:bottom w:val="single" w:sz="4" w:color="D8E1EC"/>
            </w:tcBorders>
          </w:tcPr>
          <w:p>
            <w:pPr>
              <w:spacing w:after="30" w:before="30"/>
            </w:pPr>
            <w:r>
              <w:rPr>
                <w:color w:val="182230"/>
                <w:sz w:val="16"/>
              </w:rPr>
              <w:t>Refuser le transfert simple</w:t>
            </w:r>
          </w:p>
        </w:tc>
      </w:tr>
      <w:tr>
        <w:trPr>
          <w:cantSplit/>
        </w:trPr>
        <w:tc>
          <w:tcPr>
            <w:tcW w:type="dxa" w:w="2098"/>
            <w:vAlign w:val="center"/>
            <w:tcBorders>
              <w:bottom w:val="single" w:sz="4" w:color="D8E1EC"/>
            </w:tcBorders>
          </w:tcPr>
          <w:p>
            <w:pPr>
              <w:spacing w:after="30" w:before="30"/>
            </w:pPr>
            <w:r>
              <w:rPr>
                <w:color w:val="182230"/>
                <w:sz w:val="16"/>
              </w:rPr>
              <w:t>Bande trop étroite</w:t>
            </w:r>
          </w:p>
        </w:tc>
        <w:tc>
          <w:tcPr>
            <w:tcW w:type="dxa" w:w="3515"/>
            <w:vAlign w:val="center"/>
            <w:tcBorders>
              <w:bottom w:val="single" w:sz="4" w:color="D8E1EC"/>
            </w:tcBorders>
          </w:tcPr>
          <w:p>
            <w:pPr>
              <w:spacing w:after="30" w:before="30"/>
            </w:pPr>
            <w:r>
              <w:rPr>
                <w:color w:val="182230"/>
                <w:sz w:val="16"/>
              </w:rPr>
              <w:t>Peu de groupes ou fuite d'information</w:t>
            </w:r>
          </w:p>
        </w:tc>
        <w:tc>
          <w:tcPr>
            <w:tcW w:type="dxa" w:w="3685"/>
            <w:vAlign w:val="center"/>
            <w:tcBorders>
              <w:bottom w:val="single" w:sz="4" w:color="D8E1EC"/>
            </w:tcBorders>
          </w:tcPr>
          <w:p>
            <w:pPr>
              <w:spacing w:after="30" w:before="30"/>
            </w:pPr>
            <w:r>
              <w:rPr>
                <w:color w:val="182230"/>
                <w:sz w:val="16"/>
              </w:rPr>
              <w:t>Recalculer hors groupe et afficher n</w:t>
            </w:r>
          </w:p>
        </w:tc>
      </w:tr>
    </w:tbl>
    <w:p>
      <w:pPr>
        <w:spacing w:after="0"/>
      </w:pPr>
    </w:p>
    <w:p>
      <w:pPr>
        <w:pStyle w:val="Heading2"/>
        <w:keepNext/>
      </w:pPr>
      <w:r>
        <w:t>10.4 Risque de surapprentissage</w:t>
      </w:r>
    </w:p>
    <w:p>
      <w:r>
        <w:rPr>
          <w:i w:val="0"/>
        </w:rPr>
        <w:t>Avec peu de séries, XGBoost, Random Forest ou MLP peuvent apprendre l'identité d'une formulation plutôt que la physique. Le risque est réduit par le masquage de groupes, la comparaison à des baselines, la limitation du nombre de paramètres et la conservation d'un jeu externe. Les courbes d'apprentissage deviennent pertinentes seulement lorsque le nombre de groupes indépendants permet plusieurs tailles d'entraînement.</w:t>
      </w:r>
    </w:p>
    <w:tbl>
      <w:tblPr>
        <w:tblW w:type="auto" w:w="0"/>
        <w:tblLayout w:type="fixed"/>
        <w:tblLook w:firstColumn="1" w:firstRow="1" w:lastColumn="0" w:lastRow="0" w:noHBand="0" w:noVBand="1" w:val="04A0"/>
      </w:tblPr>
      <w:tblGrid>
        <w:gridCol w:w="102"/>
        <w:gridCol w:w="9298"/>
      </w:tblGrid>
      <w:tr>
        <w:tc>
          <w:tcPr>
            <w:tcW w:type="dxa" w:w="4933"/>
            <w:shd w:fill="E28A32"/>
            <w:tcBorders>
              <w:top w:val="nil"/>
              <w:left w:val="nil"/>
              <w:bottom w:val="nil"/>
              <w:right w:val="nil"/>
            </w:tcBorders>
          </w:tcPr>
          <w:p/>
        </w:tc>
        <w:tc>
          <w:tcPr>
            <w:tcW w:type="dxa" w:w="4933"/>
            <w:shd w:fill="FFF4E6"/>
            <w:tcBorders>
              <w:top w:val="nil"/>
              <w:left w:val="nil"/>
              <w:bottom w:val="nil"/>
              <w:right w:val="nil"/>
            </w:tcBorders>
          </w:tcPr>
          <w:p>
            <w:pPr>
              <w:spacing w:after="40"/>
            </w:pPr>
            <w:r>
              <w:rPr>
                <w:b/>
                <w:color w:val="E28A32"/>
              </w:rPr>
              <w:t xml:space="preserve">Conclusion critique  </w:t>
            </w:r>
            <w:r>
              <w:t>La performance PP est prometteuse mais interne à une seule publication. La capacité du logiciel à refuser le transfert IIR est aussi importante que son bon score PP : elle empêche de transformer une courbe plausible en résultat trompeur.</w:t>
            </w:r>
          </w:p>
        </w:tc>
      </w:tr>
    </w:tbl>
    <w:p>
      <w:pPr>
        <w:pStyle w:val="Heading2"/>
        <w:keepNext/>
      </w:pPr>
      <w:r>
        <w:t>10.5 Protocole hors-piste demandé par la trame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154"/>
            <w:shd w:fill="17365D"/>
            <w:vAlign w:val="center"/>
            <w:tcBorders>
              <w:bottom w:val="single" w:sz="5" w:color="FFFFFF"/>
            </w:tcBorders>
          </w:tcPr>
          <w:p>
            <w:pPr>
              <w:jc w:val="left"/>
            </w:pPr>
            <w:r>
              <w:rPr>
                <w:b/>
                <w:color w:val="FFFFFF"/>
                <w:sz w:val="14"/>
              </w:rPr>
              <w:t>Test d'extrapolation</w:t>
            </w:r>
          </w:p>
        </w:tc>
        <w:tc>
          <w:tcPr>
            <w:tcW w:type="dxa" w:w="3458"/>
            <w:shd w:fill="17365D"/>
            <w:vAlign w:val="center"/>
            <w:tcBorders>
              <w:bottom w:val="single" w:sz="5" w:color="FFFFFF"/>
            </w:tcBorders>
          </w:tcPr>
          <w:p>
            <w:pPr>
              <w:jc w:val="left"/>
            </w:pPr>
            <w:r>
              <w:rPr>
                <w:b/>
                <w:color w:val="FFFFFF"/>
                <w:sz w:val="14"/>
              </w:rPr>
              <w:t>Simulation</w:t>
            </w:r>
          </w:p>
        </w:tc>
        <w:tc>
          <w:tcPr>
            <w:tcW w:type="dxa" w:w="3685"/>
            <w:shd w:fill="17365D"/>
            <w:vAlign w:val="center"/>
            <w:tcBorders>
              <w:bottom w:val="single" w:sz="5" w:color="FFFFFF"/>
            </w:tcBorders>
          </w:tcPr>
          <w:p>
            <w:pPr>
              <w:jc w:val="left"/>
            </w:pPr>
            <w:r>
              <w:rPr>
                <w:b/>
                <w:color w:val="FFFFFF"/>
                <w:sz w:val="14"/>
              </w:rPr>
              <w:t>Contrôle attendu</w:t>
            </w:r>
          </w:p>
        </w:tc>
      </w:tr>
      <w:tr>
        <w:trPr>
          <w:cantSplit/>
        </w:trPr>
        <w:tc>
          <w:tcPr>
            <w:tcW w:type="dxa" w:w="2154"/>
            <w:vAlign w:val="center"/>
            <w:tcBorders>
              <w:bottom w:val="single" w:sz="4" w:color="D8E1EC"/>
            </w:tcBorders>
          </w:tcPr>
          <w:p>
            <w:pPr>
              <w:spacing w:after="30" w:before="30"/>
            </w:pPr>
            <w:r>
              <w:rPr>
                <w:color w:val="182230"/>
                <w:sz w:val="14"/>
              </w:rPr>
              <w:t>Temps long</w:t>
            </w:r>
          </w:p>
        </w:tc>
        <w:tc>
          <w:tcPr>
            <w:tcW w:type="dxa" w:w="3458"/>
            <w:vAlign w:val="center"/>
            <w:tcBorders>
              <w:bottom w:val="single" w:sz="4" w:color="D8E1EC"/>
            </w:tcBorders>
          </w:tcPr>
          <w:p>
            <w:pPr>
              <w:spacing w:after="30" w:before="30"/>
            </w:pPr>
            <w:r>
              <w:rPr>
                <w:color w:val="182230"/>
                <w:sz w:val="14"/>
              </w:rPr>
              <w:t>2500 h puis 2x, 5x et 10x la fenêtre publiée</w:t>
            </w:r>
          </w:p>
        </w:tc>
        <w:tc>
          <w:tcPr>
            <w:tcW w:type="dxa" w:w="3685"/>
            <w:vAlign w:val="center"/>
            <w:tcBorders>
              <w:bottom w:val="single" w:sz="4" w:color="D8E1EC"/>
            </w:tcBorders>
          </w:tcPr>
          <w:p>
            <w:pPr>
              <w:spacing w:after="30" w:before="30"/>
            </w:pPr>
            <w:r>
              <w:rPr>
                <w:color w:val="182230"/>
                <w:sz w:val="14"/>
              </w:rPr>
              <w:t>Positivité, asymptote, élargissement et statut hors domaine</w:t>
            </w:r>
          </w:p>
        </w:tc>
      </w:tr>
      <w:tr>
        <w:trPr>
          <w:cantSplit/>
        </w:trPr>
        <w:tc>
          <w:tcPr>
            <w:tcW w:type="dxa" w:w="2154"/>
            <w:shd w:fill="F6F8FB"/>
            <w:vAlign w:val="center"/>
            <w:tcBorders>
              <w:bottom w:val="single" w:sz="4" w:color="D8E1EC"/>
            </w:tcBorders>
          </w:tcPr>
          <w:p>
            <w:pPr>
              <w:spacing w:after="30" w:before="30"/>
            </w:pPr>
            <w:r>
              <w:rPr>
                <w:color w:val="182230"/>
                <w:sz w:val="14"/>
              </w:rPr>
              <w:t>Température haute</w:t>
            </w:r>
          </w:p>
        </w:tc>
        <w:tc>
          <w:tcPr>
            <w:tcW w:type="dxa" w:w="3458"/>
            <w:shd w:fill="F6F8FB"/>
            <w:vAlign w:val="center"/>
            <w:tcBorders>
              <w:bottom w:val="single" w:sz="4" w:color="D8E1EC"/>
            </w:tcBorders>
          </w:tcPr>
          <w:p>
            <w:pPr>
              <w:spacing w:after="30" w:before="30"/>
            </w:pPr>
            <w:r>
              <w:rPr>
                <w:color w:val="182230"/>
                <w:sz w:val="14"/>
              </w:rPr>
              <w:t>Tmax d'apprentissage puis +10, +20 °C</w:t>
            </w:r>
          </w:p>
        </w:tc>
        <w:tc>
          <w:tcPr>
            <w:tcW w:type="dxa" w:w="3685"/>
            <w:shd w:fill="F6F8FB"/>
            <w:vAlign w:val="center"/>
            <w:tcBorders>
              <w:bottom w:val="single" w:sz="4" w:color="D8E1EC"/>
            </w:tcBorders>
          </w:tcPr>
          <w:p>
            <w:pPr>
              <w:spacing w:after="30" w:before="30"/>
            </w:pPr>
            <w:r>
              <w:rPr>
                <w:color w:val="182230"/>
                <w:sz w:val="14"/>
              </w:rPr>
              <w:t>Arrhenius seulement sans transition ni changement de régime</w:t>
            </w:r>
          </w:p>
        </w:tc>
      </w:tr>
      <w:tr>
        <w:trPr>
          <w:cantSplit/>
        </w:trPr>
        <w:tc>
          <w:tcPr>
            <w:tcW w:type="dxa" w:w="2154"/>
            <w:vAlign w:val="center"/>
            <w:tcBorders>
              <w:bottom w:val="single" w:sz="4" w:color="D8E1EC"/>
            </w:tcBorders>
          </w:tcPr>
          <w:p>
            <w:pPr>
              <w:spacing w:after="30" w:before="30"/>
            </w:pPr>
            <w:r>
              <w:rPr>
                <w:color w:val="182230"/>
                <w:sz w:val="14"/>
              </w:rPr>
              <w:t>Humidité extrême</w:t>
            </w:r>
          </w:p>
        </w:tc>
        <w:tc>
          <w:tcPr>
            <w:tcW w:type="dxa" w:w="3458"/>
            <w:vAlign w:val="center"/>
            <w:tcBorders>
              <w:bottom w:val="single" w:sz="4" w:color="D8E1EC"/>
            </w:tcBorders>
          </w:tcPr>
          <w:p>
            <w:pPr>
              <w:spacing w:after="30" w:before="30"/>
            </w:pPr>
            <w:r>
              <w:rPr>
                <w:color w:val="182230"/>
                <w:sz w:val="14"/>
              </w:rPr>
              <w:t>HR = 0, 50, 95, 100 %</w:t>
            </w:r>
          </w:p>
        </w:tc>
        <w:tc>
          <w:tcPr>
            <w:tcW w:type="dxa" w:w="3685"/>
            <w:vAlign w:val="center"/>
            <w:tcBorders>
              <w:bottom w:val="single" w:sz="4" w:color="D8E1EC"/>
            </w:tcBorders>
          </w:tcPr>
          <w:p>
            <w:pPr>
              <w:spacing w:after="30" w:before="30"/>
            </w:pPr>
            <w:r>
              <w:rPr>
                <w:color w:val="182230"/>
                <w:sz w:val="14"/>
              </w:rPr>
              <w:t>Saturation bornée ; aucune HR en immersion</w:t>
            </w:r>
          </w:p>
        </w:tc>
      </w:tr>
      <w:tr>
        <w:trPr>
          <w:cantSplit/>
        </w:trPr>
        <w:tc>
          <w:tcPr>
            <w:tcW w:type="dxa" w:w="2154"/>
            <w:shd w:fill="F6F8FB"/>
            <w:vAlign w:val="center"/>
            <w:tcBorders>
              <w:bottom w:val="single" w:sz="4" w:color="D8E1EC"/>
            </w:tcBorders>
          </w:tcPr>
          <w:p>
            <w:pPr>
              <w:spacing w:after="30" w:before="30"/>
            </w:pPr>
            <w:r>
              <w:rPr>
                <w:color w:val="182230"/>
                <w:sz w:val="14"/>
              </w:rPr>
              <w:t>Épaisseur</w:t>
            </w:r>
          </w:p>
        </w:tc>
        <w:tc>
          <w:tcPr>
            <w:tcW w:type="dxa" w:w="3458"/>
            <w:shd w:fill="F6F8FB"/>
            <w:vAlign w:val="center"/>
            <w:tcBorders>
              <w:bottom w:val="single" w:sz="4" w:color="D8E1EC"/>
            </w:tcBorders>
          </w:tcPr>
          <w:p>
            <w:pPr>
              <w:spacing w:after="30" w:before="30"/>
            </w:pPr>
            <w:r>
              <w:rPr>
                <w:color w:val="182230"/>
                <w:sz w:val="14"/>
              </w:rPr>
              <w:t>0,5x, 1x, 2x, 4x</w:t>
            </w:r>
          </w:p>
        </w:tc>
        <w:tc>
          <w:tcPr>
            <w:tcW w:type="dxa" w:w="3685"/>
            <w:shd w:fill="F6F8FB"/>
            <w:vAlign w:val="center"/>
            <w:tcBorders>
              <w:bottom w:val="single" w:sz="4" w:color="D8E1EC"/>
            </w:tcBorders>
          </w:tcPr>
          <w:p>
            <w:pPr>
              <w:spacing w:after="30" w:before="30"/>
            </w:pPr>
            <w:r>
              <w:rPr>
                <w:color w:val="182230"/>
                <w:sz w:val="14"/>
              </w:rPr>
              <w:t>Temps de diffusion cohérent en e² si D actif</w:t>
            </w:r>
          </w:p>
        </w:tc>
      </w:tr>
      <w:tr>
        <w:trPr>
          <w:cantSplit/>
        </w:trPr>
        <w:tc>
          <w:tcPr>
            <w:tcW w:type="dxa" w:w="2154"/>
            <w:vAlign w:val="center"/>
            <w:tcBorders>
              <w:bottom w:val="single" w:sz="4" w:color="D8E1EC"/>
            </w:tcBorders>
          </w:tcPr>
          <w:p>
            <w:pPr>
              <w:spacing w:after="30" w:before="30"/>
            </w:pPr>
            <w:r>
              <w:rPr>
                <w:color w:val="182230"/>
                <w:sz w:val="14"/>
              </w:rPr>
              <w:t>Combinaison extrême</w:t>
            </w:r>
          </w:p>
        </w:tc>
        <w:tc>
          <w:tcPr>
            <w:tcW w:type="dxa" w:w="3458"/>
            <w:vAlign w:val="center"/>
            <w:tcBorders>
              <w:bottom w:val="single" w:sz="4" w:color="D8E1EC"/>
            </w:tcBorders>
          </w:tcPr>
          <w:p>
            <w:pPr>
              <w:spacing w:after="30" w:before="30"/>
            </w:pPr>
            <w:r>
              <w:rPr>
                <w:color w:val="182230"/>
                <w:sz w:val="14"/>
              </w:rPr>
              <w:t>Tmax + HRmax + faible e</w:t>
            </w:r>
          </w:p>
        </w:tc>
        <w:tc>
          <w:tcPr>
            <w:tcW w:type="dxa" w:w="3685"/>
            <w:vAlign w:val="center"/>
            <w:tcBorders>
              <w:bottom w:val="single" w:sz="4" w:color="D8E1EC"/>
            </w:tcBorders>
          </w:tcPr>
          <w:p>
            <w:pPr>
              <w:spacing w:after="30" w:before="30"/>
            </w:pPr>
            <w:r>
              <w:rPr>
                <w:color w:val="182230"/>
                <w:sz w:val="14"/>
              </w:rPr>
              <w:t>Aucune divergence ; alerte de distance multivariée</w:t>
            </w:r>
          </w:p>
        </w:tc>
      </w:tr>
      <w:tr>
        <w:trPr>
          <w:cantSplit/>
        </w:trPr>
        <w:tc>
          <w:tcPr>
            <w:tcW w:type="dxa" w:w="2154"/>
            <w:shd w:fill="F6F8FB"/>
            <w:vAlign w:val="center"/>
            <w:tcBorders>
              <w:bottom w:val="single" w:sz="4" w:color="D8E1EC"/>
            </w:tcBorders>
          </w:tcPr>
          <w:p>
            <w:pPr>
              <w:spacing w:after="30" w:before="30"/>
            </w:pPr>
            <w:r>
              <w:rPr>
                <w:color w:val="182230"/>
                <w:sz w:val="14"/>
              </w:rPr>
              <w:t>Grade nouveau</w:t>
            </w:r>
          </w:p>
        </w:tc>
        <w:tc>
          <w:tcPr>
            <w:tcW w:type="dxa" w:w="3458"/>
            <w:shd w:fill="F6F8FB"/>
            <w:vAlign w:val="center"/>
            <w:tcBorders>
              <w:bottom w:val="single" w:sz="4" w:color="D8E1EC"/>
            </w:tcBorders>
          </w:tcPr>
          <w:p>
            <w:pPr>
              <w:spacing w:after="30" w:before="30"/>
            </w:pPr>
            <w:r>
              <w:rPr>
                <w:color w:val="182230"/>
                <w:sz w:val="14"/>
              </w:rPr>
              <w:t>Leave-one-grade-out</w:t>
            </w:r>
          </w:p>
        </w:tc>
        <w:tc>
          <w:tcPr>
            <w:tcW w:type="dxa" w:w="3685"/>
            <w:shd w:fill="F6F8FB"/>
            <w:vAlign w:val="center"/>
            <w:tcBorders>
              <w:bottom w:val="single" w:sz="4" w:color="D8E1EC"/>
            </w:tcBorders>
          </w:tcPr>
          <w:p>
            <w:pPr>
              <w:spacing w:after="30" w:before="30"/>
            </w:pPr>
            <w:r>
              <w:rPr>
                <w:color w:val="182230"/>
                <w:sz w:val="14"/>
              </w:rPr>
              <w:t>Erreur et taux de refus publiés séparément</w:t>
            </w:r>
          </w:p>
        </w:tc>
      </w:tr>
    </w:tbl>
    <w:p>
      <w:pPr>
        <w:spacing w:after="0"/>
      </w:pPr>
    </w:p>
    <w:p>
      <w:r>
        <w:rPr>
          <w:i w:val="0"/>
        </w:rPr>
        <w:t>La sortie hors-piste n'est pas supprimée : elle est rendue visible pour étudier le modèle, avec une séparation graphique à la dernière observation. Cependant, la durée au seuil n'est plus qualifiée. Cette règle répond directement à la consigne d'analyser les projections au-delà de 2 500 h sans les confondre avec des résultats expérimentaux.</w:t>
      </w:r>
    </w:p>
    <w:p>
      <w:pPr>
        <w:pStyle w:val="Heading2"/>
        <w:keepNext/>
      </w:pPr>
      <w:r>
        <w:t>10.6 Détection de distance au domaine</w:t>
      </w:r>
    </w:p>
    <w:p>
      <w:r>
        <w:rPr>
          <w:i w:val="0"/>
        </w:rPr>
        <w:t>Un contrôle univarié par min/max est nécessaire mais insuffisant : une combinaison T élevée, HR élevée et faible épaisseur peut être absente même si chaque valeur apparaît séparément dans le corpus. L'extension prévue calcule une distance multivariée robuste dans l'espace normalisé, complétée par des règles catégorielles sur grade, milieu et procédé. Les cas éloignés sont refusés ou reçoivent une pénalité calibrée sur des groupes similaires.</w:t>
      </w:r>
    </w:p>
    <w:p>
      <w:pPr>
        <w:pStyle w:val="Heading2"/>
        <w:keepNext/>
      </w:pPr>
      <w:r>
        <w:t>10.7 Biais et limites non couverts par la bande</w:t>
      </w:r>
    </w:p>
    <w:p>
      <w:r>
        <w:rPr>
          <w:i w:val="0"/>
        </w:rPr>
        <w:t>La bande ne couvre pas automatiquement les biais de publication, les différences de protocole de traction, l'identité incomplète du grade, le décalage entre laboratoires, un mécanisme absent ou un changement de régime. Elle ne transforme pas non plus une observation censurée en durée infinie : si le seuil n'est pas atteint pendant l'essai, seule cette fenêtre est connue.</w:t>
      </w:r>
    </w:p>
    <w:p>
      <w:pPr>
        <w:keepLines/>
      </w:pPr>
      <w:r>
        <w:rPr>
          <w:b/>
          <w:i w:val="0"/>
          <w:color w:val="C44747"/>
          <w:sz w:val="16"/>
        </w:rPr>
        <w:t>Limite des boîtes noires - Un bon R² peut venir de la reconnaissance d'un laboratoire ou d'une formulation ; seul leur masquage vérifie la généralisation industrielle.</w:t>
      </w:r>
    </w:p>
    <w:p>
      <w:pPr>
        <w:pStyle w:val="Heading1"/>
        <w:keepNext/>
        <w:pageBreakBefore/>
      </w:pPr>
      <w:r>
        <w:t>11. Produit logiciel, reproductibilité et qualité</w:t>
      </w:r>
    </w:p>
    <w:p>
      <w:pPr>
        <w:pStyle w:val="Heading2"/>
        <w:keepNext/>
      </w:pPr>
      <w:r>
        <w:t>11.1 Parcours utilisateur</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850"/>
            <w:shd w:fill="17365D"/>
            <w:vAlign w:val="center"/>
            <w:tcBorders>
              <w:bottom w:val="single" w:sz="5" w:color="FFFFFF"/>
            </w:tcBorders>
          </w:tcPr>
          <w:p>
            <w:pPr>
              <w:jc w:val="left"/>
            </w:pPr>
            <w:r>
              <w:rPr>
                <w:b/>
                <w:color w:val="FFFFFF"/>
                <w:sz w:val="16"/>
              </w:rPr>
              <w:t>Étape</w:t>
            </w:r>
          </w:p>
        </w:tc>
        <w:tc>
          <w:tcPr>
            <w:tcW w:type="dxa" w:w="4025"/>
            <w:shd w:fill="17365D"/>
            <w:vAlign w:val="center"/>
            <w:tcBorders>
              <w:bottom w:val="single" w:sz="5" w:color="FFFFFF"/>
            </w:tcBorders>
          </w:tcPr>
          <w:p>
            <w:pPr>
              <w:jc w:val="left"/>
            </w:pPr>
            <w:r>
              <w:rPr>
                <w:b/>
                <w:color w:val="FFFFFF"/>
                <w:sz w:val="16"/>
              </w:rPr>
              <w:t>Action étudiante</w:t>
            </w:r>
          </w:p>
        </w:tc>
        <w:tc>
          <w:tcPr>
            <w:tcW w:type="dxa" w:w="4422"/>
            <w:shd w:fill="17365D"/>
            <w:vAlign w:val="center"/>
            <w:tcBorders>
              <w:bottom w:val="single" w:sz="5" w:color="FFFFFF"/>
            </w:tcBorders>
          </w:tcPr>
          <w:p>
            <w:pPr>
              <w:jc w:val="left"/>
            </w:pPr>
            <w:r>
              <w:rPr>
                <w:b/>
                <w:color w:val="FFFFFF"/>
                <w:sz w:val="16"/>
              </w:rPr>
              <w:t>Information produite</w:t>
            </w:r>
          </w:p>
        </w:tc>
      </w:tr>
      <w:tr>
        <w:trPr>
          <w:cantSplit/>
        </w:trPr>
        <w:tc>
          <w:tcPr>
            <w:tcW w:type="dxa" w:w="850"/>
            <w:vAlign w:val="center"/>
            <w:tcBorders>
              <w:bottom w:val="single" w:sz="4" w:color="D8E1EC"/>
            </w:tcBorders>
          </w:tcPr>
          <w:p>
            <w:pPr>
              <w:spacing w:after="30" w:before="30"/>
            </w:pPr>
            <w:r>
              <w:rPr>
                <w:color w:val="182230"/>
                <w:sz w:val="16"/>
              </w:rPr>
              <w:t>1</w:t>
            </w:r>
          </w:p>
        </w:tc>
        <w:tc>
          <w:tcPr>
            <w:tcW w:type="dxa" w:w="4025"/>
            <w:vAlign w:val="center"/>
            <w:tcBorders>
              <w:bottom w:val="single" w:sz="4" w:color="D8E1EC"/>
            </w:tcBorders>
          </w:tcPr>
          <w:p>
            <w:pPr>
              <w:spacing w:after="30" w:before="30"/>
            </w:pPr>
            <w:r>
              <w:rPr>
                <w:color w:val="182230"/>
                <w:sz w:val="16"/>
              </w:rPr>
              <w:t>Choisir ou créer un matériau</w:t>
            </w:r>
          </w:p>
        </w:tc>
        <w:tc>
          <w:tcPr>
            <w:tcW w:type="dxa" w:w="4422"/>
            <w:vAlign w:val="center"/>
            <w:tcBorders>
              <w:bottom w:val="single" w:sz="4" w:color="D8E1EC"/>
            </w:tcBorders>
          </w:tcPr>
          <w:p>
            <w:pPr>
              <w:spacing w:after="30" w:before="30"/>
            </w:pPr>
            <w:r>
              <w:rPr>
                <w:color w:val="182230"/>
                <w:sz w:val="16"/>
              </w:rPr>
              <w:t>Identité, E₀, grade, formulation</w:t>
            </w:r>
          </w:p>
        </w:tc>
      </w:tr>
      <w:tr>
        <w:trPr>
          <w:cantSplit/>
        </w:trPr>
        <w:tc>
          <w:tcPr>
            <w:tcW w:type="dxa" w:w="850"/>
            <w:shd w:fill="F6F8FB"/>
            <w:vAlign w:val="center"/>
            <w:tcBorders>
              <w:bottom w:val="single" w:sz="4" w:color="D8E1EC"/>
            </w:tcBorders>
          </w:tcPr>
          <w:p>
            <w:pPr>
              <w:spacing w:after="30" w:before="30"/>
            </w:pPr>
            <w:r>
              <w:rPr>
                <w:color w:val="182230"/>
                <w:sz w:val="16"/>
              </w:rPr>
              <w:t>2</w:t>
            </w:r>
          </w:p>
        </w:tc>
        <w:tc>
          <w:tcPr>
            <w:tcW w:type="dxa" w:w="4025"/>
            <w:shd w:fill="F6F8FB"/>
            <w:vAlign w:val="center"/>
            <w:tcBorders>
              <w:bottom w:val="single" w:sz="4" w:color="D8E1EC"/>
            </w:tcBorders>
          </w:tcPr>
          <w:p>
            <w:pPr>
              <w:spacing w:after="30" w:before="30"/>
            </w:pPr>
            <w:r>
              <w:rPr>
                <w:color w:val="182230"/>
                <w:sz w:val="16"/>
              </w:rPr>
              <w:t>Définir T, HR/liquide, épaisseur et horizon</w:t>
            </w:r>
          </w:p>
        </w:tc>
        <w:tc>
          <w:tcPr>
            <w:tcW w:type="dxa" w:w="4422"/>
            <w:shd w:fill="F6F8FB"/>
            <w:vAlign w:val="center"/>
            <w:tcBorders>
              <w:bottom w:val="single" w:sz="4" w:color="D8E1EC"/>
            </w:tcBorders>
          </w:tcPr>
          <w:p>
            <w:pPr>
              <w:spacing w:after="30" w:before="30"/>
            </w:pPr>
            <w:r>
              <w:rPr>
                <w:color w:val="182230"/>
                <w:sz w:val="16"/>
              </w:rPr>
              <w:t>Cas d'usage normalisé</w:t>
            </w:r>
          </w:p>
        </w:tc>
      </w:tr>
      <w:tr>
        <w:trPr>
          <w:cantSplit/>
        </w:trPr>
        <w:tc>
          <w:tcPr>
            <w:tcW w:type="dxa" w:w="850"/>
            <w:vAlign w:val="center"/>
            <w:tcBorders>
              <w:bottom w:val="single" w:sz="4" w:color="D8E1EC"/>
            </w:tcBorders>
          </w:tcPr>
          <w:p>
            <w:pPr>
              <w:spacing w:after="30" w:before="30"/>
            </w:pPr>
            <w:r>
              <w:rPr>
                <w:color w:val="182230"/>
                <w:sz w:val="16"/>
              </w:rPr>
              <w:t>3</w:t>
            </w:r>
          </w:p>
        </w:tc>
        <w:tc>
          <w:tcPr>
            <w:tcW w:type="dxa" w:w="4025"/>
            <w:vAlign w:val="center"/>
            <w:tcBorders>
              <w:bottom w:val="single" w:sz="4" w:color="D8E1EC"/>
            </w:tcBorders>
          </w:tcPr>
          <w:p>
            <w:pPr>
              <w:spacing w:after="30" w:before="30"/>
            </w:pPr>
            <w:r>
              <w:rPr>
                <w:color w:val="182230"/>
                <w:sz w:val="16"/>
              </w:rPr>
              <w:t>Calculer</w:t>
            </w:r>
          </w:p>
        </w:tc>
        <w:tc>
          <w:tcPr>
            <w:tcW w:type="dxa" w:w="4422"/>
            <w:vAlign w:val="center"/>
            <w:tcBorders>
              <w:bottom w:val="single" w:sz="4" w:color="D8E1EC"/>
            </w:tcBorders>
          </w:tcPr>
          <w:p>
            <w:pPr>
              <w:spacing w:after="30" w:before="30"/>
            </w:pPr>
            <w:r>
              <w:rPr>
                <w:color w:val="182230"/>
                <w:sz w:val="16"/>
              </w:rPr>
              <w:t>Courbe, seuil, bande et niveau de preuve</w:t>
            </w:r>
          </w:p>
        </w:tc>
      </w:tr>
      <w:tr>
        <w:trPr>
          <w:cantSplit/>
        </w:trPr>
        <w:tc>
          <w:tcPr>
            <w:tcW w:type="dxa" w:w="850"/>
            <w:shd w:fill="F6F8FB"/>
            <w:vAlign w:val="center"/>
            <w:tcBorders>
              <w:bottom w:val="single" w:sz="4" w:color="D8E1EC"/>
            </w:tcBorders>
          </w:tcPr>
          <w:p>
            <w:pPr>
              <w:spacing w:after="30" w:before="30"/>
            </w:pPr>
            <w:r>
              <w:rPr>
                <w:color w:val="182230"/>
                <w:sz w:val="16"/>
              </w:rPr>
              <w:t>4</w:t>
            </w:r>
          </w:p>
        </w:tc>
        <w:tc>
          <w:tcPr>
            <w:tcW w:type="dxa" w:w="4025"/>
            <w:shd w:fill="F6F8FB"/>
            <w:vAlign w:val="center"/>
            <w:tcBorders>
              <w:bottom w:val="single" w:sz="4" w:color="D8E1EC"/>
            </w:tcBorders>
          </w:tcPr>
          <w:p>
            <w:pPr>
              <w:spacing w:after="30" w:before="30"/>
            </w:pPr>
            <w:r>
              <w:rPr>
                <w:color w:val="182230"/>
                <w:sz w:val="16"/>
              </w:rPr>
              <w:t>Lire la validité</w:t>
            </w:r>
          </w:p>
        </w:tc>
        <w:tc>
          <w:tcPr>
            <w:tcW w:type="dxa" w:w="4422"/>
            <w:shd w:fill="F6F8FB"/>
            <w:vAlign w:val="center"/>
            <w:tcBorders>
              <w:bottom w:val="single" w:sz="4" w:color="D8E1EC"/>
            </w:tcBorders>
          </w:tcPr>
          <w:p>
            <w:pPr>
              <w:spacing w:after="30" w:before="30"/>
            </w:pPr>
            <w:r>
              <w:rPr>
                <w:color w:val="182230"/>
                <w:sz w:val="16"/>
              </w:rPr>
              <w:t>Domaine, sources, test masqué et limites</w:t>
            </w:r>
          </w:p>
        </w:tc>
      </w:tr>
      <w:tr>
        <w:trPr>
          <w:cantSplit/>
        </w:trPr>
        <w:tc>
          <w:tcPr>
            <w:tcW w:type="dxa" w:w="850"/>
            <w:vAlign w:val="center"/>
            <w:tcBorders>
              <w:bottom w:val="single" w:sz="4" w:color="D8E1EC"/>
            </w:tcBorders>
          </w:tcPr>
          <w:p>
            <w:pPr>
              <w:spacing w:after="30" w:before="30"/>
            </w:pPr>
            <w:r>
              <w:rPr>
                <w:color w:val="182230"/>
                <w:sz w:val="16"/>
              </w:rPr>
              <w:t>5</w:t>
            </w:r>
          </w:p>
        </w:tc>
        <w:tc>
          <w:tcPr>
            <w:tcW w:type="dxa" w:w="4025"/>
            <w:vAlign w:val="center"/>
            <w:tcBorders>
              <w:bottom w:val="single" w:sz="4" w:color="D8E1EC"/>
            </w:tcBorders>
          </w:tcPr>
          <w:p>
            <w:pPr>
              <w:spacing w:after="30" w:before="30"/>
            </w:pPr>
            <w:r>
              <w:rPr>
                <w:color w:val="182230"/>
                <w:sz w:val="16"/>
              </w:rPr>
              <w:t>Comparer et exporter</w:t>
            </w:r>
          </w:p>
        </w:tc>
        <w:tc>
          <w:tcPr>
            <w:tcW w:type="dxa" w:w="4422"/>
            <w:vAlign w:val="center"/>
            <w:tcBorders>
              <w:bottom w:val="single" w:sz="4" w:color="D8E1EC"/>
            </w:tcBorders>
          </w:tcPr>
          <w:p>
            <w:pPr>
              <w:spacing w:after="30" w:before="30"/>
            </w:pPr>
            <w:r>
              <w:rPr>
                <w:color w:val="182230"/>
                <w:sz w:val="16"/>
              </w:rPr>
              <w:t>Graphique commun, Excel, PDF, JSON</w:t>
            </w:r>
          </w:p>
        </w:tc>
      </w:tr>
    </w:tbl>
    <w:p>
      <w:pPr>
        <w:spacing w:after="0"/>
      </w:pPr>
    </w:p>
    <w:p>
      <w:pPr>
        <w:keepNext/>
        <w:jc w:val="center"/>
      </w:pPr>
      <w:r>
        <w:drawing>
          <wp:inline xmlns:a="http://schemas.openxmlformats.org/drawingml/2006/main" xmlns:pic="http://schemas.openxmlformats.org/drawingml/2006/picture">
            <wp:extent cx="5903999" cy="3689999"/>
            <wp:docPr id="12" name="Picture 12"/>
            <wp:cNvGraphicFramePr>
              <a:graphicFrameLocks noChangeAspect="1"/>
            </wp:cNvGraphicFramePr>
            <a:graphic>
              <a:graphicData uri="http://schemas.openxmlformats.org/drawingml/2006/picture">
                <pic:pic>
                  <pic:nvPicPr>
                    <pic:cNvPr id="0" name="app_simulation_pp.png"/>
                    <pic:cNvPicPr/>
                  </pic:nvPicPr>
                  <pic:blipFill>
                    <a:blip r:embed="rId21"/>
                    <a:stretch>
                      <a:fillRect/>
                    </a:stretch>
                  </pic:blipFill>
                  <pic:spPr>
                    <a:xfrm>
                      <a:off x="0" y="0"/>
                      <a:ext cx="5903999" cy="3689999"/>
                    </a:xfrm>
                    <a:prstGeom prst="rect"/>
                  </pic:spPr>
                </pic:pic>
              </a:graphicData>
            </a:graphic>
          </wp:inline>
        </w:drawing>
      </w:r>
    </w:p>
    <w:p>
      <w:pPr>
        <w:pStyle w:val="Caption"/>
        <w:keepLines/>
      </w:pPr>
      <w:r>
        <w:t>Figure 12 - Écran de simulation PP : les paramètres restent visibles à gauche pendant que la courbe, le temps au seuil, la bande et le niveau de preuve sont affichés à droite.</w:t>
      </w:r>
    </w:p>
    <w:p>
      <w:r>
        <w:rPr>
          <w:i w:val="0"/>
        </w:rPr>
        <w:t>Cette disposition permet de relier immédiatement une variation d'entrée à la sortie. L'écran sépare trois notions : la précision mesurée sur les références, l'applicabilité au grade choisi et la complétude de sa description. Le chiffre de 100 % visible ici signifie 8/8 prédictions PP à moins de ±5 % dans le contrôle interne ; il ne constitue pas une garantie individuelle du grade utilisateur.</w:t>
      </w:r>
    </w:p>
    <w:p>
      <w:pPr>
        <w:keepNext/>
        <w:jc w:val="center"/>
      </w:pPr>
      <w:r>
        <w:drawing>
          <wp:inline xmlns:a="http://schemas.openxmlformats.org/drawingml/2006/main" xmlns:pic="http://schemas.openxmlformats.org/drawingml/2006/picture">
            <wp:extent cx="5903999" cy="3689999"/>
            <wp:docPr id="13" name="Picture 13"/>
            <wp:cNvGraphicFramePr>
              <a:graphicFrameLocks noChangeAspect="1"/>
            </wp:cNvGraphicFramePr>
            <a:graphic>
              <a:graphicData uri="http://schemas.openxmlformats.org/drawingml/2006/picture">
                <pic:pic>
                  <pic:nvPicPr>
                    <pic:cNvPr id="0" name="app_simulation_pp_details.png"/>
                    <pic:cNvPicPr/>
                  </pic:nvPicPr>
                  <pic:blipFill>
                    <a:blip r:embed="rId22"/>
                    <a:stretch>
                      <a:fillRect/>
                    </a:stretch>
                  </pic:blipFill>
                  <pic:spPr>
                    <a:xfrm>
                      <a:off x="0" y="0"/>
                      <a:ext cx="5903999" cy="3689999"/>
                    </a:xfrm>
                    <a:prstGeom prst="rect"/>
                  </pic:spPr>
                </pic:pic>
              </a:graphicData>
            </a:graphic>
          </wp:inline>
        </w:drawing>
      </w:r>
    </w:p>
    <w:p>
      <w:pPr>
        <w:pStyle w:val="Caption"/>
        <w:keepLines/>
      </w:pPr>
      <w:r>
        <w:t>Figure 13 - Détail de la précision : SeaMat indique pour chaque variable si elle est caractérisée et si son effet a réellement été appris dans le corpus.</w:t>
      </w:r>
    </w:p>
    <w:p>
      <w:r>
        <w:rPr>
          <w:i w:val="0"/>
        </w:rPr>
        <w:t>Le panneau développé empêche d'assimiler l'existence d'un champ de formulaire à une influence apprise. Dans le corpus PP, température, humidité et épaisseur ne varient pas suffisamment pour identifier séparément leurs effets. Elles sont donc signalées comme non caractérisées, même si l'utilisateur peut les renseigner.</w:t>
      </w:r>
    </w:p>
    <w:p>
      <w:pPr>
        <w:keepNext/>
        <w:jc w:val="center"/>
      </w:pPr>
      <w:r>
        <w:drawing>
          <wp:inline xmlns:a="http://schemas.openxmlformats.org/drawingml/2006/main" xmlns:pic="http://schemas.openxmlformats.org/drawingml/2006/picture">
            <wp:extent cx="5903999" cy="3689999"/>
            <wp:docPr id="14" name="Picture 14"/>
            <wp:cNvGraphicFramePr>
              <a:graphicFrameLocks noChangeAspect="1"/>
            </wp:cNvGraphicFramePr>
            <a:graphic>
              <a:graphicData uri="http://schemas.openxmlformats.org/drawingml/2006/picture">
                <pic:pic>
                  <pic:nvPicPr>
                    <pic:cNvPr id="0" name="app_materials.png"/>
                    <pic:cNvPicPr/>
                  </pic:nvPicPr>
                  <pic:blipFill>
                    <a:blip r:embed="rId23"/>
                    <a:stretch>
                      <a:fillRect/>
                    </a:stretch>
                  </pic:blipFill>
                  <pic:spPr>
                    <a:xfrm>
                      <a:off x="0" y="0"/>
                      <a:ext cx="5903999" cy="3689999"/>
                    </a:xfrm>
                    <a:prstGeom prst="rect"/>
                  </pic:spPr>
                </pic:pic>
              </a:graphicData>
            </a:graphic>
          </wp:inline>
        </w:drawing>
      </w:r>
    </w:p>
    <w:p>
      <w:pPr>
        <w:pStyle w:val="Caption"/>
        <w:keepLines/>
      </w:pPr>
      <w:r>
        <w:t>Figure 14 - Catalogue SeaMat : 75 fiches taxonomiques, 43 preuves publiées et 21 profils recoupés ; aucune observation n'est automatiquement acceptée pour l'apprentissage.</w:t>
      </w:r>
    </w:p>
    <w:p>
      <w:r>
        <w:rPr>
          <w:i w:val="0"/>
        </w:rPr>
        <w:t>La capture illustre la différence entre couverture documentaire et couverture prédictive. Une fiche peut être correctement classée et sourcée sans disposer d'une série E(t) compatible. Seules les observations ayant une propriété, un protocole, des unités et une source vérifiables peuvent rejoindre le corpus d'apprentissage.</w:t>
      </w:r>
    </w:p>
    <w:p>
      <w:pPr>
        <w:keepNext/>
        <w:jc w:val="center"/>
      </w:pPr>
      <w:r>
        <w:drawing>
          <wp:inline xmlns:a="http://schemas.openxmlformats.org/drawingml/2006/main" xmlns:pic="http://schemas.openxmlformats.org/drawingml/2006/picture">
            <wp:extent cx="5903999" cy="3689999"/>
            <wp:docPr id="15" name="Picture 15"/>
            <wp:cNvGraphicFramePr>
              <a:graphicFrameLocks noChangeAspect="1"/>
            </wp:cNvGraphicFramePr>
            <a:graphic>
              <a:graphicData uri="http://schemas.openxmlformats.org/drawingml/2006/picture">
                <pic:pic>
                  <pic:nvPicPr>
                    <pic:cNvPr id="0" name="app_compare.png"/>
                    <pic:cNvPicPr/>
                  </pic:nvPicPr>
                  <pic:blipFill>
                    <a:blip r:embed="rId24"/>
                    <a:stretch>
                      <a:fillRect/>
                    </a:stretch>
                  </pic:blipFill>
                  <pic:spPr>
                    <a:xfrm>
                      <a:off x="0" y="0"/>
                      <a:ext cx="5903999" cy="3689999"/>
                    </a:xfrm>
                    <a:prstGeom prst="rect"/>
                  </pic:spPr>
                </pic:pic>
              </a:graphicData>
            </a:graphic>
          </wp:inline>
        </w:drawing>
      </w:r>
    </w:p>
    <w:p>
      <w:pPr>
        <w:pStyle w:val="Caption"/>
        <w:keepLines/>
      </w:pPr>
      <w:r>
        <w:t>Figure 15 - Comparateur : deux matériaux ou deux conditions sont ramenés à E/E₀ afin de comparer les vitesses relatives sans confondre les modules initiaux.</w:t>
      </w:r>
    </w:p>
    <w:p>
      <w:r>
        <w:rPr>
          <w:i w:val="0"/>
        </w:rPr>
        <w:t>Le comparateur sert à la présélection. Il affiche la compatibilité des conditions et conserve le seuil commun. Une courbe plus haute signifie une meilleure conservation relative dans le modèle utilisé ; elle ne signifie pas nécessairement que le matériau possède le module absolu le plus élevé.</w:t>
      </w:r>
    </w:p>
    <w:p>
      <w:pPr>
        <w:pStyle w:val="Heading2"/>
        <w:keepNext/>
      </w:pPr>
      <w:r>
        <w:t>11.2 Reproductibilité</w:t>
      </w:r>
    </w:p>
    <w:p>
      <w:pPr>
        <w:pStyle w:val="ListBullet"/>
        <w:spacing w:after="60"/>
        <w:ind w:left="255" w:hanging="113"/>
      </w:pPr>
      <w:r>
        <w:t>Version moteur, route, paramètres, DOI, lignes source et empreinte SHA-256 dans chaque résultat.</w:t>
      </w:r>
    </w:p>
    <w:p>
      <w:pPr>
        <w:pStyle w:val="ListBullet"/>
        <w:spacing w:after="60"/>
        <w:ind w:left="255" w:hanging="113"/>
      </w:pPr>
      <w:r>
        <w:t>Tests unitaires des unités, seuils, interpolation, contrôles de domaine et exports.</w:t>
      </w:r>
    </w:p>
    <w:p>
      <w:pPr>
        <w:pStyle w:val="ListBullet"/>
        <w:spacing w:after="60"/>
        <w:ind w:left="255" w:hanging="113"/>
      </w:pPr>
      <w:r>
        <w:t>Audit exécutable sur données réelles : PP, IIR, paramètres avancés et cycle d'export.</w:t>
      </w:r>
    </w:p>
    <w:p>
      <w:pPr>
        <w:pStyle w:val="ListBullet"/>
        <w:spacing w:after="60"/>
        <w:ind w:left="255" w:hanging="113"/>
      </w:pPr>
      <w:r>
        <w:t>Distribution Windows, macOS, Linux et Docker ; base locale SQLite et déploiement serveur possible.</w:t>
      </w:r>
    </w:p>
    <w:p>
      <w:pPr>
        <w:pStyle w:val="Heading2"/>
        <w:keepNext/>
      </w:pPr>
      <w:r>
        <w:t>11.3 État vérifié</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381"/>
            <w:shd w:fill="17365D"/>
            <w:vAlign w:val="center"/>
            <w:tcBorders>
              <w:bottom w:val="single" w:sz="5" w:color="FFFFFF"/>
            </w:tcBorders>
          </w:tcPr>
          <w:p>
            <w:pPr>
              <w:jc w:val="left"/>
            </w:pPr>
            <w:r>
              <w:rPr>
                <w:b/>
                <w:color w:val="FFFFFF"/>
                <w:sz w:val="16"/>
              </w:rPr>
              <w:t>Élément</w:t>
            </w:r>
          </w:p>
        </w:tc>
        <w:tc>
          <w:tcPr>
            <w:tcW w:type="dxa" w:w="2494"/>
            <w:shd w:fill="17365D"/>
            <w:vAlign w:val="center"/>
            <w:tcBorders>
              <w:bottom w:val="single" w:sz="5" w:color="FFFFFF"/>
            </w:tcBorders>
          </w:tcPr>
          <w:p>
            <w:pPr>
              <w:jc w:val="left"/>
            </w:pPr>
            <w:r>
              <w:rPr>
                <w:b/>
                <w:color w:val="FFFFFF"/>
                <w:sz w:val="16"/>
              </w:rPr>
              <w:t>État</w:t>
            </w:r>
          </w:p>
        </w:tc>
        <w:tc>
          <w:tcPr>
            <w:tcW w:type="dxa" w:w="4422"/>
            <w:shd w:fill="17365D"/>
            <w:vAlign w:val="center"/>
            <w:tcBorders>
              <w:bottom w:val="single" w:sz="5" w:color="FFFFFF"/>
            </w:tcBorders>
          </w:tcPr>
          <w:p>
            <w:pPr>
              <w:jc w:val="left"/>
            </w:pPr>
            <w:r>
              <w:rPr>
                <w:b/>
                <w:color w:val="FFFFFF"/>
                <w:sz w:val="16"/>
              </w:rPr>
              <w:t>Portée</w:t>
            </w:r>
          </w:p>
        </w:tc>
      </w:tr>
      <w:tr>
        <w:trPr>
          <w:cantSplit/>
        </w:trPr>
        <w:tc>
          <w:tcPr>
            <w:tcW w:type="dxa" w:w="2381"/>
            <w:vAlign w:val="center"/>
            <w:tcBorders>
              <w:bottom w:val="single" w:sz="4" w:color="D8E1EC"/>
            </w:tcBorders>
          </w:tcPr>
          <w:p>
            <w:pPr>
              <w:spacing w:after="30" w:before="30"/>
            </w:pPr>
            <w:r>
              <w:rPr>
                <w:color w:val="182230"/>
                <w:sz w:val="16"/>
              </w:rPr>
              <w:t>Tests automatisés</w:t>
            </w:r>
          </w:p>
        </w:tc>
        <w:tc>
          <w:tcPr>
            <w:tcW w:type="dxa" w:w="2494"/>
            <w:vAlign w:val="center"/>
            <w:tcBorders>
              <w:bottom w:val="single" w:sz="4" w:color="D8E1EC"/>
            </w:tcBorders>
          </w:tcPr>
          <w:p>
            <w:pPr>
              <w:spacing w:after="30" w:before="30"/>
            </w:pPr>
            <w:r>
              <w:rPr>
                <w:color w:val="182230"/>
                <w:sz w:val="16"/>
              </w:rPr>
              <w:t>178 réussis</w:t>
            </w:r>
          </w:p>
        </w:tc>
        <w:tc>
          <w:tcPr>
            <w:tcW w:type="dxa" w:w="4422"/>
            <w:vAlign w:val="center"/>
            <w:tcBorders>
              <w:bottom w:val="single" w:sz="4" w:color="D8E1EC"/>
            </w:tcBorders>
          </w:tcPr>
          <w:p>
            <w:pPr>
              <w:spacing w:after="30" w:before="30"/>
            </w:pPr>
            <w:r>
              <w:rPr>
                <w:color w:val="182230"/>
                <w:sz w:val="16"/>
              </w:rPr>
              <w:t>Fonctionnement informatique et non-régression</w:t>
            </w:r>
          </w:p>
        </w:tc>
      </w:tr>
      <w:tr>
        <w:trPr>
          <w:cantSplit/>
        </w:trPr>
        <w:tc>
          <w:tcPr>
            <w:tcW w:type="dxa" w:w="2381"/>
            <w:shd w:fill="F6F8FB"/>
            <w:vAlign w:val="center"/>
            <w:tcBorders>
              <w:bottom w:val="single" w:sz="4" w:color="D8E1EC"/>
            </w:tcBorders>
          </w:tcPr>
          <w:p>
            <w:pPr>
              <w:spacing w:after="30" w:before="30"/>
            </w:pPr>
            <w:r>
              <w:rPr>
                <w:color w:val="182230"/>
                <w:sz w:val="16"/>
              </w:rPr>
              <w:t>Audit PP</w:t>
            </w:r>
          </w:p>
        </w:tc>
        <w:tc>
          <w:tcPr>
            <w:tcW w:type="dxa" w:w="2494"/>
            <w:shd w:fill="F6F8FB"/>
            <w:vAlign w:val="center"/>
            <w:tcBorders>
              <w:bottom w:val="single" w:sz="4" w:color="D8E1EC"/>
            </w:tcBorders>
          </w:tcPr>
          <w:p>
            <w:pPr>
              <w:spacing w:after="30" w:before="30"/>
            </w:pPr>
            <w:r>
              <w:rPr>
                <w:color w:val="182230"/>
                <w:sz w:val="16"/>
              </w:rPr>
              <w:t>MAPE 2,75 %</w:t>
            </w:r>
          </w:p>
        </w:tc>
        <w:tc>
          <w:tcPr>
            <w:tcW w:type="dxa" w:w="4422"/>
            <w:shd w:fill="F6F8FB"/>
            <w:vAlign w:val="center"/>
            <w:tcBorders>
              <w:bottom w:val="single" w:sz="4" w:color="D8E1EC"/>
            </w:tcBorders>
          </w:tcPr>
          <w:p>
            <w:pPr>
              <w:spacing w:after="30" w:before="30"/>
            </w:pPr>
            <w:r>
              <w:rPr>
                <w:color w:val="182230"/>
                <w:sz w:val="16"/>
              </w:rPr>
              <w:t>Validation interne hors formulation</w:t>
            </w:r>
          </w:p>
        </w:tc>
      </w:tr>
      <w:tr>
        <w:trPr>
          <w:cantSplit/>
        </w:trPr>
        <w:tc>
          <w:tcPr>
            <w:tcW w:type="dxa" w:w="2381"/>
            <w:vAlign w:val="center"/>
            <w:tcBorders>
              <w:bottom w:val="single" w:sz="4" w:color="D8E1EC"/>
            </w:tcBorders>
          </w:tcPr>
          <w:p>
            <w:pPr>
              <w:spacing w:after="30" w:before="30"/>
            </w:pPr>
            <w:r>
              <w:rPr>
                <w:color w:val="182230"/>
                <w:sz w:val="16"/>
              </w:rPr>
              <w:t>Audit IIR exact</w:t>
            </w:r>
          </w:p>
        </w:tc>
        <w:tc>
          <w:tcPr>
            <w:tcW w:type="dxa" w:w="2494"/>
            <w:vAlign w:val="center"/>
            <w:tcBorders>
              <w:bottom w:val="single" w:sz="4" w:color="D8E1EC"/>
            </w:tcBorders>
          </w:tcPr>
          <w:p>
            <w:pPr>
              <w:spacing w:after="30" w:before="30"/>
            </w:pPr>
            <w:r>
              <w:rPr>
                <w:color w:val="182230"/>
                <w:sz w:val="16"/>
              </w:rPr>
              <w:t>21/21 points restitués</w:t>
            </w:r>
          </w:p>
        </w:tc>
        <w:tc>
          <w:tcPr>
            <w:tcW w:type="dxa" w:w="4422"/>
            <w:vAlign w:val="center"/>
            <w:tcBorders>
              <w:bottom w:val="single" w:sz="4" w:color="D8E1EC"/>
            </w:tcBorders>
          </w:tcPr>
          <w:p>
            <w:pPr>
              <w:spacing w:after="30" w:before="30"/>
            </w:pPr>
            <w:r>
              <w:rPr>
                <w:color w:val="182230"/>
                <w:sz w:val="16"/>
              </w:rPr>
              <w:t>Extraction et interpolation</w:t>
            </w:r>
          </w:p>
        </w:tc>
      </w:tr>
      <w:tr>
        <w:trPr>
          <w:cantSplit/>
        </w:trPr>
        <w:tc>
          <w:tcPr>
            <w:tcW w:type="dxa" w:w="2381"/>
            <w:shd w:fill="F6F8FB"/>
            <w:vAlign w:val="center"/>
            <w:tcBorders>
              <w:bottom w:val="single" w:sz="4" w:color="D8E1EC"/>
            </w:tcBorders>
          </w:tcPr>
          <w:p>
            <w:pPr>
              <w:spacing w:after="30" w:before="30"/>
            </w:pPr>
            <w:r>
              <w:rPr>
                <w:color w:val="182230"/>
                <w:sz w:val="16"/>
              </w:rPr>
              <w:t>Audit IIR transfert</w:t>
            </w:r>
          </w:p>
        </w:tc>
        <w:tc>
          <w:tcPr>
            <w:tcW w:type="dxa" w:w="2494"/>
            <w:shd w:fill="F6F8FB"/>
            <w:vAlign w:val="center"/>
            <w:tcBorders>
              <w:bottom w:val="single" w:sz="4" w:color="D8E1EC"/>
            </w:tcBorders>
          </w:tcPr>
          <w:p>
            <w:pPr>
              <w:spacing w:after="30" w:before="30"/>
            </w:pPr>
            <w:r>
              <w:rPr>
                <w:color w:val="182230"/>
                <w:sz w:val="16"/>
              </w:rPr>
              <w:t>Refusé</w:t>
            </w:r>
          </w:p>
        </w:tc>
        <w:tc>
          <w:tcPr>
            <w:tcW w:type="dxa" w:w="4422"/>
            <w:shd w:fill="F6F8FB"/>
            <w:vAlign w:val="center"/>
            <w:tcBorders>
              <w:bottom w:val="single" w:sz="4" w:color="D8E1EC"/>
            </w:tcBorders>
          </w:tcPr>
          <w:p>
            <w:pPr>
              <w:spacing w:after="30" w:before="30"/>
            </w:pPr>
            <w:r>
              <w:rPr>
                <w:color w:val="182230"/>
                <w:sz w:val="16"/>
              </w:rPr>
              <w:t>Comportement sûr hors hypothèse</w:t>
            </w:r>
          </w:p>
        </w:tc>
      </w:tr>
      <w:tr>
        <w:trPr>
          <w:cantSplit/>
        </w:trPr>
        <w:tc>
          <w:tcPr>
            <w:tcW w:type="dxa" w:w="2381"/>
            <w:vAlign w:val="center"/>
            <w:tcBorders>
              <w:bottom w:val="single" w:sz="4" w:color="D8E1EC"/>
            </w:tcBorders>
          </w:tcPr>
          <w:p>
            <w:pPr>
              <w:spacing w:after="30" w:before="30"/>
            </w:pPr>
            <w:r>
              <w:rPr>
                <w:color w:val="182230"/>
                <w:sz w:val="16"/>
              </w:rPr>
              <w:t>Exports</w:t>
            </w:r>
          </w:p>
        </w:tc>
        <w:tc>
          <w:tcPr>
            <w:tcW w:type="dxa" w:w="2494"/>
            <w:vAlign w:val="center"/>
            <w:tcBorders>
              <w:bottom w:val="single" w:sz="4" w:color="D8E1EC"/>
            </w:tcBorders>
          </w:tcPr>
          <w:p>
            <w:pPr>
              <w:spacing w:after="30" w:before="30"/>
            </w:pPr>
            <w:r>
              <w:rPr>
                <w:color w:val="182230"/>
                <w:sz w:val="16"/>
              </w:rPr>
              <w:t>Excel, PDF, Markdown, JSON</w:t>
            </w:r>
          </w:p>
        </w:tc>
        <w:tc>
          <w:tcPr>
            <w:tcW w:type="dxa" w:w="4422"/>
            <w:vAlign w:val="center"/>
            <w:tcBorders>
              <w:bottom w:val="single" w:sz="4" w:color="D8E1EC"/>
            </w:tcBorders>
          </w:tcPr>
          <w:p>
            <w:pPr>
              <w:spacing w:after="30" w:before="30"/>
            </w:pPr>
            <w:r>
              <w:rPr>
                <w:color w:val="182230"/>
                <w:sz w:val="16"/>
              </w:rPr>
              <w:t>Traçabilité du calcul</w:t>
            </w:r>
          </w:p>
        </w:tc>
      </w:tr>
    </w:tbl>
    <w:p>
      <w:pPr>
        <w:spacing w:after="0"/>
      </w:pPr>
    </w:p>
    <w:p>
      <w:pPr>
        <w:keepNext/>
        <w:jc w:val="center"/>
      </w:pPr>
      <w:r>
        <w:drawing>
          <wp:inline xmlns:a="http://schemas.openxmlformats.org/drawingml/2006/main" xmlns:pic="http://schemas.openxmlformats.org/drawingml/2006/picture">
            <wp:extent cx="5903999" cy="3689999"/>
            <wp:docPr id="16" name="Picture 16"/>
            <wp:cNvGraphicFramePr>
              <a:graphicFrameLocks noChangeAspect="1"/>
            </wp:cNvGraphicFramePr>
            <a:graphic>
              <a:graphicData uri="http://schemas.openxmlformats.org/drawingml/2006/picture">
                <pic:pic>
                  <pic:nvPicPr>
                    <pic:cNvPr id="0" name="app_validity.png"/>
                    <pic:cNvPicPr/>
                  </pic:nvPicPr>
                  <pic:blipFill>
                    <a:blip r:embed="rId25"/>
                    <a:stretch>
                      <a:fillRect/>
                    </a:stretch>
                  </pic:blipFill>
                  <pic:spPr>
                    <a:xfrm>
                      <a:off x="0" y="0"/>
                      <a:ext cx="5903999" cy="3689999"/>
                    </a:xfrm>
                    <a:prstGeom prst="rect"/>
                  </pic:spPr>
                </pic:pic>
              </a:graphicData>
            </a:graphic>
          </wp:inline>
        </w:drawing>
      </w:r>
    </w:p>
    <w:p>
      <w:pPr>
        <w:pStyle w:val="Caption"/>
        <w:keepLines/>
      </w:pPr>
      <w:r>
        <w:t>Figure 16 - Page de validité scientifique : l'objectif 95/95, le nombre de groupes, la bande interne et le besoin de tests externes sont présentés séparément.</w:t>
      </w:r>
    </w:p>
    <w:p>
      <w:r>
        <w:rPr>
          <w:i w:val="0"/>
        </w:rPr>
        <w:t>Cet écran est la traduction opérationnelle de l'analyse critique demandée dans la trame. Il montre qu'une MAPE faible et quatre groupes internes ne suffisent pas à démontrer une fiabilité universelle. Le modèle, les bornes et le domaine doivent être gelés avant l'évaluation externe.</w:t>
      </w:r>
    </w:p>
    <w:tbl>
      <w:tblPr>
        <w:tblW w:type="auto" w:w="0"/>
        <w:tblLayout w:type="fixed"/>
        <w:tblLook w:firstColumn="1" w:firstRow="1" w:lastColumn="0" w:lastRow="0" w:noHBand="0" w:noVBand="1" w:val="04A0"/>
      </w:tblPr>
      <w:tblGrid>
        <w:gridCol w:w="102"/>
        <w:gridCol w:w="9298"/>
      </w:tblGrid>
      <w:tr>
        <w:tc>
          <w:tcPr>
            <w:tcW w:type="dxa" w:w="4933"/>
            <w:shd w:fill="C44747"/>
            <w:tcBorders>
              <w:top w:val="nil"/>
              <w:left w:val="nil"/>
              <w:bottom w:val="nil"/>
              <w:right w:val="nil"/>
            </w:tcBorders>
          </w:tcPr>
          <w:p/>
        </w:tc>
        <w:tc>
          <w:tcPr>
            <w:tcW w:type="dxa" w:w="4933"/>
            <w:shd w:fill="FCEEEE"/>
            <w:tcBorders>
              <w:top w:val="nil"/>
              <w:left w:val="nil"/>
              <w:bottom w:val="nil"/>
              <w:right w:val="nil"/>
            </w:tcBorders>
          </w:tcPr>
          <w:p>
            <w:pPr>
              <w:spacing w:after="40"/>
            </w:pPr>
            <w:r>
              <w:rPr>
                <w:b/>
                <w:color w:val="C44747"/>
              </w:rPr>
              <w:t xml:space="preserve">Sécurité d'usage  </w:t>
            </w:r>
            <w:r>
              <w:t>SeaMat fournit une aide à la recherche et à la présélection. Une décision de sécurité, de garantie ou de dimensionnement exige un protocole de qualification adapté au matériau réel.</w:t>
            </w:r>
          </w:p>
        </w:tc>
      </w:tr>
    </w:tbl>
    <w:p>
      <w:pPr>
        <w:pStyle w:val="Heading1"/>
        <w:keepNext/>
        <w:pageBreakBefore/>
      </w:pPr>
      <w:r>
        <w:t>12. Conclusion et perspectives</w:t>
      </w:r>
    </w:p>
    <w:p>
      <w:r>
        <w:rPr>
          <w:i w:val="0"/>
        </w:rPr>
        <w:t>SeaMat répond au besoin de transformer une fiche matériau et des observations bibliographiques en une projection lisible du module de Young. L'architecture hybride évite une erreur fréquente : appliquer la même cinétique à tous les polymères. Les observations compatibles sont prioritaires ; les équations physiques structurent les cas paramétrés ; le routeur abaisse ou refuse le niveau de preuve dès que le domaine n'est plus couvert.</w:t>
      </w:r>
    </w:p>
    <w:p>
      <w:r>
        <w:rPr>
          <w:i w:val="0"/>
        </w:rPr>
        <w:t>La validation PP H301 atteint 2,75 % d'erreur relative moyenne sur huit valeurs masquées, avec une erreur maximale de 3,41 % entre 0 et 120 jours. Ce résultat est exploitable pour des formulations comparables dans cette fenêtre. Le cas IIR montre la limite : le transfert de température produit un R² négatif et est rejeté. La restitution exacte d'une table ne suffit pas à revendiquer la prédiction.</w:t>
      </w:r>
    </w:p>
    <w:p>
      <w:r>
        <w:rPr>
          <w:i w:val="0"/>
        </w:rPr>
        <w:t>L'objectif de fiabilité universelle à 95 % n'est pas démontré. Pour l'atteindre dans un domaine défini, il faut un corpus multi-grades, multi-laboratoires et multi-climats, puis une qualification 95/95 sur des groupes indépendants. La fiabilité doit être annoncée par domaine d'emploi, jamais comme une propriété globale du logiciel.</w:t>
      </w:r>
    </w:p>
    <w:p>
      <w:r>
        <w:rPr>
          <w:i w:val="0"/>
        </w:rPr>
        <w:t>La précision est donc restituée comme un faisceau d'indicateurs : erreur de la courbe centrale, couverture et largeur des bornes, correspondance du grade, distance au domaine, nombre de groupes masqués et indépendance des sources. Cette présentation permet d'appliquer le même moteur aux 75 fiches tout en conservant une décision scientifique différente pour chaque matériau et chaque environnement.</w:t>
      </w:r>
    </w:p>
    <w:p>
      <w:pPr>
        <w:pStyle w:val="Heading2"/>
        <w:keepNext/>
      </w:pPr>
      <w:r>
        <w:t>12.1 Plan d'amélioration priorisé</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850"/>
            <w:shd w:fill="17365D"/>
            <w:vAlign w:val="center"/>
            <w:tcBorders>
              <w:bottom w:val="single" w:sz="5" w:color="FFFFFF"/>
            </w:tcBorders>
          </w:tcPr>
          <w:p>
            <w:pPr>
              <w:jc w:val="left"/>
            </w:pPr>
            <w:r>
              <w:rPr>
                <w:b/>
                <w:color w:val="FFFFFF"/>
                <w:sz w:val="15"/>
              </w:rPr>
              <w:t>Priorité</w:t>
            </w:r>
          </w:p>
        </w:tc>
        <w:tc>
          <w:tcPr>
            <w:tcW w:type="dxa" w:w="4989"/>
            <w:shd w:fill="17365D"/>
            <w:vAlign w:val="center"/>
            <w:tcBorders>
              <w:bottom w:val="single" w:sz="5" w:color="FFFFFF"/>
            </w:tcBorders>
          </w:tcPr>
          <w:p>
            <w:pPr>
              <w:jc w:val="left"/>
            </w:pPr>
            <w:r>
              <w:rPr>
                <w:b/>
                <w:color w:val="FFFFFF"/>
                <w:sz w:val="15"/>
              </w:rPr>
              <w:t>Action</w:t>
            </w:r>
          </w:p>
        </w:tc>
        <w:tc>
          <w:tcPr>
            <w:tcW w:type="dxa" w:w="3969"/>
            <w:shd w:fill="17365D"/>
            <w:vAlign w:val="center"/>
            <w:tcBorders>
              <w:bottom w:val="single" w:sz="5" w:color="FFFFFF"/>
            </w:tcBorders>
          </w:tcPr>
          <w:p>
            <w:pPr>
              <w:jc w:val="left"/>
            </w:pPr>
            <w:r>
              <w:rPr>
                <w:b/>
                <w:color w:val="FFFFFF"/>
                <w:sz w:val="15"/>
              </w:rPr>
              <w:t>Critère de sortie</w:t>
            </w:r>
          </w:p>
        </w:tc>
      </w:tr>
      <w:tr>
        <w:trPr>
          <w:cantSplit/>
        </w:trPr>
        <w:tc>
          <w:tcPr>
            <w:tcW w:type="dxa" w:w="850"/>
            <w:vAlign w:val="center"/>
            <w:tcBorders>
              <w:bottom w:val="single" w:sz="4" w:color="D8E1EC"/>
            </w:tcBorders>
          </w:tcPr>
          <w:p>
            <w:pPr>
              <w:spacing w:after="30" w:before="30"/>
            </w:pPr>
            <w:r>
              <w:rPr>
                <w:color w:val="182230"/>
                <w:sz w:val="15"/>
              </w:rPr>
              <w:t>P1</w:t>
            </w:r>
          </w:p>
        </w:tc>
        <w:tc>
          <w:tcPr>
            <w:tcW w:type="dxa" w:w="4989"/>
            <w:vAlign w:val="center"/>
            <w:tcBorders>
              <w:bottom w:val="single" w:sz="4" w:color="D8E1EC"/>
            </w:tcBorders>
          </w:tcPr>
          <w:p>
            <w:pPr>
              <w:spacing w:after="30" w:before="30"/>
            </w:pPr>
            <w:r>
              <w:rPr>
                <w:color w:val="182230"/>
                <w:sz w:val="15"/>
              </w:rPr>
              <w:t>Ajouter des campagnes externes PP, PA, époxy et élastomères</w:t>
            </w:r>
          </w:p>
        </w:tc>
        <w:tc>
          <w:tcPr>
            <w:tcW w:type="dxa" w:w="3969"/>
            <w:vAlign w:val="center"/>
            <w:tcBorders>
              <w:bottom w:val="single" w:sz="4" w:color="D8E1EC"/>
            </w:tcBorders>
          </w:tcPr>
          <w:p>
            <w:pPr>
              <w:spacing w:after="30" w:before="30"/>
            </w:pPr>
            <w:r>
              <w:rPr>
                <w:color w:val="182230"/>
                <w:sz w:val="15"/>
              </w:rPr>
              <w:t>Au moins 2 sources et 5 groupes indépendants par domaine</w:t>
            </w:r>
          </w:p>
        </w:tc>
      </w:tr>
      <w:tr>
        <w:trPr>
          <w:cantSplit/>
        </w:trPr>
        <w:tc>
          <w:tcPr>
            <w:tcW w:type="dxa" w:w="850"/>
            <w:shd w:fill="F6F8FB"/>
            <w:vAlign w:val="center"/>
            <w:tcBorders>
              <w:bottom w:val="single" w:sz="4" w:color="D8E1EC"/>
            </w:tcBorders>
          </w:tcPr>
          <w:p>
            <w:pPr>
              <w:spacing w:after="30" w:before="30"/>
            </w:pPr>
            <w:r>
              <w:rPr>
                <w:color w:val="182230"/>
                <w:sz w:val="15"/>
              </w:rPr>
              <w:t>P1</w:t>
            </w:r>
          </w:p>
        </w:tc>
        <w:tc>
          <w:tcPr>
            <w:tcW w:type="dxa" w:w="4989"/>
            <w:shd w:fill="F6F8FB"/>
            <w:vAlign w:val="center"/>
            <w:tcBorders>
              <w:bottom w:val="single" w:sz="4" w:color="D8E1EC"/>
            </w:tcBorders>
          </w:tcPr>
          <w:p>
            <w:pPr>
              <w:spacing w:after="30" w:before="30"/>
            </w:pPr>
            <w:r>
              <w:rPr>
                <w:color w:val="182230"/>
                <w:sz w:val="15"/>
              </w:rPr>
              <w:t>Normaliser les protocoles et descripteurs de grade</w:t>
            </w:r>
          </w:p>
        </w:tc>
        <w:tc>
          <w:tcPr>
            <w:tcW w:type="dxa" w:w="3969"/>
            <w:shd w:fill="F6F8FB"/>
            <w:vAlign w:val="center"/>
            <w:tcBorders>
              <w:bottom w:val="single" w:sz="4" w:color="D8E1EC"/>
            </w:tcBorders>
          </w:tcPr>
          <w:p>
            <w:pPr>
              <w:spacing w:after="30" w:before="30"/>
            </w:pPr>
            <w:r>
              <w:rPr>
                <w:color w:val="182230"/>
                <w:sz w:val="15"/>
              </w:rPr>
              <w:t>Aucun transfert sans identité et norme comparables</w:t>
            </w:r>
          </w:p>
        </w:tc>
      </w:tr>
      <w:tr>
        <w:trPr>
          <w:cantSplit/>
        </w:trPr>
        <w:tc>
          <w:tcPr>
            <w:tcW w:type="dxa" w:w="850"/>
            <w:vAlign w:val="center"/>
            <w:tcBorders>
              <w:bottom w:val="single" w:sz="4" w:color="D8E1EC"/>
            </w:tcBorders>
          </w:tcPr>
          <w:p>
            <w:pPr>
              <w:spacing w:after="30" w:before="30"/>
            </w:pPr>
            <w:r>
              <w:rPr>
                <w:color w:val="182230"/>
                <w:sz w:val="15"/>
              </w:rPr>
              <w:t>P2</w:t>
            </w:r>
          </w:p>
        </w:tc>
        <w:tc>
          <w:tcPr>
            <w:tcW w:type="dxa" w:w="4989"/>
            <w:vAlign w:val="center"/>
            <w:tcBorders>
              <w:bottom w:val="single" w:sz="4" w:color="D8E1EC"/>
            </w:tcBorders>
          </w:tcPr>
          <w:p>
            <w:pPr>
              <w:spacing w:after="30" w:before="30"/>
            </w:pPr>
            <w:r>
              <w:rPr>
                <w:color w:val="182230"/>
                <w:sz w:val="15"/>
              </w:rPr>
              <w:t>Calibrer des intervalles conformes par domaine</w:t>
            </w:r>
          </w:p>
        </w:tc>
        <w:tc>
          <w:tcPr>
            <w:tcW w:type="dxa" w:w="3969"/>
            <w:vAlign w:val="center"/>
            <w:tcBorders>
              <w:bottom w:val="single" w:sz="4" w:color="D8E1EC"/>
            </w:tcBorders>
          </w:tcPr>
          <w:p>
            <w:pPr>
              <w:spacing w:after="30" w:before="30"/>
            </w:pPr>
            <w:r>
              <w:rPr>
                <w:color w:val="182230"/>
                <w:sz w:val="15"/>
              </w:rPr>
              <w:t>Couverture testée sur groupes externes</w:t>
            </w:r>
          </w:p>
        </w:tc>
      </w:tr>
      <w:tr>
        <w:trPr>
          <w:cantSplit/>
        </w:trPr>
        <w:tc>
          <w:tcPr>
            <w:tcW w:type="dxa" w:w="850"/>
            <w:shd w:fill="F6F8FB"/>
            <w:vAlign w:val="center"/>
            <w:tcBorders>
              <w:bottom w:val="single" w:sz="4" w:color="D8E1EC"/>
            </w:tcBorders>
          </w:tcPr>
          <w:p>
            <w:pPr>
              <w:spacing w:after="30" w:before="30"/>
            </w:pPr>
            <w:r>
              <w:rPr>
                <w:color w:val="182230"/>
                <w:sz w:val="15"/>
              </w:rPr>
              <w:t>P2</w:t>
            </w:r>
          </w:p>
        </w:tc>
        <w:tc>
          <w:tcPr>
            <w:tcW w:type="dxa" w:w="4989"/>
            <w:shd w:fill="F6F8FB"/>
            <w:vAlign w:val="center"/>
            <w:tcBorders>
              <w:bottom w:val="single" w:sz="4" w:color="D8E1EC"/>
            </w:tcBorders>
          </w:tcPr>
          <w:p>
            <w:pPr>
              <w:spacing w:after="30" w:before="30"/>
            </w:pPr>
            <w:r>
              <w:rPr>
                <w:color w:val="182230"/>
                <w:sz w:val="15"/>
              </w:rPr>
              <w:t>Comparer Arrhenius, WLF, Weibull et modèles hiérarchiques</w:t>
            </w:r>
          </w:p>
        </w:tc>
        <w:tc>
          <w:tcPr>
            <w:tcW w:type="dxa" w:w="3969"/>
            <w:shd w:fill="F6F8FB"/>
            <w:vAlign w:val="center"/>
            <w:tcBorders>
              <w:bottom w:val="single" w:sz="4" w:color="D8E1EC"/>
            </w:tcBorders>
          </w:tcPr>
          <w:p>
            <w:pPr>
              <w:spacing w:after="30" w:before="30"/>
            </w:pPr>
            <w:r>
              <w:rPr>
                <w:color w:val="182230"/>
                <w:sz w:val="15"/>
              </w:rPr>
              <w:t>Gain démontré face aux baselines</w:t>
            </w:r>
          </w:p>
        </w:tc>
      </w:tr>
      <w:tr>
        <w:trPr>
          <w:cantSplit/>
        </w:trPr>
        <w:tc>
          <w:tcPr>
            <w:tcW w:type="dxa" w:w="850"/>
            <w:vAlign w:val="center"/>
            <w:tcBorders>
              <w:bottom w:val="single" w:sz="4" w:color="D8E1EC"/>
            </w:tcBorders>
          </w:tcPr>
          <w:p>
            <w:pPr>
              <w:spacing w:after="30" w:before="30"/>
            </w:pPr>
            <w:r>
              <w:rPr>
                <w:color w:val="182230"/>
                <w:sz w:val="15"/>
              </w:rPr>
              <w:t>P3</w:t>
            </w:r>
          </w:p>
        </w:tc>
        <w:tc>
          <w:tcPr>
            <w:tcW w:type="dxa" w:w="4989"/>
            <w:vAlign w:val="center"/>
            <w:tcBorders>
              <w:bottom w:val="single" w:sz="4" w:color="D8E1EC"/>
            </w:tcBorders>
          </w:tcPr>
          <w:p>
            <w:pPr>
              <w:spacing w:after="30" w:before="30"/>
            </w:pPr>
            <w:r>
              <w:rPr>
                <w:color w:val="182230"/>
                <w:sz w:val="15"/>
              </w:rPr>
              <w:t>Activer SHAP sur corpus suffisant</w:t>
            </w:r>
          </w:p>
        </w:tc>
        <w:tc>
          <w:tcPr>
            <w:tcW w:type="dxa" w:w="3969"/>
            <w:vAlign w:val="center"/>
            <w:tcBorders>
              <w:bottom w:val="single" w:sz="4" w:color="D8E1EC"/>
            </w:tcBorders>
          </w:tcPr>
          <w:p>
            <w:pPr>
              <w:spacing w:after="30" w:before="30"/>
            </w:pPr>
            <w:r>
              <w:rPr>
                <w:color w:val="182230"/>
                <w:sz w:val="15"/>
              </w:rPr>
              <w:t>Stabilité des importances entre plis et laboratoires</w:t>
            </w:r>
          </w:p>
        </w:tc>
      </w:tr>
      <w:tr>
        <w:trPr>
          <w:cantSplit/>
        </w:trPr>
        <w:tc>
          <w:tcPr>
            <w:tcW w:type="dxa" w:w="850"/>
            <w:shd w:fill="F6F8FB"/>
            <w:vAlign w:val="center"/>
            <w:tcBorders>
              <w:bottom w:val="single" w:sz="4" w:color="D8E1EC"/>
            </w:tcBorders>
          </w:tcPr>
          <w:p>
            <w:pPr>
              <w:spacing w:after="30" w:before="30"/>
            </w:pPr>
            <w:r>
              <w:rPr>
                <w:color w:val="182230"/>
                <w:sz w:val="15"/>
              </w:rPr>
              <w:t>P3</w:t>
            </w:r>
          </w:p>
        </w:tc>
        <w:tc>
          <w:tcPr>
            <w:tcW w:type="dxa" w:w="4989"/>
            <w:shd w:fill="F6F8FB"/>
            <w:vAlign w:val="center"/>
            <w:tcBorders>
              <w:bottom w:val="single" w:sz="4" w:color="D8E1EC"/>
            </w:tcBorders>
          </w:tcPr>
          <w:p>
            <w:pPr>
              <w:spacing w:after="30" w:before="30"/>
            </w:pPr>
            <w:r>
              <w:rPr>
                <w:color w:val="182230"/>
                <w:sz w:val="15"/>
              </w:rPr>
              <w:t>Gérer les historiques T/HR/UV variables</w:t>
            </w:r>
          </w:p>
        </w:tc>
        <w:tc>
          <w:tcPr>
            <w:tcW w:type="dxa" w:w="3969"/>
            <w:shd w:fill="F6F8FB"/>
            <w:vAlign w:val="center"/>
            <w:tcBorders>
              <w:bottom w:val="single" w:sz="4" w:color="D8E1EC"/>
            </w:tcBorders>
          </w:tcPr>
          <w:p>
            <w:pPr>
              <w:spacing w:after="30" w:before="30"/>
            </w:pPr>
            <w:r>
              <w:rPr>
                <w:color w:val="182230"/>
                <w:sz w:val="15"/>
              </w:rPr>
              <w:t>Validation sur profils environnementaux réels</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Réponse à la problématique  </w:t>
            </w:r>
            <w:r>
              <w:t>Oui, une estimation utile est possible sans nouvel essai utilisateur si une preuve compatible ou des coefficients mécanistes sourcés existent. Non, une fiche standard ne permet pas à elle seule une durée de vie universellement fiable.</w:t>
            </w:r>
          </w:p>
        </w:tc>
      </w:tr>
    </w:tbl>
    <w:p>
      <w:pPr>
        <w:pStyle w:val="Heading1"/>
        <w:keepNext/>
        <w:pageBreakBefore/>
      </w:pPr>
      <w:r>
        <w:t>Références</w:t>
      </w:r>
    </w:p>
    <w:p>
      <w:pPr>
        <w:spacing w:after="80"/>
        <w:ind w:left="340" w:hanging="340"/>
      </w:pPr>
      <w:r>
        <w:rPr>
          <w:sz w:val="16"/>
        </w:rPr>
        <w:t>[1] A. Z. G. Matos et al., « Natural Aging of Reprocessed Polypropylene Composites Filled with Sustainable Corn Fibers », Polymers, vol. 16, no 13, 1788, 2024. DOI : 10.3390/polym16131788.</w:t>
      </w:r>
    </w:p>
    <w:p>
      <w:pPr>
        <w:spacing w:after="80"/>
        <w:ind w:left="340" w:hanging="340"/>
      </w:pPr>
      <w:r>
        <w:rPr>
          <w:sz w:val="16"/>
        </w:rPr>
        <w:t>[2] P. Nguyen-Tri, E. Triki et T. A. Nguyen, « Butyl Rubber-Based Composite: Thermal Degradation and Prediction of Service Lifetime », Journal of Composites Science, vol. 3, no 2, 48, 2019. DOI : 10.3390/jcs3020048.</w:t>
      </w:r>
    </w:p>
    <w:p>
      <w:pPr>
        <w:spacing w:after="80"/>
        <w:ind w:left="340" w:hanging="340"/>
      </w:pPr>
      <w:r>
        <w:rPr>
          <w:sz w:val="16"/>
        </w:rPr>
        <w:t>[3] D. Scida et al., « Influence of hygrothermal ageing on the damage mechanisms of flax-fibre reinforced epoxy composite », Composites Part B, vol. 48, p. 51-58, 2013. DOI : 10.1016/j.compositesb.2012.12.010.</w:t>
      </w:r>
    </w:p>
    <w:p>
      <w:pPr>
        <w:spacing w:after="80"/>
        <w:ind w:left="340" w:hanging="340"/>
      </w:pPr>
      <w:r>
        <w:rPr>
          <w:sz w:val="16"/>
        </w:rPr>
        <w:t>[4] J. Crank, The Mathematics of Diffusion, 2e éd., Oxford University Press, 1975.</w:t>
      </w:r>
    </w:p>
    <w:p>
      <w:pPr>
        <w:spacing w:after="80"/>
        <w:ind w:left="340" w:hanging="340"/>
      </w:pPr>
      <w:r>
        <w:rPr>
          <w:sz w:val="16"/>
        </w:rPr>
        <w:t>[5] S. Arrhenius, « Über die Reaktionsgeschwindigkeit bei der Inversion von Rohrzucker durch Säuren », Zeitschrift für Physikalische Chemie, vol. 4, p. 226-248, 1889.</w:t>
      </w:r>
    </w:p>
    <w:p>
      <w:pPr>
        <w:spacing w:after="80"/>
        <w:ind w:left="340" w:hanging="340"/>
      </w:pPr>
      <w:r>
        <w:rPr>
          <w:sz w:val="16"/>
        </w:rPr>
        <w:t>[6] A. W. Fairbrother et al., « Temperature and light intensity effects on the photodegradation of high-density polyethylene », Polymer Degradation and Stability, vol. 165, 2019. Source NIST : https://www.nist.gov/publications/temperature-and-light-intensity-effects-photodegradation-high-density-polyethylene.</w:t>
      </w:r>
    </w:p>
    <w:p>
      <w:pPr>
        <w:spacing w:after="80"/>
        <w:ind w:left="340" w:hanging="340"/>
      </w:pPr>
      <w:r>
        <w:rPr>
          <w:sz w:val="16"/>
        </w:rPr>
        <w:t>[7] S. M. Lundberg et S.-I. Lee, « A Unified Approach to Interpreting Model Predictions », Advances in Neural Information Processing Systems 30, 2017.</w:t>
      </w:r>
    </w:p>
    <w:p>
      <w:pPr>
        <w:spacing w:after="80"/>
        <w:ind w:left="340" w:hanging="340"/>
      </w:pPr>
      <w:r>
        <w:rPr>
          <w:sz w:val="16"/>
        </w:rPr>
        <w:t>[8] F. Pedregosa et al., « Scikit-learn: Machine Learning in Python », Journal of Machine Learning Research, vol. 12, p. 2825-2830, 2011.</w:t>
      </w:r>
    </w:p>
    <w:p>
      <w:pPr>
        <w:spacing w:after="80"/>
        <w:ind w:left="340" w:hanging="340"/>
      </w:pPr>
      <w:r>
        <w:rPr>
          <w:sz w:val="16"/>
        </w:rPr>
        <w:t>[9] D. L. Hunston et C. C. White, « Kinetics Based Models to Describe Environmental Degradation of Polymeric Sealants », NIST, publication 922362.</w:t>
      </w:r>
    </w:p>
    <w:p>
      <w:pPr>
        <w:spacing w:after="80"/>
        <w:ind w:left="340" w:hanging="340"/>
      </w:pPr>
      <w:r>
        <w:rPr>
          <w:sz w:val="16"/>
        </w:rPr>
        <w:t>[10] A. Rohatgi, WebPlotDigitizer, version web, https://automeris.io/WebPlotDigitizer/.</w:t>
      </w:r>
    </w:p>
    <w:p>
      <w:pPr>
        <w:spacing w:after="80"/>
        <w:ind w:left="340" w:hanging="340"/>
      </w:pPr>
      <w:r>
        <w:rPr>
          <w:sz w:val="16"/>
        </w:rPr>
        <w:t>[11] A. N. Angelopoulos et S. Bates, « A Gentle Introduction to Conformal Prediction and Distribution-Free Uncertainty Quantification », Foundations and Trends in Machine Learning, 2023 ; arXiv:2107.07511.</w:t>
      </w:r>
    </w:p>
    <w:p>
      <w:pPr>
        <w:spacing w:after="80"/>
        <w:ind w:left="340" w:hanging="340"/>
      </w:pPr>
      <w:r>
        <w:rPr>
          <w:sz w:val="16"/>
        </w:rPr>
        <w:t>[12] R. F. Barber, E. J. Candès, A. Ramdas et R. J. Tibshirani, « Conformal Prediction Beyond Exchangeability », Annals of Statistics, vol. 51, no 2, 2023 ; arXiv:2202.13415.</w:t>
      </w:r>
    </w:p>
    <w:p>
      <w:pPr>
        <w:spacing w:after="80"/>
        <w:ind w:left="340" w:hanging="340"/>
      </w:pPr>
      <w:r>
        <w:rPr>
          <w:sz w:val="16"/>
        </w:rPr>
        <w:t>[13] A. Masek et al., « Lifetime Prediction Methods for Degradable Polymeric Materials - A Short Review », Materials, vol. 13, 4507, 2020. PMCID : PMC7599543.</w:t>
      </w:r>
    </w:p>
    <w:p>
      <w:pPr>
        <w:spacing w:after="80"/>
        <w:ind w:left="340" w:hanging="340"/>
      </w:pPr>
      <w:r>
        <w:rPr>
          <w:sz w:val="16"/>
        </w:rPr>
        <w:t>[14] O. Starkova et al., « Modelling of Environmental Ageing of Polymers and Polymer Composites - Durability Prediction Methods », Polymers, vol. 14, 907, 2022. DOI : 10.3390/polym14050907.</w:t>
      </w:r>
    </w:p>
    <w:p>
      <w:pPr>
        <w:pStyle w:val="Heading2"/>
        <w:keepNext/>
      </w:pPr>
      <w:r>
        <w:t>Sources internes de reproductibilité</w:t>
      </w:r>
    </w:p>
    <w:p>
      <w:pPr>
        <w:pStyle w:val="ListBullet"/>
        <w:spacing w:after="60"/>
        <w:ind w:left="255" w:hanging="113"/>
      </w:pPr>
      <w:r>
        <w:t>SeaMat 3.1 - docs/AUDIT_DONNEES_REELLES_V31.md ; audit exécutable des cas PP et IIR.</w:t>
      </w:r>
    </w:p>
    <w:p>
      <w:pPr>
        <w:pStyle w:val="ListBullet"/>
        <w:spacing w:after="60"/>
        <w:ind w:left="255" w:hanging="113"/>
      </w:pPr>
      <w:r>
        <w:t>SeaMat 3.1 - docs/MOTEUR_FAMILLES_V31.md ; formulation, hypothèses et bornes du modèle par mécanismes.</w:t>
      </w:r>
    </w:p>
    <w:p>
      <w:pPr>
        <w:pStyle w:val="ListBullet"/>
        <w:spacing w:after="60"/>
        <w:ind w:left="255" w:hanging="113"/>
      </w:pPr>
      <w:r>
        <w:t>SeaMat 3.1 - docs/ARCHITECTURE_SCIENTIFIQUE_V2.md ; routage, niveaux de preuve et contrôles.</w:t>
      </w:r>
    </w:p>
    <w:p>
      <w:pPr>
        <w:pStyle w:val="Heading1"/>
        <w:keepNext/>
        <w:pageBreakBefore/>
      </w:pPr>
      <w:r>
        <w:t>Annexe A - Valeurs expérimentales utilisées</w:t>
      </w:r>
    </w:p>
    <w:p>
      <w:pPr>
        <w:pStyle w:val="Heading2"/>
        <w:keepNext/>
      </w:pPr>
      <w:r>
        <w:t>A.1 PP H301 - tableau source</w:t>
      </w:r>
    </w:p>
    <w:tbl>
      <w:tblPr>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2324"/>
            <w:shd w:fill="17365D"/>
            <w:vAlign w:val="center"/>
            <w:tcBorders>
              <w:bottom w:val="single" w:sz="5" w:color="FFFFFF"/>
            </w:tcBorders>
          </w:tcPr>
          <w:p>
            <w:pPr>
              <w:jc w:val="left"/>
            </w:pPr>
            <w:r>
              <w:rPr>
                <w:b/>
                <w:color w:val="FFFFFF"/>
                <w:sz w:val="15"/>
              </w:rPr>
              <w:t>Formulation</w:t>
            </w:r>
          </w:p>
        </w:tc>
        <w:tc>
          <w:tcPr>
            <w:tcW w:type="dxa" w:w="1247"/>
            <w:shd w:fill="17365D"/>
            <w:vAlign w:val="center"/>
            <w:tcBorders>
              <w:bottom w:val="single" w:sz="5" w:color="FFFFFF"/>
            </w:tcBorders>
          </w:tcPr>
          <w:p>
            <w:pPr>
              <w:jc w:val="left"/>
            </w:pPr>
            <w:r>
              <w:rPr>
                <w:b/>
                <w:color w:val="FFFFFF"/>
                <w:sz w:val="15"/>
              </w:rPr>
              <w:t>Temps (j)</w:t>
            </w:r>
          </w:p>
        </w:tc>
        <w:tc>
          <w:tcPr>
            <w:tcW w:type="dxa" w:w="1928"/>
            <w:shd w:fill="17365D"/>
            <w:vAlign w:val="center"/>
            <w:tcBorders>
              <w:bottom w:val="single" w:sz="5" w:color="FFFFFF"/>
            </w:tcBorders>
          </w:tcPr>
          <w:p>
            <w:pPr>
              <w:jc w:val="left"/>
            </w:pPr>
            <w:r>
              <w:rPr>
                <w:b/>
                <w:color w:val="FFFFFF"/>
                <w:sz w:val="15"/>
              </w:rPr>
              <w:t>E moyen (MPa)</w:t>
            </w:r>
          </w:p>
        </w:tc>
        <w:tc>
          <w:tcPr>
            <w:tcW w:type="dxa" w:w="1984"/>
            <w:shd w:fill="17365D"/>
            <w:vAlign w:val="center"/>
            <w:tcBorders>
              <w:bottom w:val="single" w:sz="5" w:color="FFFFFF"/>
            </w:tcBorders>
          </w:tcPr>
          <w:p>
            <w:pPr>
              <w:jc w:val="left"/>
            </w:pPr>
            <w:r>
              <w:rPr>
                <w:b/>
                <w:color w:val="FFFFFF"/>
                <w:sz w:val="15"/>
              </w:rPr>
              <w:t>Écart-type (MPa)</w:t>
            </w:r>
          </w:p>
        </w:tc>
        <w:tc>
          <w:tcPr>
            <w:tcW w:type="dxa" w:w="1814"/>
            <w:shd w:fill="17365D"/>
            <w:vAlign w:val="center"/>
            <w:tcBorders>
              <w:bottom w:val="single" w:sz="5" w:color="FFFFFF"/>
            </w:tcBorders>
          </w:tcPr>
          <w:p>
            <w:pPr>
              <w:jc w:val="left"/>
            </w:pPr>
            <w:r>
              <w:rPr>
                <w:b/>
                <w:color w:val="FFFFFF"/>
                <w:sz w:val="15"/>
              </w:rPr>
              <w:t>Rétention (%)</w:t>
            </w:r>
          </w:p>
        </w:tc>
      </w:tr>
      <w:tr>
        <w:trPr>
          <w:cantSplit/>
        </w:trPr>
        <w:tc>
          <w:tcPr>
            <w:tcW w:type="dxa" w:w="2324"/>
            <w:vAlign w:val="center"/>
            <w:tcBorders>
              <w:bottom w:val="single" w:sz="4" w:color="D8E1EC"/>
            </w:tcBorders>
          </w:tcPr>
          <w:p>
            <w:pPr>
              <w:spacing w:after="30" w:before="30"/>
            </w:pPr>
            <w:r>
              <w:rPr>
                <w:color w:val="182230"/>
                <w:sz w:val="15"/>
              </w:rPr>
              <w:t>R-PP1x</w:t>
            </w:r>
          </w:p>
        </w:tc>
        <w:tc>
          <w:tcPr>
            <w:tcW w:type="dxa" w:w="1247"/>
            <w:vAlign w:val="center"/>
            <w:tcBorders>
              <w:bottom w:val="single" w:sz="4" w:color="D8E1EC"/>
            </w:tcBorders>
          </w:tcPr>
          <w:p>
            <w:pPr>
              <w:spacing w:after="30" w:before="30"/>
            </w:pPr>
            <w:r>
              <w:rPr>
                <w:color w:val="182230"/>
                <w:sz w:val="15"/>
              </w:rPr>
              <w:t>0</w:t>
            </w:r>
          </w:p>
        </w:tc>
        <w:tc>
          <w:tcPr>
            <w:tcW w:type="dxa" w:w="1928"/>
            <w:vAlign w:val="center"/>
            <w:tcBorders>
              <w:bottom w:val="single" w:sz="4" w:color="D8E1EC"/>
            </w:tcBorders>
          </w:tcPr>
          <w:p>
            <w:pPr>
              <w:spacing w:after="30" w:before="30"/>
            </w:pPr>
            <w:r>
              <w:rPr>
                <w:color w:val="182230"/>
                <w:sz w:val="15"/>
              </w:rPr>
              <w:t>604.1</w:t>
            </w:r>
          </w:p>
        </w:tc>
        <w:tc>
          <w:tcPr>
            <w:tcW w:type="dxa" w:w="1984"/>
            <w:vAlign w:val="center"/>
            <w:tcBorders>
              <w:bottom w:val="single" w:sz="4" w:color="D8E1EC"/>
            </w:tcBorders>
          </w:tcPr>
          <w:p>
            <w:pPr>
              <w:spacing w:after="30" w:before="30"/>
            </w:pPr>
            <w:r>
              <w:rPr>
                <w:color w:val="182230"/>
                <w:sz w:val="15"/>
              </w:rPr>
              <w:t>9.0</w:t>
            </w:r>
          </w:p>
        </w:tc>
        <w:tc>
          <w:tcPr>
            <w:tcW w:type="dxa" w:w="1814"/>
            <w:vAlign w:val="center"/>
            <w:tcBorders>
              <w:bottom w:val="single" w:sz="4" w:color="D8E1EC"/>
            </w:tcBorders>
          </w:tcPr>
          <w:p>
            <w:pPr>
              <w:spacing w:after="30" w:before="30"/>
            </w:pPr>
            <w:r>
              <w:rPr>
                <w:color w:val="182230"/>
                <w:sz w:val="15"/>
              </w:rPr>
              <w:t>100.0</w:t>
            </w:r>
          </w:p>
        </w:tc>
      </w:tr>
      <w:tr>
        <w:trPr>
          <w:cantSplit/>
        </w:trPr>
        <w:tc>
          <w:tcPr>
            <w:tcW w:type="dxa" w:w="2324"/>
            <w:shd w:fill="F6F8FB"/>
            <w:vAlign w:val="center"/>
            <w:tcBorders>
              <w:bottom w:val="single" w:sz="4" w:color="D8E1EC"/>
            </w:tcBorders>
          </w:tcPr>
          <w:p>
            <w:pPr>
              <w:spacing w:after="30" w:before="30"/>
            </w:pPr>
            <w:r>
              <w:rPr>
                <w:color w:val="182230"/>
                <w:sz w:val="15"/>
              </w:rPr>
              <w:t>R-PP1x</w:t>
            </w:r>
          </w:p>
        </w:tc>
        <w:tc>
          <w:tcPr>
            <w:tcW w:type="dxa" w:w="1247"/>
            <w:shd w:fill="F6F8FB"/>
            <w:vAlign w:val="center"/>
            <w:tcBorders>
              <w:bottom w:val="single" w:sz="4" w:color="D8E1EC"/>
            </w:tcBorders>
          </w:tcPr>
          <w:p>
            <w:pPr>
              <w:spacing w:after="30" w:before="30"/>
            </w:pPr>
            <w:r>
              <w:rPr>
                <w:color w:val="182230"/>
                <w:sz w:val="15"/>
              </w:rPr>
              <w:t>30</w:t>
            </w:r>
          </w:p>
        </w:tc>
        <w:tc>
          <w:tcPr>
            <w:tcW w:type="dxa" w:w="1928"/>
            <w:shd w:fill="F6F8FB"/>
            <w:vAlign w:val="center"/>
            <w:tcBorders>
              <w:bottom w:val="single" w:sz="4" w:color="D8E1EC"/>
            </w:tcBorders>
          </w:tcPr>
          <w:p>
            <w:pPr>
              <w:spacing w:after="30" w:before="30"/>
            </w:pPr>
            <w:r>
              <w:rPr>
                <w:color w:val="182230"/>
                <w:sz w:val="15"/>
              </w:rPr>
              <w:t>561.8</w:t>
            </w:r>
          </w:p>
        </w:tc>
        <w:tc>
          <w:tcPr>
            <w:tcW w:type="dxa" w:w="1984"/>
            <w:shd w:fill="F6F8FB"/>
            <w:vAlign w:val="center"/>
            <w:tcBorders>
              <w:bottom w:val="single" w:sz="4" w:color="D8E1EC"/>
            </w:tcBorders>
          </w:tcPr>
          <w:p>
            <w:pPr>
              <w:spacing w:after="30" w:before="30"/>
            </w:pPr>
            <w:r>
              <w:rPr>
                <w:color w:val="182230"/>
                <w:sz w:val="15"/>
              </w:rPr>
              <w:t>40.3</w:t>
            </w:r>
          </w:p>
        </w:tc>
        <w:tc>
          <w:tcPr>
            <w:tcW w:type="dxa" w:w="1814"/>
            <w:shd w:fill="F6F8FB"/>
            <w:vAlign w:val="center"/>
            <w:tcBorders>
              <w:bottom w:val="single" w:sz="4" w:color="D8E1EC"/>
            </w:tcBorders>
          </w:tcPr>
          <w:p>
            <w:pPr>
              <w:spacing w:after="30" w:before="30"/>
            </w:pPr>
            <w:r>
              <w:rPr>
                <w:color w:val="182230"/>
                <w:sz w:val="15"/>
              </w:rPr>
              <w:t>93.0</w:t>
            </w:r>
          </w:p>
        </w:tc>
      </w:tr>
      <w:tr>
        <w:trPr>
          <w:cantSplit/>
        </w:trPr>
        <w:tc>
          <w:tcPr>
            <w:tcW w:type="dxa" w:w="2324"/>
            <w:vAlign w:val="center"/>
            <w:tcBorders>
              <w:bottom w:val="single" w:sz="4" w:color="D8E1EC"/>
            </w:tcBorders>
          </w:tcPr>
          <w:p>
            <w:pPr>
              <w:spacing w:after="30" w:before="30"/>
            </w:pPr>
            <w:r>
              <w:rPr>
                <w:color w:val="182230"/>
                <w:sz w:val="15"/>
              </w:rPr>
              <w:t>R-PP1x</w:t>
            </w:r>
          </w:p>
        </w:tc>
        <w:tc>
          <w:tcPr>
            <w:tcW w:type="dxa" w:w="1247"/>
            <w:vAlign w:val="center"/>
            <w:tcBorders>
              <w:bottom w:val="single" w:sz="4" w:color="D8E1EC"/>
            </w:tcBorders>
          </w:tcPr>
          <w:p>
            <w:pPr>
              <w:spacing w:after="30" w:before="30"/>
            </w:pPr>
            <w:r>
              <w:rPr>
                <w:color w:val="182230"/>
                <w:sz w:val="15"/>
              </w:rPr>
              <w:t>120</w:t>
            </w:r>
          </w:p>
        </w:tc>
        <w:tc>
          <w:tcPr>
            <w:tcW w:type="dxa" w:w="1928"/>
            <w:vAlign w:val="center"/>
            <w:tcBorders>
              <w:bottom w:val="single" w:sz="4" w:color="D8E1EC"/>
            </w:tcBorders>
          </w:tcPr>
          <w:p>
            <w:pPr>
              <w:spacing w:after="30" w:before="30"/>
            </w:pPr>
            <w:r>
              <w:rPr>
                <w:color w:val="182230"/>
                <w:sz w:val="15"/>
              </w:rPr>
              <w:t>555.8</w:t>
            </w:r>
          </w:p>
        </w:tc>
        <w:tc>
          <w:tcPr>
            <w:tcW w:type="dxa" w:w="1984"/>
            <w:vAlign w:val="center"/>
            <w:tcBorders>
              <w:bottom w:val="single" w:sz="4" w:color="D8E1EC"/>
            </w:tcBorders>
          </w:tcPr>
          <w:p>
            <w:pPr>
              <w:spacing w:after="30" w:before="30"/>
            </w:pPr>
            <w:r>
              <w:rPr>
                <w:color w:val="182230"/>
                <w:sz w:val="15"/>
              </w:rPr>
              <w:t>20.5</w:t>
            </w:r>
          </w:p>
        </w:tc>
        <w:tc>
          <w:tcPr>
            <w:tcW w:type="dxa" w:w="1814"/>
            <w:vAlign w:val="center"/>
            <w:tcBorders>
              <w:bottom w:val="single" w:sz="4" w:color="D8E1EC"/>
            </w:tcBorders>
          </w:tcPr>
          <w:p>
            <w:pPr>
              <w:spacing w:after="30" w:before="30"/>
            </w:pPr>
            <w:r>
              <w:rPr>
                <w:color w:val="182230"/>
                <w:sz w:val="15"/>
              </w:rPr>
              <w:t>92.0</w:t>
            </w:r>
          </w:p>
        </w:tc>
      </w:tr>
      <w:tr>
        <w:trPr>
          <w:cantSplit/>
        </w:trPr>
        <w:tc>
          <w:tcPr>
            <w:tcW w:type="dxa" w:w="2324"/>
            <w:shd w:fill="F6F8FB"/>
            <w:vAlign w:val="center"/>
            <w:tcBorders>
              <w:bottom w:val="single" w:sz="4" w:color="D8E1EC"/>
            </w:tcBorders>
          </w:tcPr>
          <w:p>
            <w:pPr>
              <w:spacing w:after="30" w:before="30"/>
            </w:pPr>
            <w:r>
              <w:rPr>
                <w:color w:val="182230"/>
                <w:sz w:val="15"/>
              </w:rPr>
              <w:t>R-PP3x</w:t>
            </w:r>
          </w:p>
        </w:tc>
        <w:tc>
          <w:tcPr>
            <w:tcW w:type="dxa" w:w="1247"/>
            <w:shd w:fill="F6F8FB"/>
            <w:vAlign w:val="center"/>
            <w:tcBorders>
              <w:bottom w:val="single" w:sz="4" w:color="D8E1EC"/>
            </w:tcBorders>
          </w:tcPr>
          <w:p>
            <w:pPr>
              <w:spacing w:after="30" w:before="30"/>
            </w:pPr>
            <w:r>
              <w:rPr>
                <w:color w:val="182230"/>
                <w:sz w:val="15"/>
              </w:rPr>
              <w:t>0</w:t>
            </w:r>
          </w:p>
        </w:tc>
        <w:tc>
          <w:tcPr>
            <w:tcW w:type="dxa" w:w="1928"/>
            <w:shd w:fill="F6F8FB"/>
            <w:vAlign w:val="center"/>
            <w:tcBorders>
              <w:bottom w:val="single" w:sz="4" w:color="D8E1EC"/>
            </w:tcBorders>
          </w:tcPr>
          <w:p>
            <w:pPr>
              <w:spacing w:after="30" w:before="30"/>
            </w:pPr>
            <w:r>
              <w:rPr>
                <w:color w:val="182230"/>
                <w:sz w:val="15"/>
              </w:rPr>
              <w:t>516.9</w:t>
            </w:r>
          </w:p>
        </w:tc>
        <w:tc>
          <w:tcPr>
            <w:tcW w:type="dxa" w:w="1984"/>
            <w:shd w:fill="F6F8FB"/>
            <w:vAlign w:val="center"/>
            <w:tcBorders>
              <w:bottom w:val="single" w:sz="4" w:color="D8E1EC"/>
            </w:tcBorders>
          </w:tcPr>
          <w:p>
            <w:pPr>
              <w:spacing w:after="30" w:before="30"/>
            </w:pPr>
            <w:r>
              <w:rPr>
                <w:color w:val="182230"/>
                <w:sz w:val="15"/>
              </w:rPr>
              <w:t>10.9</w:t>
            </w:r>
          </w:p>
        </w:tc>
        <w:tc>
          <w:tcPr>
            <w:tcW w:type="dxa" w:w="1814"/>
            <w:shd w:fill="F6F8FB"/>
            <w:vAlign w:val="center"/>
            <w:tcBorders>
              <w:bottom w:val="single" w:sz="4" w:color="D8E1EC"/>
            </w:tcBorders>
          </w:tcPr>
          <w:p>
            <w:pPr>
              <w:spacing w:after="30" w:before="30"/>
            </w:pPr>
            <w:r>
              <w:rPr>
                <w:color w:val="182230"/>
                <w:sz w:val="15"/>
              </w:rPr>
              <w:t>100.0</w:t>
            </w:r>
          </w:p>
        </w:tc>
      </w:tr>
      <w:tr>
        <w:trPr>
          <w:cantSplit/>
        </w:trPr>
        <w:tc>
          <w:tcPr>
            <w:tcW w:type="dxa" w:w="2324"/>
            <w:vAlign w:val="center"/>
            <w:tcBorders>
              <w:bottom w:val="single" w:sz="4" w:color="D8E1EC"/>
            </w:tcBorders>
          </w:tcPr>
          <w:p>
            <w:pPr>
              <w:spacing w:after="30" w:before="30"/>
            </w:pPr>
            <w:r>
              <w:rPr>
                <w:color w:val="182230"/>
                <w:sz w:val="15"/>
              </w:rPr>
              <w:t>R-PP3x</w:t>
            </w:r>
          </w:p>
        </w:tc>
        <w:tc>
          <w:tcPr>
            <w:tcW w:type="dxa" w:w="1247"/>
            <w:vAlign w:val="center"/>
            <w:tcBorders>
              <w:bottom w:val="single" w:sz="4" w:color="D8E1EC"/>
            </w:tcBorders>
          </w:tcPr>
          <w:p>
            <w:pPr>
              <w:spacing w:after="30" w:before="30"/>
            </w:pPr>
            <w:r>
              <w:rPr>
                <w:color w:val="182230"/>
                <w:sz w:val="15"/>
              </w:rPr>
              <w:t>30</w:t>
            </w:r>
          </w:p>
        </w:tc>
        <w:tc>
          <w:tcPr>
            <w:tcW w:type="dxa" w:w="1928"/>
            <w:vAlign w:val="center"/>
            <w:tcBorders>
              <w:bottom w:val="single" w:sz="4" w:color="D8E1EC"/>
            </w:tcBorders>
          </w:tcPr>
          <w:p>
            <w:pPr>
              <w:spacing w:after="30" w:before="30"/>
            </w:pPr>
            <w:r>
              <w:rPr>
                <w:color w:val="182230"/>
                <w:sz w:val="15"/>
              </w:rPr>
              <w:t>465.2</w:t>
            </w:r>
          </w:p>
        </w:tc>
        <w:tc>
          <w:tcPr>
            <w:tcW w:type="dxa" w:w="1984"/>
            <w:vAlign w:val="center"/>
            <w:tcBorders>
              <w:bottom w:val="single" w:sz="4" w:color="D8E1EC"/>
            </w:tcBorders>
          </w:tcPr>
          <w:p>
            <w:pPr>
              <w:spacing w:after="30" w:before="30"/>
            </w:pPr>
            <w:r>
              <w:rPr>
                <w:color w:val="182230"/>
                <w:sz w:val="15"/>
              </w:rPr>
              <w:t>21.4</w:t>
            </w:r>
          </w:p>
        </w:tc>
        <w:tc>
          <w:tcPr>
            <w:tcW w:type="dxa" w:w="1814"/>
            <w:vAlign w:val="center"/>
            <w:tcBorders>
              <w:bottom w:val="single" w:sz="4" w:color="D8E1EC"/>
            </w:tcBorders>
          </w:tcPr>
          <w:p>
            <w:pPr>
              <w:spacing w:after="30" w:before="30"/>
            </w:pPr>
            <w:r>
              <w:rPr>
                <w:color w:val="182230"/>
                <w:sz w:val="15"/>
              </w:rPr>
              <w:t>90.0</w:t>
            </w:r>
          </w:p>
        </w:tc>
      </w:tr>
      <w:tr>
        <w:trPr>
          <w:cantSplit/>
        </w:trPr>
        <w:tc>
          <w:tcPr>
            <w:tcW w:type="dxa" w:w="2324"/>
            <w:shd w:fill="F6F8FB"/>
            <w:vAlign w:val="center"/>
            <w:tcBorders>
              <w:bottom w:val="single" w:sz="4" w:color="D8E1EC"/>
            </w:tcBorders>
          </w:tcPr>
          <w:p>
            <w:pPr>
              <w:spacing w:after="30" w:before="30"/>
            </w:pPr>
            <w:r>
              <w:rPr>
                <w:color w:val="182230"/>
                <w:sz w:val="15"/>
              </w:rPr>
              <w:t>R-PP3x</w:t>
            </w:r>
          </w:p>
        </w:tc>
        <w:tc>
          <w:tcPr>
            <w:tcW w:type="dxa" w:w="1247"/>
            <w:shd w:fill="F6F8FB"/>
            <w:vAlign w:val="center"/>
            <w:tcBorders>
              <w:bottom w:val="single" w:sz="4" w:color="D8E1EC"/>
            </w:tcBorders>
          </w:tcPr>
          <w:p>
            <w:pPr>
              <w:spacing w:after="30" w:before="30"/>
            </w:pPr>
            <w:r>
              <w:rPr>
                <w:color w:val="182230"/>
                <w:sz w:val="15"/>
              </w:rPr>
              <w:t>120</w:t>
            </w:r>
          </w:p>
        </w:tc>
        <w:tc>
          <w:tcPr>
            <w:tcW w:type="dxa" w:w="1928"/>
            <w:shd w:fill="F6F8FB"/>
            <w:vAlign w:val="center"/>
            <w:tcBorders>
              <w:bottom w:val="single" w:sz="4" w:color="D8E1EC"/>
            </w:tcBorders>
          </w:tcPr>
          <w:p>
            <w:pPr>
              <w:spacing w:after="30" w:before="30"/>
            </w:pPr>
            <w:r>
              <w:rPr>
                <w:color w:val="182230"/>
                <w:sz w:val="15"/>
              </w:rPr>
              <w:t>454.9</w:t>
            </w:r>
          </w:p>
        </w:tc>
        <w:tc>
          <w:tcPr>
            <w:tcW w:type="dxa" w:w="1984"/>
            <w:shd w:fill="F6F8FB"/>
            <w:vAlign w:val="center"/>
            <w:tcBorders>
              <w:bottom w:val="single" w:sz="4" w:color="D8E1EC"/>
            </w:tcBorders>
          </w:tcPr>
          <w:p>
            <w:pPr>
              <w:spacing w:after="30" w:before="30"/>
            </w:pPr>
            <w:r>
              <w:rPr>
                <w:color w:val="182230"/>
                <w:sz w:val="15"/>
              </w:rPr>
              <w:t>30.2</w:t>
            </w:r>
          </w:p>
        </w:tc>
        <w:tc>
          <w:tcPr>
            <w:tcW w:type="dxa" w:w="1814"/>
            <w:shd w:fill="F6F8FB"/>
            <w:vAlign w:val="center"/>
            <w:tcBorders>
              <w:bottom w:val="single" w:sz="4" w:color="D8E1EC"/>
            </w:tcBorders>
          </w:tcPr>
          <w:p>
            <w:pPr>
              <w:spacing w:after="30" w:before="30"/>
            </w:pPr>
            <w:r>
              <w:rPr>
                <w:color w:val="182230"/>
                <w:sz w:val="15"/>
              </w:rPr>
              <w:t>88.0</w:t>
            </w:r>
          </w:p>
        </w:tc>
      </w:tr>
      <w:tr>
        <w:trPr>
          <w:cantSplit/>
        </w:trPr>
        <w:tc>
          <w:tcPr>
            <w:tcW w:type="dxa" w:w="2324"/>
            <w:vAlign w:val="center"/>
            <w:tcBorders>
              <w:bottom w:val="single" w:sz="4" w:color="D8E1EC"/>
            </w:tcBorders>
          </w:tcPr>
          <w:p>
            <w:pPr>
              <w:spacing w:after="30" w:before="30"/>
            </w:pPr>
            <w:r>
              <w:rPr>
                <w:color w:val="182230"/>
                <w:sz w:val="15"/>
              </w:rPr>
              <w:t>R-PP3x/3CHF</w:t>
            </w:r>
          </w:p>
        </w:tc>
        <w:tc>
          <w:tcPr>
            <w:tcW w:type="dxa" w:w="1247"/>
            <w:vAlign w:val="center"/>
            <w:tcBorders>
              <w:bottom w:val="single" w:sz="4" w:color="D8E1EC"/>
            </w:tcBorders>
          </w:tcPr>
          <w:p>
            <w:pPr>
              <w:spacing w:after="30" w:before="30"/>
            </w:pPr>
            <w:r>
              <w:rPr>
                <w:color w:val="182230"/>
                <w:sz w:val="15"/>
              </w:rPr>
              <w:t>0</w:t>
            </w:r>
          </w:p>
        </w:tc>
        <w:tc>
          <w:tcPr>
            <w:tcW w:type="dxa" w:w="1928"/>
            <w:vAlign w:val="center"/>
            <w:tcBorders>
              <w:bottom w:val="single" w:sz="4" w:color="D8E1EC"/>
            </w:tcBorders>
          </w:tcPr>
          <w:p>
            <w:pPr>
              <w:spacing w:after="30" w:before="30"/>
            </w:pPr>
            <w:r>
              <w:rPr>
                <w:color w:val="182230"/>
                <w:sz w:val="15"/>
              </w:rPr>
              <w:t>537.1</w:t>
            </w:r>
          </w:p>
        </w:tc>
        <w:tc>
          <w:tcPr>
            <w:tcW w:type="dxa" w:w="1984"/>
            <w:vAlign w:val="center"/>
            <w:tcBorders>
              <w:bottom w:val="single" w:sz="4" w:color="D8E1EC"/>
            </w:tcBorders>
          </w:tcPr>
          <w:p>
            <w:pPr>
              <w:spacing w:after="30" w:before="30"/>
            </w:pPr>
            <w:r>
              <w:rPr>
                <w:color w:val="182230"/>
                <w:sz w:val="15"/>
              </w:rPr>
              <w:t>9.9</w:t>
            </w:r>
          </w:p>
        </w:tc>
        <w:tc>
          <w:tcPr>
            <w:tcW w:type="dxa" w:w="1814"/>
            <w:vAlign w:val="center"/>
            <w:tcBorders>
              <w:bottom w:val="single" w:sz="4" w:color="D8E1EC"/>
            </w:tcBorders>
          </w:tcPr>
          <w:p>
            <w:pPr>
              <w:spacing w:after="30" w:before="30"/>
            </w:pPr>
            <w:r>
              <w:rPr>
                <w:color w:val="182230"/>
                <w:sz w:val="15"/>
              </w:rPr>
              <w:t>100.0</w:t>
            </w:r>
          </w:p>
        </w:tc>
      </w:tr>
      <w:tr>
        <w:trPr>
          <w:cantSplit/>
        </w:trPr>
        <w:tc>
          <w:tcPr>
            <w:tcW w:type="dxa" w:w="2324"/>
            <w:shd w:fill="F6F8FB"/>
            <w:vAlign w:val="center"/>
            <w:tcBorders>
              <w:bottom w:val="single" w:sz="4" w:color="D8E1EC"/>
            </w:tcBorders>
          </w:tcPr>
          <w:p>
            <w:pPr>
              <w:spacing w:after="30" w:before="30"/>
            </w:pPr>
            <w:r>
              <w:rPr>
                <w:color w:val="182230"/>
                <w:sz w:val="15"/>
              </w:rPr>
              <w:t>R-PP3x/3CHF</w:t>
            </w:r>
          </w:p>
        </w:tc>
        <w:tc>
          <w:tcPr>
            <w:tcW w:type="dxa" w:w="1247"/>
            <w:shd w:fill="F6F8FB"/>
            <w:vAlign w:val="center"/>
            <w:tcBorders>
              <w:bottom w:val="single" w:sz="4" w:color="D8E1EC"/>
            </w:tcBorders>
          </w:tcPr>
          <w:p>
            <w:pPr>
              <w:spacing w:after="30" w:before="30"/>
            </w:pPr>
            <w:r>
              <w:rPr>
                <w:color w:val="182230"/>
                <w:sz w:val="15"/>
              </w:rPr>
              <w:t>30</w:t>
            </w:r>
          </w:p>
        </w:tc>
        <w:tc>
          <w:tcPr>
            <w:tcW w:type="dxa" w:w="1928"/>
            <w:shd w:fill="F6F8FB"/>
            <w:vAlign w:val="center"/>
            <w:tcBorders>
              <w:bottom w:val="single" w:sz="4" w:color="D8E1EC"/>
            </w:tcBorders>
          </w:tcPr>
          <w:p>
            <w:pPr>
              <w:spacing w:after="30" w:before="30"/>
            </w:pPr>
            <w:r>
              <w:rPr>
                <w:color w:val="182230"/>
                <w:sz w:val="15"/>
              </w:rPr>
              <w:t>504.9</w:t>
            </w:r>
          </w:p>
        </w:tc>
        <w:tc>
          <w:tcPr>
            <w:tcW w:type="dxa" w:w="1984"/>
            <w:shd w:fill="F6F8FB"/>
            <w:vAlign w:val="center"/>
            <w:tcBorders>
              <w:bottom w:val="single" w:sz="4" w:color="D8E1EC"/>
            </w:tcBorders>
          </w:tcPr>
          <w:p>
            <w:pPr>
              <w:spacing w:after="30" w:before="30"/>
            </w:pPr>
            <w:r>
              <w:rPr>
                <w:color w:val="182230"/>
                <w:sz w:val="15"/>
              </w:rPr>
              <w:t>20.1</w:t>
            </w:r>
          </w:p>
        </w:tc>
        <w:tc>
          <w:tcPr>
            <w:tcW w:type="dxa" w:w="1814"/>
            <w:shd w:fill="F6F8FB"/>
            <w:vAlign w:val="center"/>
            <w:tcBorders>
              <w:bottom w:val="single" w:sz="4" w:color="D8E1EC"/>
            </w:tcBorders>
          </w:tcPr>
          <w:p>
            <w:pPr>
              <w:spacing w:after="30" w:before="30"/>
            </w:pPr>
            <w:r>
              <w:rPr>
                <w:color w:val="182230"/>
                <w:sz w:val="15"/>
              </w:rPr>
              <w:t>94.0</w:t>
            </w:r>
          </w:p>
        </w:tc>
      </w:tr>
      <w:tr>
        <w:trPr>
          <w:cantSplit/>
        </w:trPr>
        <w:tc>
          <w:tcPr>
            <w:tcW w:type="dxa" w:w="2324"/>
            <w:vAlign w:val="center"/>
            <w:tcBorders>
              <w:bottom w:val="single" w:sz="4" w:color="D8E1EC"/>
            </w:tcBorders>
          </w:tcPr>
          <w:p>
            <w:pPr>
              <w:spacing w:after="30" w:before="30"/>
            </w:pPr>
            <w:r>
              <w:rPr>
                <w:color w:val="182230"/>
                <w:sz w:val="15"/>
              </w:rPr>
              <w:t>R-PP3x/3CHF</w:t>
            </w:r>
          </w:p>
        </w:tc>
        <w:tc>
          <w:tcPr>
            <w:tcW w:type="dxa" w:w="1247"/>
            <w:vAlign w:val="center"/>
            <w:tcBorders>
              <w:bottom w:val="single" w:sz="4" w:color="D8E1EC"/>
            </w:tcBorders>
          </w:tcPr>
          <w:p>
            <w:pPr>
              <w:spacing w:after="30" w:before="30"/>
            </w:pPr>
            <w:r>
              <w:rPr>
                <w:color w:val="182230"/>
                <w:sz w:val="15"/>
              </w:rPr>
              <w:t>120</w:t>
            </w:r>
          </w:p>
        </w:tc>
        <w:tc>
          <w:tcPr>
            <w:tcW w:type="dxa" w:w="1928"/>
            <w:vAlign w:val="center"/>
            <w:tcBorders>
              <w:bottom w:val="single" w:sz="4" w:color="D8E1EC"/>
            </w:tcBorders>
          </w:tcPr>
          <w:p>
            <w:pPr>
              <w:spacing w:after="30" w:before="30"/>
            </w:pPr>
            <w:r>
              <w:rPr>
                <w:color w:val="182230"/>
                <w:sz w:val="15"/>
              </w:rPr>
              <w:t>488.8</w:t>
            </w:r>
          </w:p>
        </w:tc>
        <w:tc>
          <w:tcPr>
            <w:tcW w:type="dxa" w:w="1984"/>
            <w:vAlign w:val="center"/>
            <w:tcBorders>
              <w:bottom w:val="single" w:sz="4" w:color="D8E1EC"/>
            </w:tcBorders>
          </w:tcPr>
          <w:p>
            <w:pPr>
              <w:spacing w:after="30" w:before="30"/>
            </w:pPr>
            <w:r>
              <w:rPr>
                <w:color w:val="182230"/>
                <w:sz w:val="15"/>
              </w:rPr>
              <w:t>15.8</w:t>
            </w:r>
          </w:p>
        </w:tc>
        <w:tc>
          <w:tcPr>
            <w:tcW w:type="dxa" w:w="1814"/>
            <w:vAlign w:val="center"/>
            <w:tcBorders>
              <w:bottom w:val="single" w:sz="4" w:color="D8E1EC"/>
            </w:tcBorders>
          </w:tcPr>
          <w:p>
            <w:pPr>
              <w:spacing w:after="30" w:before="30"/>
            </w:pPr>
            <w:r>
              <w:rPr>
                <w:color w:val="182230"/>
                <w:sz w:val="15"/>
              </w:rPr>
              <w:t>91.0</w:t>
            </w:r>
          </w:p>
        </w:tc>
      </w:tr>
      <w:tr>
        <w:trPr>
          <w:cantSplit/>
        </w:trPr>
        <w:tc>
          <w:tcPr>
            <w:tcW w:type="dxa" w:w="2324"/>
            <w:shd w:fill="F6F8FB"/>
            <w:vAlign w:val="center"/>
            <w:tcBorders>
              <w:bottom w:val="single" w:sz="4" w:color="D8E1EC"/>
            </w:tcBorders>
          </w:tcPr>
          <w:p>
            <w:pPr>
              <w:spacing w:after="30" w:before="30"/>
            </w:pPr>
            <w:r>
              <w:rPr>
                <w:color w:val="182230"/>
                <w:sz w:val="15"/>
              </w:rPr>
              <w:t>R-PP3x/5CHF</w:t>
            </w:r>
          </w:p>
        </w:tc>
        <w:tc>
          <w:tcPr>
            <w:tcW w:type="dxa" w:w="1247"/>
            <w:shd w:fill="F6F8FB"/>
            <w:vAlign w:val="center"/>
            <w:tcBorders>
              <w:bottom w:val="single" w:sz="4" w:color="D8E1EC"/>
            </w:tcBorders>
          </w:tcPr>
          <w:p>
            <w:pPr>
              <w:spacing w:after="30" w:before="30"/>
            </w:pPr>
            <w:r>
              <w:rPr>
                <w:color w:val="182230"/>
                <w:sz w:val="15"/>
              </w:rPr>
              <w:t>0</w:t>
            </w:r>
          </w:p>
        </w:tc>
        <w:tc>
          <w:tcPr>
            <w:tcW w:type="dxa" w:w="1928"/>
            <w:shd w:fill="F6F8FB"/>
            <w:vAlign w:val="center"/>
            <w:tcBorders>
              <w:bottom w:val="single" w:sz="4" w:color="D8E1EC"/>
            </w:tcBorders>
          </w:tcPr>
          <w:p>
            <w:pPr>
              <w:spacing w:after="30" w:before="30"/>
            </w:pPr>
            <w:r>
              <w:rPr>
                <w:color w:val="182230"/>
                <w:sz w:val="15"/>
              </w:rPr>
              <w:t>541.1</w:t>
            </w:r>
          </w:p>
        </w:tc>
        <w:tc>
          <w:tcPr>
            <w:tcW w:type="dxa" w:w="1984"/>
            <w:shd w:fill="F6F8FB"/>
            <w:vAlign w:val="center"/>
            <w:tcBorders>
              <w:bottom w:val="single" w:sz="4" w:color="D8E1EC"/>
            </w:tcBorders>
          </w:tcPr>
          <w:p>
            <w:pPr>
              <w:spacing w:after="30" w:before="30"/>
            </w:pPr>
            <w:r>
              <w:rPr>
                <w:color w:val="182230"/>
                <w:sz w:val="15"/>
              </w:rPr>
              <w:t>8.4</w:t>
            </w:r>
          </w:p>
        </w:tc>
        <w:tc>
          <w:tcPr>
            <w:tcW w:type="dxa" w:w="1814"/>
            <w:shd w:fill="F6F8FB"/>
            <w:vAlign w:val="center"/>
            <w:tcBorders>
              <w:bottom w:val="single" w:sz="4" w:color="D8E1EC"/>
            </w:tcBorders>
          </w:tcPr>
          <w:p>
            <w:pPr>
              <w:spacing w:after="30" w:before="30"/>
            </w:pPr>
            <w:r>
              <w:rPr>
                <w:color w:val="182230"/>
                <w:sz w:val="15"/>
              </w:rPr>
              <w:t>100.0</w:t>
            </w:r>
          </w:p>
        </w:tc>
      </w:tr>
      <w:tr>
        <w:trPr>
          <w:cantSplit/>
        </w:trPr>
        <w:tc>
          <w:tcPr>
            <w:tcW w:type="dxa" w:w="2324"/>
            <w:vAlign w:val="center"/>
            <w:tcBorders>
              <w:bottom w:val="single" w:sz="4" w:color="D8E1EC"/>
            </w:tcBorders>
          </w:tcPr>
          <w:p>
            <w:pPr>
              <w:spacing w:after="30" w:before="30"/>
            </w:pPr>
            <w:r>
              <w:rPr>
                <w:color w:val="182230"/>
                <w:sz w:val="15"/>
              </w:rPr>
              <w:t>R-PP3x/5CHF</w:t>
            </w:r>
          </w:p>
        </w:tc>
        <w:tc>
          <w:tcPr>
            <w:tcW w:type="dxa" w:w="1247"/>
            <w:vAlign w:val="center"/>
            <w:tcBorders>
              <w:bottom w:val="single" w:sz="4" w:color="D8E1EC"/>
            </w:tcBorders>
          </w:tcPr>
          <w:p>
            <w:pPr>
              <w:spacing w:after="30" w:before="30"/>
            </w:pPr>
            <w:r>
              <w:rPr>
                <w:color w:val="182230"/>
                <w:sz w:val="15"/>
              </w:rPr>
              <w:t>30</w:t>
            </w:r>
          </w:p>
        </w:tc>
        <w:tc>
          <w:tcPr>
            <w:tcW w:type="dxa" w:w="1928"/>
            <w:vAlign w:val="center"/>
            <w:tcBorders>
              <w:bottom w:val="single" w:sz="4" w:color="D8E1EC"/>
            </w:tcBorders>
          </w:tcPr>
          <w:p>
            <w:pPr>
              <w:spacing w:after="30" w:before="30"/>
            </w:pPr>
            <w:r>
              <w:rPr>
                <w:color w:val="182230"/>
                <w:sz w:val="15"/>
              </w:rPr>
              <w:t>492.4</w:t>
            </w:r>
          </w:p>
        </w:tc>
        <w:tc>
          <w:tcPr>
            <w:tcW w:type="dxa" w:w="1984"/>
            <w:vAlign w:val="center"/>
            <w:tcBorders>
              <w:bottom w:val="single" w:sz="4" w:color="D8E1EC"/>
            </w:tcBorders>
          </w:tcPr>
          <w:p>
            <w:pPr>
              <w:spacing w:after="30" w:before="30"/>
            </w:pPr>
            <w:r>
              <w:rPr>
                <w:color w:val="182230"/>
                <w:sz w:val="15"/>
              </w:rPr>
              <w:t>30.9</w:t>
            </w:r>
          </w:p>
        </w:tc>
        <w:tc>
          <w:tcPr>
            <w:tcW w:type="dxa" w:w="1814"/>
            <w:vAlign w:val="center"/>
            <w:tcBorders>
              <w:bottom w:val="single" w:sz="4" w:color="D8E1EC"/>
            </w:tcBorders>
          </w:tcPr>
          <w:p>
            <w:pPr>
              <w:spacing w:after="30" w:before="30"/>
            </w:pPr>
            <w:r>
              <w:rPr>
                <w:color w:val="182230"/>
                <w:sz w:val="15"/>
              </w:rPr>
              <w:t>91.0</w:t>
            </w:r>
          </w:p>
        </w:tc>
      </w:tr>
      <w:tr>
        <w:trPr>
          <w:cantSplit/>
        </w:trPr>
        <w:tc>
          <w:tcPr>
            <w:tcW w:type="dxa" w:w="2324"/>
            <w:shd w:fill="F6F8FB"/>
            <w:vAlign w:val="center"/>
            <w:tcBorders>
              <w:bottom w:val="single" w:sz="4" w:color="D8E1EC"/>
            </w:tcBorders>
          </w:tcPr>
          <w:p>
            <w:pPr>
              <w:spacing w:after="30" w:before="30"/>
            </w:pPr>
            <w:r>
              <w:rPr>
                <w:color w:val="182230"/>
                <w:sz w:val="15"/>
              </w:rPr>
              <w:t>R-PP3x/5CHF</w:t>
            </w:r>
          </w:p>
        </w:tc>
        <w:tc>
          <w:tcPr>
            <w:tcW w:type="dxa" w:w="1247"/>
            <w:shd w:fill="F6F8FB"/>
            <w:vAlign w:val="center"/>
            <w:tcBorders>
              <w:bottom w:val="single" w:sz="4" w:color="D8E1EC"/>
            </w:tcBorders>
          </w:tcPr>
          <w:p>
            <w:pPr>
              <w:spacing w:after="30" w:before="30"/>
            </w:pPr>
            <w:r>
              <w:rPr>
                <w:color w:val="182230"/>
                <w:sz w:val="15"/>
              </w:rPr>
              <w:t>120</w:t>
            </w:r>
          </w:p>
        </w:tc>
        <w:tc>
          <w:tcPr>
            <w:tcW w:type="dxa" w:w="1928"/>
            <w:shd w:fill="F6F8FB"/>
            <w:vAlign w:val="center"/>
            <w:tcBorders>
              <w:bottom w:val="single" w:sz="4" w:color="D8E1EC"/>
            </w:tcBorders>
          </w:tcPr>
          <w:p>
            <w:pPr>
              <w:spacing w:after="30" w:before="30"/>
            </w:pPr>
            <w:r>
              <w:rPr>
                <w:color w:val="182230"/>
                <w:sz w:val="15"/>
              </w:rPr>
              <w:t>481.6</w:t>
            </w:r>
          </w:p>
        </w:tc>
        <w:tc>
          <w:tcPr>
            <w:tcW w:type="dxa" w:w="1984"/>
            <w:shd w:fill="F6F8FB"/>
            <w:vAlign w:val="center"/>
            <w:tcBorders>
              <w:bottom w:val="single" w:sz="4" w:color="D8E1EC"/>
            </w:tcBorders>
          </w:tcPr>
          <w:p>
            <w:pPr>
              <w:spacing w:after="30" w:before="30"/>
            </w:pPr>
            <w:r>
              <w:rPr>
                <w:color w:val="182230"/>
                <w:sz w:val="15"/>
              </w:rPr>
              <w:t>40.1</w:t>
            </w:r>
          </w:p>
        </w:tc>
        <w:tc>
          <w:tcPr>
            <w:tcW w:type="dxa" w:w="1814"/>
            <w:shd w:fill="F6F8FB"/>
            <w:vAlign w:val="center"/>
            <w:tcBorders>
              <w:bottom w:val="single" w:sz="4" w:color="D8E1EC"/>
            </w:tcBorders>
          </w:tcPr>
          <w:p>
            <w:pPr>
              <w:spacing w:after="30" w:before="30"/>
            </w:pPr>
            <w:r>
              <w:rPr>
                <w:color w:val="182230"/>
                <w:sz w:val="15"/>
              </w:rPr>
              <w:t>89.0</w:t>
            </w:r>
          </w:p>
        </w:tc>
      </w:tr>
    </w:tbl>
    <w:p>
      <w:pPr>
        <w:spacing w:after="0"/>
      </w:pPr>
    </w:p>
    <w:p>
      <w:pPr>
        <w:pStyle w:val="Heading2"/>
        <w:keepNext/>
      </w:pPr>
      <w:r>
        <w:t>A.2 IIR/BRC - tableau source</w:t>
      </w:r>
    </w:p>
    <w:tbl>
      <w:tblPr>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1304"/>
            <w:shd w:fill="17365D"/>
            <w:vAlign w:val="center"/>
            <w:tcBorders>
              <w:bottom w:val="single" w:sz="5" w:color="FFFFFF"/>
            </w:tcBorders>
          </w:tcPr>
          <w:p>
            <w:pPr>
              <w:jc w:val="left"/>
            </w:pPr>
            <w:r>
              <w:rPr>
                <w:b/>
                <w:color w:val="FFFFFF"/>
                <w:sz w:val="14"/>
              </w:rPr>
              <w:t>T (°C)</w:t>
            </w:r>
          </w:p>
        </w:tc>
        <w:tc>
          <w:tcPr>
            <w:tcW w:type="dxa" w:w="1361"/>
            <w:shd w:fill="17365D"/>
            <w:vAlign w:val="center"/>
            <w:tcBorders>
              <w:bottom w:val="single" w:sz="5" w:color="FFFFFF"/>
            </w:tcBorders>
          </w:tcPr>
          <w:p>
            <w:pPr>
              <w:jc w:val="left"/>
            </w:pPr>
            <w:r>
              <w:rPr>
                <w:b/>
                <w:color w:val="FFFFFF"/>
                <w:sz w:val="14"/>
              </w:rPr>
              <w:t>Temps (h)</w:t>
            </w:r>
          </w:p>
        </w:tc>
        <w:tc>
          <w:tcPr>
            <w:tcW w:type="dxa" w:w="2154"/>
            <w:shd w:fill="17365D"/>
            <w:vAlign w:val="center"/>
            <w:tcBorders>
              <w:bottom w:val="single" w:sz="5" w:color="FFFFFF"/>
            </w:tcBorders>
          </w:tcPr>
          <w:p>
            <w:pPr>
              <w:jc w:val="left"/>
            </w:pPr>
            <w:r>
              <w:rPr>
                <w:b/>
                <w:color w:val="FFFFFF"/>
                <w:sz w:val="14"/>
              </w:rPr>
              <w:t>E moyen (MPa)</w:t>
            </w:r>
          </w:p>
        </w:tc>
        <w:tc>
          <w:tcPr>
            <w:tcW w:type="dxa" w:w="2268"/>
            <w:shd w:fill="17365D"/>
            <w:vAlign w:val="center"/>
            <w:tcBorders>
              <w:bottom w:val="single" w:sz="5" w:color="FFFFFF"/>
            </w:tcBorders>
          </w:tcPr>
          <w:p>
            <w:pPr>
              <w:jc w:val="left"/>
            </w:pPr>
            <w:r>
              <w:rPr>
                <w:b/>
                <w:color w:val="FFFFFF"/>
                <w:sz w:val="14"/>
              </w:rPr>
              <w:t>Écart-type (MPa)</w:t>
            </w:r>
          </w:p>
        </w:tc>
        <w:tc>
          <w:tcPr>
            <w:tcW w:type="dxa" w:w="2041"/>
            <w:shd w:fill="17365D"/>
            <w:vAlign w:val="center"/>
            <w:tcBorders>
              <w:bottom w:val="single" w:sz="5" w:color="FFFFFF"/>
            </w:tcBorders>
          </w:tcPr>
          <w:p>
            <w:pPr>
              <w:jc w:val="left"/>
            </w:pPr>
            <w:r>
              <w:rPr>
                <w:b/>
                <w:color w:val="FFFFFF"/>
                <w:sz w:val="14"/>
              </w:rPr>
              <w:t>Rétention (%)</w:t>
            </w:r>
          </w:p>
        </w:tc>
      </w:tr>
      <w:tr>
        <w:trPr>
          <w:cantSplit/>
        </w:trPr>
        <w:tc>
          <w:tcPr>
            <w:tcW w:type="dxa" w:w="1304"/>
            <w:vAlign w:val="center"/>
            <w:tcBorders>
              <w:bottom w:val="single" w:sz="4" w:color="D8E1EC"/>
            </w:tcBorders>
          </w:tcPr>
          <w:p>
            <w:pPr>
              <w:spacing w:after="30" w:before="30"/>
            </w:pPr>
            <w:r>
              <w:rPr>
                <w:color w:val="182230"/>
                <w:sz w:val="14"/>
              </w:rPr>
              <w:t>80</w:t>
            </w:r>
          </w:p>
        </w:tc>
        <w:tc>
          <w:tcPr>
            <w:tcW w:type="dxa" w:w="1361"/>
            <w:vAlign w:val="center"/>
            <w:tcBorders>
              <w:bottom w:val="single" w:sz="4" w:color="D8E1EC"/>
            </w:tcBorders>
          </w:tcPr>
          <w:p>
            <w:pPr>
              <w:spacing w:after="30" w:before="30"/>
            </w:pPr>
            <w:r>
              <w:rPr>
                <w:color w:val="182230"/>
                <w:sz w:val="14"/>
              </w:rPr>
              <w:t>0</w:t>
            </w:r>
          </w:p>
        </w:tc>
        <w:tc>
          <w:tcPr>
            <w:tcW w:type="dxa" w:w="2154"/>
            <w:vAlign w:val="center"/>
            <w:tcBorders>
              <w:bottom w:val="single" w:sz="4" w:color="D8E1EC"/>
            </w:tcBorders>
          </w:tcPr>
          <w:p>
            <w:pPr>
              <w:spacing w:after="30" w:before="30"/>
            </w:pPr>
            <w:r>
              <w:rPr>
                <w:color w:val="182230"/>
                <w:sz w:val="14"/>
              </w:rPr>
              <w:t>2.87</w:t>
            </w:r>
          </w:p>
        </w:tc>
        <w:tc>
          <w:tcPr>
            <w:tcW w:type="dxa" w:w="2268"/>
            <w:vAlign w:val="center"/>
            <w:tcBorders>
              <w:bottom w:val="single" w:sz="4" w:color="D8E1EC"/>
            </w:tcBorders>
          </w:tcPr>
          <w:p>
            <w:pPr>
              <w:spacing w:after="30" w:before="30"/>
            </w:pPr>
            <w:r>
              <w:rPr>
                <w:color w:val="182230"/>
                <w:sz w:val="14"/>
              </w:rPr>
              <w:t>0.20</w:t>
            </w:r>
          </w:p>
        </w:tc>
        <w:tc>
          <w:tcPr>
            <w:tcW w:type="dxa" w:w="2041"/>
            <w:vAlign w:val="center"/>
            <w:tcBorders>
              <w:bottom w:val="single" w:sz="4" w:color="D8E1EC"/>
            </w:tcBorders>
          </w:tcPr>
          <w:p>
            <w:pPr>
              <w:spacing w:after="30" w:before="30"/>
            </w:pPr>
            <w:r>
              <w:rPr>
                <w:color w:val="182230"/>
                <w:sz w:val="14"/>
              </w:rPr>
              <w:t>100.0</w:t>
            </w:r>
          </w:p>
        </w:tc>
      </w:tr>
      <w:tr>
        <w:trPr>
          <w:cantSplit/>
        </w:trPr>
        <w:tc>
          <w:tcPr>
            <w:tcW w:type="dxa" w:w="1304"/>
            <w:shd w:fill="F6F8FB"/>
            <w:vAlign w:val="center"/>
            <w:tcBorders>
              <w:bottom w:val="single" w:sz="4" w:color="D8E1EC"/>
            </w:tcBorders>
          </w:tcPr>
          <w:p>
            <w:pPr>
              <w:spacing w:after="30" w:before="30"/>
            </w:pPr>
            <w:r>
              <w:rPr>
                <w:color w:val="182230"/>
                <w:sz w:val="14"/>
              </w:rPr>
              <w:t>80</w:t>
            </w:r>
          </w:p>
        </w:tc>
        <w:tc>
          <w:tcPr>
            <w:tcW w:type="dxa" w:w="1361"/>
            <w:shd w:fill="F6F8FB"/>
            <w:vAlign w:val="center"/>
            <w:tcBorders>
              <w:bottom w:val="single" w:sz="4" w:color="D8E1EC"/>
            </w:tcBorders>
          </w:tcPr>
          <w:p>
            <w:pPr>
              <w:spacing w:after="30" w:before="30"/>
            </w:pPr>
            <w:r>
              <w:rPr>
                <w:color w:val="182230"/>
                <w:sz w:val="14"/>
              </w:rPr>
              <w:t>1</w:t>
            </w:r>
          </w:p>
        </w:tc>
        <w:tc>
          <w:tcPr>
            <w:tcW w:type="dxa" w:w="2154"/>
            <w:shd w:fill="F6F8FB"/>
            <w:vAlign w:val="center"/>
            <w:tcBorders>
              <w:bottom w:val="single" w:sz="4" w:color="D8E1EC"/>
            </w:tcBorders>
          </w:tcPr>
          <w:p>
            <w:pPr>
              <w:spacing w:after="30" w:before="30"/>
            </w:pPr>
            <w:r>
              <w:rPr>
                <w:color w:val="182230"/>
                <w:sz w:val="14"/>
              </w:rPr>
              <w:t>2.64</w:t>
            </w:r>
          </w:p>
        </w:tc>
        <w:tc>
          <w:tcPr>
            <w:tcW w:type="dxa" w:w="2268"/>
            <w:shd w:fill="F6F8FB"/>
            <w:vAlign w:val="center"/>
            <w:tcBorders>
              <w:bottom w:val="single" w:sz="4" w:color="D8E1EC"/>
            </w:tcBorders>
          </w:tcPr>
          <w:p>
            <w:pPr>
              <w:spacing w:after="30" w:before="30"/>
            </w:pPr>
            <w:r>
              <w:rPr>
                <w:color w:val="182230"/>
                <w:sz w:val="14"/>
              </w:rPr>
              <w:t>0.16</w:t>
            </w:r>
          </w:p>
        </w:tc>
        <w:tc>
          <w:tcPr>
            <w:tcW w:type="dxa" w:w="2041"/>
            <w:shd w:fill="F6F8FB"/>
            <w:vAlign w:val="center"/>
            <w:tcBorders>
              <w:bottom w:val="single" w:sz="4" w:color="D8E1EC"/>
            </w:tcBorders>
          </w:tcPr>
          <w:p>
            <w:pPr>
              <w:spacing w:after="30" w:before="30"/>
            </w:pPr>
            <w:r>
              <w:rPr>
                <w:color w:val="182230"/>
                <w:sz w:val="14"/>
              </w:rPr>
              <w:t>92.0</w:t>
            </w:r>
          </w:p>
        </w:tc>
      </w:tr>
      <w:tr>
        <w:trPr>
          <w:cantSplit/>
        </w:trPr>
        <w:tc>
          <w:tcPr>
            <w:tcW w:type="dxa" w:w="1304"/>
            <w:vAlign w:val="center"/>
            <w:tcBorders>
              <w:bottom w:val="single" w:sz="4" w:color="D8E1EC"/>
            </w:tcBorders>
          </w:tcPr>
          <w:p>
            <w:pPr>
              <w:spacing w:after="30" w:before="30"/>
            </w:pPr>
            <w:r>
              <w:rPr>
                <w:color w:val="182230"/>
                <w:sz w:val="14"/>
              </w:rPr>
              <w:t>80</w:t>
            </w:r>
          </w:p>
        </w:tc>
        <w:tc>
          <w:tcPr>
            <w:tcW w:type="dxa" w:w="1361"/>
            <w:vAlign w:val="center"/>
            <w:tcBorders>
              <w:bottom w:val="single" w:sz="4" w:color="D8E1EC"/>
            </w:tcBorders>
          </w:tcPr>
          <w:p>
            <w:pPr>
              <w:spacing w:after="30" w:before="30"/>
            </w:pPr>
            <w:r>
              <w:rPr>
                <w:color w:val="182230"/>
                <w:sz w:val="14"/>
              </w:rPr>
              <w:t>2</w:t>
            </w:r>
          </w:p>
        </w:tc>
        <w:tc>
          <w:tcPr>
            <w:tcW w:type="dxa" w:w="2154"/>
            <w:vAlign w:val="center"/>
            <w:tcBorders>
              <w:bottom w:val="single" w:sz="4" w:color="D8E1EC"/>
            </w:tcBorders>
          </w:tcPr>
          <w:p>
            <w:pPr>
              <w:spacing w:after="30" w:before="30"/>
            </w:pPr>
            <w:r>
              <w:rPr>
                <w:color w:val="182230"/>
                <w:sz w:val="14"/>
              </w:rPr>
              <w:t>2.43</w:t>
            </w:r>
          </w:p>
        </w:tc>
        <w:tc>
          <w:tcPr>
            <w:tcW w:type="dxa" w:w="2268"/>
            <w:vAlign w:val="center"/>
            <w:tcBorders>
              <w:bottom w:val="single" w:sz="4" w:color="D8E1EC"/>
            </w:tcBorders>
          </w:tcPr>
          <w:p>
            <w:pPr>
              <w:spacing w:after="30" w:before="30"/>
            </w:pPr>
            <w:r>
              <w:rPr>
                <w:color w:val="182230"/>
                <w:sz w:val="14"/>
              </w:rPr>
              <w:t>0.08</w:t>
            </w:r>
          </w:p>
        </w:tc>
        <w:tc>
          <w:tcPr>
            <w:tcW w:type="dxa" w:w="2041"/>
            <w:vAlign w:val="center"/>
            <w:tcBorders>
              <w:bottom w:val="single" w:sz="4" w:color="D8E1EC"/>
            </w:tcBorders>
          </w:tcPr>
          <w:p>
            <w:pPr>
              <w:spacing w:after="30" w:before="30"/>
            </w:pPr>
            <w:r>
              <w:rPr>
                <w:color w:val="182230"/>
                <w:sz w:val="14"/>
              </w:rPr>
              <w:t>84.7</w:t>
            </w:r>
          </w:p>
        </w:tc>
      </w:tr>
      <w:tr>
        <w:trPr>
          <w:cantSplit/>
        </w:trPr>
        <w:tc>
          <w:tcPr>
            <w:tcW w:type="dxa" w:w="1304"/>
            <w:shd w:fill="F6F8FB"/>
            <w:vAlign w:val="center"/>
            <w:tcBorders>
              <w:bottom w:val="single" w:sz="4" w:color="D8E1EC"/>
            </w:tcBorders>
          </w:tcPr>
          <w:p>
            <w:pPr>
              <w:spacing w:after="30" w:before="30"/>
            </w:pPr>
            <w:r>
              <w:rPr>
                <w:color w:val="182230"/>
                <w:sz w:val="14"/>
              </w:rPr>
              <w:t>80</w:t>
            </w:r>
          </w:p>
        </w:tc>
        <w:tc>
          <w:tcPr>
            <w:tcW w:type="dxa" w:w="1361"/>
            <w:shd w:fill="F6F8FB"/>
            <w:vAlign w:val="center"/>
            <w:tcBorders>
              <w:bottom w:val="single" w:sz="4" w:color="D8E1EC"/>
            </w:tcBorders>
          </w:tcPr>
          <w:p>
            <w:pPr>
              <w:spacing w:after="30" w:before="30"/>
            </w:pPr>
            <w:r>
              <w:rPr>
                <w:color w:val="182230"/>
                <w:sz w:val="14"/>
              </w:rPr>
              <w:t>4</w:t>
            </w:r>
          </w:p>
        </w:tc>
        <w:tc>
          <w:tcPr>
            <w:tcW w:type="dxa" w:w="2154"/>
            <w:shd w:fill="F6F8FB"/>
            <w:vAlign w:val="center"/>
            <w:tcBorders>
              <w:bottom w:val="single" w:sz="4" w:color="D8E1EC"/>
            </w:tcBorders>
          </w:tcPr>
          <w:p>
            <w:pPr>
              <w:spacing w:after="30" w:before="30"/>
            </w:pPr>
            <w:r>
              <w:rPr>
                <w:color w:val="182230"/>
                <w:sz w:val="14"/>
              </w:rPr>
              <w:t>2.41</w:t>
            </w:r>
          </w:p>
        </w:tc>
        <w:tc>
          <w:tcPr>
            <w:tcW w:type="dxa" w:w="2268"/>
            <w:shd w:fill="F6F8FB"/>
            <w:vAlign w:val="center"/>
            <w:tcBorders>
              <w:bottom w:val="single" w:sz="4" w:color="D8E1EC"/>
            </w:tcBorders>
          </w:tcPr>
          <w:p>
            <w:pPr>
              <w:spacing w:after="30" w:before="30"/>
            </w:pPr>
            <w:r>
              <w:rPr>
                <w:color w:val="182230"/>
                <w:sz w:val="14"/>
              </w:rPr>
              <w:t>0.05</w:t>
            </w:r>
          </w:p>
        </w:tc>
        <w:tc>
          <w:tcPr>
            <w:tcW w:type="dxa" w:w="2041"/>
            <w:shd w:fill="F6F8FB"/>
            <w:vAlign w:val="center"/>
            <w:tcBorders>
              <w:bottom w:val="single" w:sz="4" w:color="D8E1EC"/>
            </w:tcBorders>
          </w:tcPr>
          <w:p>
            <w:pPr>
              <w:spacing w:after="30" w:before="30"/>
            </w:pPr>
            <w:r>
              <w:rPr>
                <w:color w:val="182230"/>
                <w:sz w:val="14"/>
              </w:rPr>
              <w:t>84.0</w:t>
            </w:r>
          </w:p>
        </w:tc>
      </w:tr>
      <w:tr>
        <w:trPr>
          <w:cantSplit/>
        </w:trPr>
        <w:tc>
          <w:tcPr>
            <w:tcW w:type="dxa" w:w="1304"/>
            <w:vAlign w:val="center"/>
            <w:tcBorders>
              <w:bottom w:val="single" w:sz="4" w:color="D8E1EC"/>
            </w:tcBorders>
          </w:tcPr>
          <w:p>
            <w:pPr>
              <w:spacing w:after="30" w:before="30"/>
            </w:pPr>
            <w:r>
              <w:rPr>
                <w:color w:val="182230"/>
                <w:sz w:val="14"/>
              </w:rPr>
              <w:t>80</w:t>
            </w:r>
          </w:p>
        </w:tc>
        <w:tc>
          <w:tcPr>
            <w:tcW w:type="dxa" w:w="1361"/>
            <w:vAlign w:val="center"/>
            <w:tcBorders>
              <w:bottom w:val="single" w:sz="4" w:color="D8E1EC"/>
            </w:tcBorders>
          </w:tcPr>
          <w:p>
            <w:pPr>
              <w:spacing w:after="30" w:before="30"/>
            </w:pPr>
            <w:r>
              <w:rPr>
                <w:color w:val="182230"/>
                <w:sz w:val="14"/>
              </w:rPr>
              <w:t>6</w:t>
            </w:r>
          </w:p>
        </w:tc>
        <w:tc>
          <w:tcPr>
            <w:tcW w:type="dxa" w:w="2154"/>
            <w:vAlign w:val="center"/>
            <w:tcBorders>
              <w:bottom w:val="single" w:sz="4" w:color="D8E1EC"/>
            </w:tcBorders>
          </w:tcPr>
          <w:p>
            <w:pPr>
              <w:spacing w:after="30" w:before="30"/>
            </w:pPr>
            <w:r>
              <w:rPr>
                <w:color w:val="182230"/>
                <w:sz w:val="14"/>
              </w:rPr>
              <w:t>2.30</w:t>
            </w:r>
          </w:p>
        </w:tc>
        <w:tc>
          <w:tcPr>
            <w:tcW w:type="dxa" w:w="2268"/>
            <w:vAlign w:val="center"/>
            <w:tcBorders>
              <w:bottom w:val="single" w:sz="4" w:color="D8E1EC"/>
            </w:tcBorders>
          </w:tcPr>
          <w:p>
            <w:pPr>
              <w:spacing w:after="30" w:before="30"/>
            </w:pPr>
            <w:r>
              <w:rPr>
                <w:color w:val="182230"/>
                <w:sz w:val="14"/>
              </w:rPr>
              <w:t>0.03</w:t>
            </w:r>
          </w:p>
        </w:tc>
        <w:tc>
          <w:tcPr>
            <w:tcW w:type="dxa" w:w="2041"/>
            <w:vAlign w:val="center"/>
            <w:tcBorders>
              <w:bottom w:val="single" w:sz="4" w:color="D8E1EC"/>
            </w:tcBorders>
          </w:tcPr>
          <w:p>
            <w:pPr>
              <w:spacing w:after="30" w:before="30"/>
            </w:pPr>
            <w:r>
              <w:rPr>
                <w:color w:val="182230"/>
                <w:sz w:val="14"/>
              </w:rPr>
              <w:t>80.1</w:t>
            </w:r>
          </w:p>
        </w:tc>
      </w:tr>
      <w:tr>
        <w:trPr>
          <w:cantSplit/>
        </w:trPr>
        <w:tc>
          <w:tcPr>
            <w:tcW w:type="dxa" w:w="1304"/>
            <w:shd w:fill="F6F8FB"/>
            <w:vAlign w:val="center"/>
            <w:tcBorders>
              <w:bottom w:val="single" w:sz="4" w:color="D8E1EC"/>
            </w:tcBorders>
          </w:tcPr>
          <w:p>
            <w:pPr>
              <w:spacing w:after="30" w:before="30"/>
            </w:pPr>
            <w:r>
              <w:rPr>
                <w:color w:val="182230"/>
                <w:sz w:val="14"/>
              </w:rPr>
              <w:t>80</w:t>
            </w:r>
          </w:p>
        </w:tc>
        <w:tc>
          <w:tcPr>
            <w:tcW w:type="dxa" w:w="1361"/>
            <w:shd w:fill="F6F8FB"/>
            <w:vAlign w:val="center"/>
            <w:tcBorders>
              <w:bottom w:val="single" w:sz="4" w:color="D8E1EC"/>
            </w:tcBorders>
          </w:tcPr>
          <w:p>
            <w:pPr>
              <w:spacing w:after="30" w:before="30"/>
            </w:pPr>
            <w:r>
              <w:rPr>
                <w:color w:val="182230"/>
                <w:sz w:val="14"/>
              </w:rPr>
              <w:t>14</w:t>
            </w:r>
          </w:p>
        </w:tc>
        <w:tc>
          <w:tcPr>
            <w:tcW w:type="dxa" w:w="2154"/>
            <w:shd w:fill="F6F8FB"/>
            <w:vAlign w:val="center"/>
            <w:tcBorders>
              <w:bottom w:val="single" w:sz="4" w:color="D8E1EC"/>
            </w:tcBorders>
          </w:tcPr>
          <w:p>
            <w:pPr>
              <w:spacing w:after="30" w:before="30"/>
            </w:pPr>
            <w:r>
              <w:rPr>
                <w:color w:val="182230"/>
                <w:sz w:val="14"/>
              </w:rPr>
              <w:t>2.31</w:t>
            </w:r>
          </w:p>
        </w:tc>
        <w:tc>
          <w:tcPr>
            <w:tcW w:type="dxa" w:w="2268"/>
            <w:shd w:fill="F6F8FB"/>
            <w:vAlign w:val="center"/>
            <w:tcBorders>
              <w:bottom w:val="single" w:sz="4" w:color="D8E1EC"/>
            </w:tcBorders>
          </w:tcPr>
          <w:p>
            <w:pPr>
              <w:spacing w:after="30" w:before="30"/>
            </w:pPr>
            <w:r>
              <w:rPr>
                <w:color w:val="182230"/>
                <w:sz w:val="14"/>
              </w:rPr>
              <w:t>0.05</w:t>
            </w:r>
          </w:p>
        </w:tc>
        <w:tc>
          <w:tcPr>
            <w:tcW w:type="dxa" w:w="2041"/>
            <w:shd w:fill="F6F8FB"/>
            <w:vAlign w:val="center"/>
            <w:tcBorders>
              <w:bottom w:val="single" w:sz="4" w:color="D8E1EC"/>
            </w:tcBorders>
          </w:tcPr>
          <w:p>
            <w:pPr>
              <w:spacing w:after="30" w:before="30"/>
            </w:pPr>
            <w:r>
              <w:rPr>
                <w:color w:val="182230"/>
                <w:sz w:val="14"/>
              </w:rPr>
              <w:t>80.5</w:t>
            </w:r>
          </w:p>
        </w:tc>
      </w:tr>
      <w:tr>
        <w:trPr>
          <w:cantSplit/>
        </w:trPr>
        <w:tc>
          <w:tcPr>
            <w:tcW w:type="dxa" w:w="1304"/>
            <w:vAlign w:val="center"/>
            <w:tcBorders>
              <w:bottom w:val="single" w:sz="4" w:color="D8E1EC"/>
            </w:tcBorders>
          </w:tcPr>
          <w:p>
            <w:pPr>
              <w:spacing w:after="30" w:before="30"/>
            </w:pPr>
            <w:r>
              <w:rPr>
                <w:color w:val="182230"/>
                <w:sz w:val="14"/>
              </w:rPr>
              <w:t>80</w:t>
            </w:r>
          </w:p>
        </w:tc>
        <w:tc>
          <w:tcPr>
            <w:tcW w:type="dxa" w:w="1361"/>
            <w:vAlign w:val="center"/>
            <w:tcBorders>
              <w:bottom w:val="single" w:sz="4" w:color="D8E1EC"/>
            </w:tcBorders>
          </w:tcPr>
          <w:p>
            <w:pPr>
              <w:spacing w:after="30" w:before="30"/>
            </w:pPr>
            <w:r>
              <w:rPr>
                <w:color w:val="182230"/>
                <w:sz w:val="14"/>
              </w:rPr>
              <w:t>24</w:t>
            </w:r>
          </w:p>
        </w:tc>
        <w:tc>
          <w:tcPr>
            <w:tcW w:type="dxa" w:w="2154"/>
            <w:vAlign w:val="center"/>
            <w:tcBorders>
              <w:bottom w:val="single" w:sz="4" w:color="D8E1EC"/>
            </w:tcBorders>
          </w:tcPr>
          <w:p>
            <w:pPr>
              <w:spacing w:after="30" w:before="30"/>
            </w:pPr>
            <w:r>
              <w:rPr>
                <w:color w:val="182230"/>
                <w:sz w:val="14"/>
              </w:rPr>
              <w:t>1.98</w:t>
            </w:r>
          </w:p>
        </w:tc>
        <w:tc>
          <w:tcPr>
            <w:tcW w:type="dxa" w:w="2268"/>
            <w:vAlign w:val="center"/>
            <w:tcBorders>
              <w:bottom w:val="single" w:sz="4" w:color="D8E1EC"/>
            </w:tcBorders>
          </w:tcPr>
          <w:p>
            <w:pPr>
              <w:spacing w:after="30" w:before="30"/>
            </w:pPr>
            <w:r>
              <w:rPr>
                <w:color w:val="182230"/>
                <w:sz w:val="14"/>
              </w:rPr>
              <w:t>0.02</w:t>
            </w:r>
          </w:p>
        </w:tc>
        <w:tc>
          <w:tcPr>
            <w:tcW w:type="dxa" w:w="2041"/>
            <w:vAlign w:val="center"/>
            <w:tcBorders>
              <w:bottom w:val="single" w:sz="4" w:color="D8E1EC"/>
            </w:tcBorders>
          </w:tcPr>
          <w:p>
            <w:pPr>
              <w:spacing w:after="30" w:before="30"/>
            </w:pPr>
            <w:r>
              <w:rPr>
                <w:color w:val="182230"/>
                <w:sz w:val="14"/>
              </w:rPr>
              <w:t>69.0</w:t>
            </w:r>
          </w:p>
        </w:tc>
      </w:tr>
      <w:tr>
        <w:trPr>
          <w:cantSplit/>
        </w:trPr>
        <w:tc>
          <w:tcPr>
            <w:tcW w:type="dxa" w:w="1304"/>
            <w:shd w:fill="F6F8FB"/>
            <w:vAlign w:val="center"/>
            <w:tcBorders>
              <w:bottom w:val="single" w:sz="4" w:color="D8E1EC"/>
            </w:tcBorders>
          </w:tcPr>
          <w:p>
            <w:pPr>
              <w:spacing w:after="30" w:before="30"/>
            </w:pPr>
            <w:r>
              <w:rPr>
                <w:color w:val="182230"/>
                <w:sz w:val="14"/>
              </w:rPr>
              <w:t>100</w:t>
            </w:r>
          </w:p>
        </w:tc>
        <w:tc>
          <w:tcPr>
            <w:tcW w:type="dxa" w:w="1361"/>
            <w:shd w:fill="F6F8FB"/>
            <w:vAlign w:val="center"/>
            <w:tcBorders>
              <w:bottom w:val="single" w:sz="4" w:color="D8E1EC"/>
            </w:tcBorders>
          </w:tcPr>
          <w:p>
            <w:pPr>
              <w:spacing w:after="30" w:before="30"/>
            </w:pPr>
            <w:r>
              <w:rPr>
                <w:color w:val="182230"/>
                <w:sz w:val="14"/>
              </w:rPr>
              <w:t>0</w:t>
            </w:r>
          </w:p>
        </w:tc>
        <w:tc>
          <w:tcPr>
            <w:tcW w:type="dxa" w:w="2154"/>
            <w:shd w:fill="F6F8FB"/>
            <w:vAlign w:val="center"/>
            <w:tcBorders>
              <w:bottom w:val="single" w:sz="4" w:color="D8E1EC"/>
            </w:tcBorders>
          </w:tcPr>
          <w:p>
            <w:pPr>
              <w:spacing w:after="30" w:before="30"/>
            </w:pPr>
            <w:r>
              <w:rPr>
                <w:color w:val="182230"/>
                <w:sz w:val="14"/>
              </w:rPr>
              <w:t>2.70</w:t>
            </w:r>
          </w:p>
        </w:tc>
        <w:tc>
          <w:tcPr>
            <w:tcW w:type="dxa" w:w="2268"/>
            <w:shd w:fill="F6F8FB"/>
            <w:vAlign w:val="center"/>
            <w:tcBorders>
              <w:bottom w:val="single" w:sz="4" w:color="D8E1EC"/>
            </w:tcBorders>
          </w:tcPr>
          <w:p>
            <w:pPr>
              <w:spacing w:after="30" w:before="30"/>
            </w:pPr>
            <w:r>
              <w:rPr>
                <w:color w:val="182230"/>
                <w:sz w:val="14"/>
              </w:rPr>
              <w:t>0.22</w:t>
            </w:r>
          </w:p>
        </w:tc>
        <w:tc>
          <w:tcPr>
            <w:tcW w:type="dxa" w:w="2041"/>
            <w:shd w:fill="F6F8FB"/>
            <w:vAlign w:val="center"/>
            <w:tcBorders>
              <w:bottom w:val="single" w:sz="4" w:color="D8E1EC"/>
            </w:tcBorders>
          </w:tcPr>
          <w:p>
            <w:pPr>
              <w:spacing w:after="30" w:before="30"/>
            </w:pPr>
            <w:r>
              <w:rPr>
                <w:color w:val="182230"/>
                <w:sz w:val="14"/>
              </w:rPr>
              <w:t>100.0</w:t>
            </w:r>
          </w:p>
        </w:tc>
      </w:tr>
      <w:tr>
        <w:trPr>
          <w:cantSplit/>
        </w:trPr>
        <w:tc>
          <w:tcPr>
            <w:tcW w:type="dxa" w:w="1304"/>
            <w:vAlign w:val="center"/>
            <w:tcBorders>
              <w:bottom w:val="single" w:sz="4" w:color="D8E1EC"/>
            </w:tcBorders>
          </w:tcPr>
          <w:p>
            <w:pPr>
              <w:spacing w:after="30" w:before="30"/>
            </w:pPr>
            <w:r>
              <w:rPr>
                <w:color w:val="182230"/>
                <w:sz w:val="14"/>
              </w:rPr>
              <w:t>100</w:t>
            </w:r>
          </w:p>
        </w:tc>
        <w:tc>
          <w:tcPr>
            <w:tcW w:type="dxa" w:w="1361"/>
            <w:vAlign w:val="center"/>
            <w:tcBorders>
              <w:bottom w:val="single" w:sz="4" w:color="D8E1EC"/>
            </w:tcBorders>
          </w:tcPr>
          <w:p>
            <w:pPr>
              <w:spacing w:after="30" w:before="30"/>
            </w:pPr>
            <w:r>
              <w:rPr>
                <w:color w:val="182230"/>
                <w:sz w:val="14"/>
              </w:rPr>
              <w:t>1</w:t>
            </w:r>
          </w:p>
        </w:tc>
        <w:tc>
          <w:tcPr>
            <w:tcW w:type="dxa" w:w="2154"/>
            <w:vAlign w:val="center"/>
            <w:tcBorders>
              <w:bottom w:val="single" w:sz="4" w:color="D8E1EC"/>
            </w:tcBorders>
          </w:tcPr>
          <w:p>
            <w:pPr>
              <w:spacing w:after="30" w:before="30"/>
            </w:pPr>
            <w:r>
              <w:rPr>
                <w:color w:val="182230"/>
                <w:sz w:val="14"/>
              </w:rPr>
              <w:t>2.51</w:t>
            </w:r>
          </w:p>
        </w:tc>
        <w:tc>
          <w:tcPr>
            <w:tcW w:type="dxa" w:w="2268"/>
            <w:vAlign w:val="center"/>
            <w:tcBorders>
              <w:bottom w:val="single" w:sz="4" w:color="D8E1EC"/>
            </w:tcBorders>
          </w:tcPr>
          <w:p>
            <w:pPr>
              <w:spacing w:after="30" w:before="30"/>
            </w:pPr>
            <w:r>
              <w:rPr>
                <w:color w:val="182230"/>
                <w:sz w:val="14"/>
              </w:rPr>
              <w:t>0.09</w:t>
            </w:r>
          </w:p>
        </w:tc>
        <w:tc>
          <w:tcPr>
            <w:tcW w:type="dxa" w:w="2041"/>
            <w:vAlign w:val="center"/>
            <w:tcBorders>
              <w:bottom w:val="single" w:sz="4" w:color="D8E1EC"/>
            </w:tcBorders>
          </w:tcPr>
          <w:p>
            <w:pPr>
              <w:spacing w:after="30" w:before="30"/>
            </w:pPr>
            <w:r>
              <w:rPr>
                <w:color w:val="182230"/>
                <w:sz w:val="14"/>
              </w:rPr>
              <w:t>93.0</w:t>
            </w:r>
          </w:p>
        </w:tc>
      </w:tr>
      <w:tr>
        <w:trPr>
          <w:cantSplit/>
        </w:trPr>
        <w:tc>
          <w:tcPr>
            <w:tcW w:type="dxa" w:w="1304"/>
            <w:shd w:fill="F6F8FB"/>
            <w:vAlign w:val="center"/>
            <w:tcBorders>
              <w:bottom w:val="single" w:sz="4" w:color="D8E1EC"/>
            </w:tcBorders>
          </w:tcPr>
          <w:p>
            <w:pPr>
              <w:spacing w:after="30" w:before="30"/>
            </w:pPr>
            <w:r>
              <w:rPr>
                <w:color w:val="182230"/>
                <w:sz w:val="14"/>
              </w:rPr>
              <w:t>100</w:t>
            </w:r>
          </w:p>
        </w:tc>
        <w:tc>
          <w:tcPr>
            <w:tcW w:type="dxa" w:w="1361"/>
            <w:shd w:fill="F6F8FB"/>
            <w:vAlign w:val="center"/>
            <w:tcBorders>
              <w:bottom w:val="single" w:sz="4" w:color="D8E1EC"/>
            </w:tcBorders>
          </w:tcPr>
          <w:p>
            <w:pPr>
              <w:spacing w:after="30" w:before="30"/>
            </w:pPr>
            <w:r>
              <w:rPr>
                <w:color w:val="182230"/>
                <w:sz w:val="14"/>
              </w:rPr>
              <w:t>2</w:t>
            </w:r>
          </w:p>
        </w:tc>
        <w:tc>
          <w:tcPr>
            <w:tcW w:type="dxa" w:w="2154"/>
            <w:shd w:fill="F6F8FB"/>
            <w:vAlign w:val="center"/>
            <w:tcBorders>
              <w:bottom w:val="single" w:sz="4" w:color="D8E1EC"/>
            </w:tcBorders>
          </w:tcPr>
          <w:p>
            <w:pPr>
              <w:spacing w:after="30" w:before="30"/>
            </w:pPr>
            <w:r>
              <w:rPr>
                <w:color w:val="182230"/>
                <w:sz w:val="14"/>
              </w:rPr>
              <w:t>2.52</w:t>
            </w:r>
          </w:p>
        </w:tc>
        <w:tc>
          <w:tcPr>
            <w:tcW w:type="dxa" w:w="2268"/>
            <w:shd w:fill="F6F8FB"/>
            <w:vAlign w:val="center"/>
            <w:tcBorders>
              <w:bottom w:val="single" w:sz="4" w:color="D8E1EC"/>
            </w:tcBorders>
          </w:tcPr>
          <w:p>
            <w:pPr>
              <w:spacing w:after="30" w:before="30"/>
            </w:pPr>
            <w:r>
              <w:rPr>
                <w:color w:val="182230"/>
                <w:sz w:val="14"/>
              </w:rPr>
              <w:t>0.01</w:t>
            </w:r>
          </w:p>
        </w:tc>
        <w:tc>
          <w:tcPr>
            <w:tcW w:type="dxa" w:w="2041"/>
            <w:shd w:fill="F6F8FB"/>
            <w:vAlign w:val="center"/>
            <w:tcBorders>
              <w:bottom w:val="single" w:sz="4" w:color="D8E1EC"/>
            </w:tcBorders>
          </w:tcPr>
          <w:p>
            <w:pPr>
              <w:spacing w:after="30" w:before="30"/>
            </w:pPr>
            <w:r>
              <w:rPr>
                <w:color w:val="182230"/>
                <w:sz w:val="14"/>
              </w:rPr>
              <w:t>93.3</w:t>
            </w:r>
          </w:p>
        </w:tc>
      </w:tr>
      <w:tr>
        <w:trPr>
          <w:cantSplit/>
        </w:trPr>
        <w:tc>
          <w:tcPr>
            <w:tcW w:type="dxa" w:w="1304"/>
            <w:vAlign w:val="center"/>
            <w:tcBorders>
              <w:bottom w:val="single" w:sz="4" w:color="D8E1EC"/>
            </w:tcBorders>
          </w:tcPr>
          <w:p>
            <w:pPr>
              <w:spacing w:after="30" w:before="30"/>
            </w:pPr>
            <w:r>
              <w:rPr>
                <w:color w:val="182230"/>
                <w:sz w:val="14"/>
              </w:rPr>
              <w:t>100</w:t>
            </w:r>
          </w:p>
        </w:tc>
        <w:tc>
          <w:tcPr>
            <w:tcW w:type="dxa" w:w="1361"/>
            <w:vAlign w:val="center"/>
            <w:tcBorders>
              <w:bottom w:val="single" w:sz="4" w:color="D8E1EC"/>
            </w:tcBorders>
          </w:tcPr>
          <w:p>
            <w:pPr>
              <w:spacing w:after="30" w:before="30"/>
            </w:pPr>
            <w:r>
              <w:rPr>
                <w:color w:val="182230"/>
                <w:sz w:val="14"/>
              </w:rPr>
              <w:t>4</w:t>
            </w:r>
          </w:p>
        </w:tc>
        <w:tc>
          <w:tcPr>
            <w:tcW w:type="dxa" w:w="2154"/>
            <w:vAlign w:val="center"/>
            <w:tcBorders>
              <w:bottom w:val="single" w:sz="4" w:color="D8E1EC"/>
            </w:tcBorders>
          </w:tcPr>
          <w:p>
            <w:pPr>
              <w:spacing w:after="30" w:before="30"/>
            </w:pPr>
            <w:r>
              <w:rPr>
                <w:color w:val="182230"/>
                <w:sz w:val="14"/>
              </w:rPr>
              <w:t>2.33</w:t>
            </w:r>
          </w:p>
        </w:tc>
        <w:tc>
          <w:tcPr>
            <w:tcW w:type="dxa" w:w="2268"/>
            <w:vAlign w:val="center"/>
            <w:tcBorders>
              <w:bottom w:val="single" w:sz="4" w:color="D8E1EC"/>
            </w:tcBorders>
          </w:tcPr>
          <w:p>
            <w:pPr>
              <w:spacing w:after="30" w:before="30"/>
            </w:pPr>
            <w:r>
              <w:rPr>
                <w:color w:val="182230"/>
                <w:sz w:val="14"/>
              </w:rPr>
              <w:t>0.11</w:t>
            </w:r>
          </w:p>
        </w:tc>
        <w:tc>
          <w:tcPr>
            <w:tcW w:type="dxa" w:w="2041"/>
            <w:vAlign w:val="center"/>
            <w:tcBorders>
              <w:bottom w:val="single" w:sz="4" w:color="D8E1EC"/>
            </w:tcBorders>
          </w:tcPr>
          <w:p>
            <w:pPr>
              <w:spacing w:after="30" w:before="30"/>
            </w:pPr>
            <w:r>
              <w:rPr>
                <w:color w:val="182230"/>
                <w:sz w:val="14"/>
              </w:rPr>
              <w:t>86.3</w:t>
            </w:r>
          </w:p>
        </w:tc>
      </w:tr>
      <w:tr>
        <w:trPr>
          <w:cantSplit/>
        </w:trPr>
        <w:tc>
          <w:tcPr>
            <w:tcW w:type="dxa" w:w="1304"/>
            <w:shd w:fill="F6F8FB"/>
            <w:vAlign w:val="center"/>
            <w:tcBorders>
              <w:bottom w:val="single" w:sz="4" w:color="D8E1EC"/>
            </w:tcBorders>
          </w:tcPr>
          <w:p>
            <w:pPr>
              <w:spacing w:after="30" w:before="30"/>
            </w:pPr>
            <w:r>
              <w:rPr>
                <w:color w:val="182230"/>
                <w:sz w:val="14"/>
              </w:rPr>
              <w:t>100</w:t>
            </w:r>
          </w:p>
        </w:tc>
        <w:tc>
          <w:tcPr>
            <w:tcW w:type="dxa" w:w="1361"/>
            <w:shd w:fill="F6F8FB"/>
            <w:vAlign w:val="center"/>
            <w:tcBorders>
              <w:bottom w:val="single" w:sz="4" w:color="D8E1EC"/>
            </w:tcBorders>
          </w:tcPr>
          <w:p>
            <w:pPr>
              <w:spacing w:after="30" w:before="30"/>
            </w:pPr>
            <w:r>
              <w:rPr>
                <w:color w:val="182230"/>
                <w:sz w:val="14"/>
              </w:rPr>
              <w:t>6</w:t>
            </w:r>
          </w:p>
        </w:tc>
        <w:tc>
          <w:tcPr>
            <w:tcW w:type="dxa" w:w="2154"/>
            <w:shd w:fill="F6F8FB"/>
            <w:vAlign w:val="center"/>
            <w:tcBorders>
              <w:bottom w:val="single" w:sz="4" w:color="D8E1EC"/>
            </w:tcBorders>
          </w:tcPr>
          <w:p>
            <w:pPr>
              <w:spacing w:after="30" w:before="30"/>
            </w:pPr>
            <w:r>
              <w:rPr>
                <w:color w:val="182230"/>
                <w:sz w:val="14"/>
              </w:rPr>
              <w:t>2.18</w:t>
            </w:r>
          </w:p>
        </w:tc>
        <w:tc>
          <w:tcPr>
            <w:tcW w:type="dxa" w:w="2268"/>
            <w:shd w:fill="F6F8FB"/>
            <w:vAlign w:val="center"/>
            <w:tcBorders>
              <w:bottom w:val="single" w:sz="4" w:color="D8E1EC"/>
            </w:tcBorders>
          </w:tcPr>
          <w:p>
            <w:pPr>
              <w:spacing w:after="30" w:before="30"/>
            </w:pPr>
            <w:r>
              <w:rPr>
                <w:color w:val="182230"/>
                <w:sz w:val="14"/>
              </w:rPr>
              <w:t>0.03</w:t>
            </w:r>
          </w:p>
        </w:tc>
        <w:tc>
          <w:tcPr>
            <w:tcW w:type="dxa" w:w="2041"/>
            <w:shd w:fill="F6F8FB"/>
            <w:vAlign w:val="center"/>
            <w:tcBorders>
              <w:bottom w:val="single" w:sz="4" w:color="D8E1EC"/>
            </w:tcBorders>
          </w:tcPr>
          <w:p>
            <w:pPr>
              <w:spacing w:after="30" w:before="30"/>
            </w:pPr>
            <w:r>
              <w:rPr>
                <w:color w:val="182230"/>
                <w:sz w:val="14"/>
              </w:rPr>
              <w:t>80.7</w:t>
            </w:r>
          </w:p>
        </w:tc>
      </w:tr>
      <w:tr>
        <w:trPr>
          <w:cantSplit/>
        </w:trPr>
        <w:tc>
          <w:tcPr>
            <w:tcW w:type="dxa" w:w="1304"/>
            <w:vAlign w:val="center"/>
            <w:tcBorders>
              <w:bottom w:val="single" w:sz="4" w:color="D8E1EC"/>
            </w:tcBorders>
          </w:tcPr>
          <w:p>
            <w:pPr>
              <w:spacing w:after="30" w:before="30"/>
            </w:pPr>
            <w:r>
              <w:rPr>
                <w:color w:val="182230"/>
                <w:sz w:val="14"/>
              </w:rPr>
              <w:t>100</w:t>
            </w:r>
          </w:p>
        </w:tc>
        <w:tc>
          <w:tcPr>
            <w:tcW w:type="dxa" w:w="1361"/>
            <w:vAlign w:val="center"/>
            <w:tcBorders>
              <w:bottom w:val="single" w:sz="4" w:color="D8E1EC"/>
            </w:tcBorders>
          </w:tcPr>
          <w:p>
            <w:pPr>
              <w:spacing w:after="30" w:before="30"/>
            </w:pPr>
            <w:r>
              <w:rPr>
                <w:color w:val="182230"/>
                <w:sz w:val="14"/>
              </w:rPr>
              <w:t>14</w:t>
            </w:r>
          </w:p>
        </w:tc>
        <w:tc>
          <w:tcPr>
            <w:tcW w:type="dxa" w:w="2154"/>
            <w:vAlign w:val="center"/>
            <w:tcBorders>
              <w:bottom w:val="single" w:sz="4" w:color="D8E1EC"/>
            </w:tcBorders>
          </w:tcPr>
          <w:p>
            <w:pPr>
              <w:spacing w:after="30" w:before="30"/>
            </w:pPr>
            <w:r>
              <w:rPr>
                <w:color w:val="182230"/>
                <w:sz w:val="14"/>
              </w:rPr>
              <w:t>2.01</w:t>
            </w:r>
          </w:p>
        </w:tc>
        <w:tc>
          <w:tcPr>
            <w:tcW w:type="dxa" w:w="2268"/>
            <w:vAlign w:val="center"/>
            <w:tcBorders>
              <w:bottom w:val="single" w:sz="4" w:color="D8E1EC"/>
            </w:tcBorders>
          </w:tcPr>
          <w:p>
            <w:pPr>
              <w:spacing w:after="30" w:before="30"/>
            </w:pPr>
            <w:r>
              <w:rPr>
                <w:color w:val="182230"/>
                <w:sz w:val="14"/>
              </w:rPr>
              <w:t>0.05</w:t>
            </w:r>
          </w:p>
        </w:tc>
        <w:tc>
          <w:tcPr>
            <w:tcW w:type="dxa" w:w="2041"/>
            <w:vAlign w:val="center"/>
            <w:tcBorders>
              <w:bottom w:val="single" w:sz="4" w:color="D8E1EC"/>
            </w:tcBorders>
          </w:tcPr>
          <w:p>
            <w:pPr>
              <w:spacing w:after="30" w:before="30"/>
            </w:pPr>
            <w:r>
              <w:rPr>
                <w:color w:val="182230"/>
                <w:sz w:val="14"/>
              </w:rPr>
              <w:t>74.4</w:t>
            </w:r>
          </w:p>
        </w:tc>
      </w:tr>
      <w:tr>
        <w:trPr>
          <w:cantSplit/>
        </w:trPr>
        <w:tc>
          <w:tcPr>
            <w:tcW w:type="dxa" w:w="1304"/>
            <w:shd w:fill="F6F8FB"/>
            <w:vAlign w:val="center"/>
            <w:tcBorders>
              <w:bottom w:val="single" w:sz="4" w:color="D8E1EC"/>
            </w:tcBorders>
          </w:tcPr>
          <w:p>
            <w:pPr>
              <w:spacing w:after="30" w:before="30"/>
            </w:pPr>
            <w:r>
              <w:rPr>
                <w:color w:val="182230"/>
                <w:sz w:val="14"/>
              </w:rPr>
              <w:t>100</w:t>
            </w:r>
          </w:p>
        </w:tc>
        <w:tc>
          <w:tcPr>
            <w:tcW w:type="dxa" w:w="1361"/>
            <w:shd w:fill="F6F8FB"/>
            <w:vAlign w:val="center"/>
            <w:tcBorders>
              <w:bottom w:val="single" w:sz="4" w:color="D8E1EC"/>
            </w:tcBorders>
          </w:tcPr>
          <w:p>
            <w:pPr>
              <w:spacing w:after="30" w:before="30"/>
            </w:pPr>
            <w:r>
              <w:rPr>
                <w:color w:val="182230"/>
                <w:sz w:val="14"/>
              </w:rPr>
              <w:t>24</w:t>
            </w:r>
          </w:p>
        </w:tc>
        <w:tc>
          <w:tcPr>
            <w:tcW w:type="dxa" w:w="2154"/>
            <w:shd w:fill="F6F8FB"/>
            <w:vAlign w:val="center"/>
            <w:tcBorders>
              <w:bottom w:val="single" w:sz="4" w:color="D8E1EC"/>
            </w:tcBorders>
          </w:tcPr>
          <w:p>
            <w:pPr>
              <w:spacing w:after="30" w:before="30"/>
            </w:pPr>
            <w:r>
              <w:rPr>
                <w:color w:val="182230"/>
                <w:sz w:val="14"/>
              </w:rPr>
              <w:t>1.92</w:t>
            </w:r>
          </w:p>
        </w:tc>
        <w:tc>
          <w:tcPr>
            <w:tcW w:type="dxa" w:w="2268"/>
            <w:shd w:fill="F6F8FB"/>
            <w:vAlign w:val="center"/>
            <w:tcBorders>
              <w:bottom w:val="single" w:sz="4" w:color="D8E1EC"/>
            </w:tcBorders>
          </w:tcPr>
          <w:p>
            <w:pPr>
              <w:spacing w:after="30" w:before="30"/>
            </w:pPr>
            <w:r>
              <w:rPr>
                <w:color w:val="182230"/>
                <w:sz w:val="14"/>
              </w:rPr>
              <w:t>0.06</w:t>
            </w:r>
          </w:p>
        </w:tc>
        <w:tc>
          <w:tcPr>
            <w:tcW w:type="dxa" w:w="2041"/>
            <w:shd w:fill="F6F8FB"/>
            <w:vAlign w:val="center"/>
            <w:tcBorders>
              <w:bottom w:val="single" w:sz="4" w:color="D8E1EC"/>
            </w:tcBorders>
          </w:tcPr>
          <w:p>
            <w:pPr>
              <w:spacing w:after="30" w:before="30"/>
            </w:pPr>
            <w:r>
              <w:rPr>
                <w:color w:val="182230"/>
                <w:sz w:val="14"/>
              </w:rPr>
              <w:t>71.1</w:t>
            </w:r>
          </w:p>
        </w:tc>
      </w:tr>
      <w:tr>
        <w:trPr>
          <w:cantSplit/>
        </w:trPr>
        <w:tc>
          <w:tcPr>
            <w:tcW w:type="dxa" w:w="1304"/>
            <w:vAlign w:val="center"/>
            <w:tcBorders>
              <w:bottom w:val="single" w:sz="4" w:color="D8E1EC"/>
            </w:tcBorders>
          </w:tcPr>
          <w:p>
            <w:pPr>
              <w:spacing w:after="30" w:before="30"/>
            </w:pPr>
            <w:r>
              <w:rPr>
                <w:color w:val="182230"/>
                <w:sz w:val="14"/>
              </w:rPr>
              <w:t>120</w:t>
            </w:r>
          </w:p>
        </w:tc>
        <w:tc>
          <w:tcPr>
            <w:tcW w:type="dxa" w:w="1361"/>
            <w:vAlign w:val="center"/>
            <w:tcBorders>
              <w:bottom w:val="single" w:sz="4" w:color="D8E1EC"/>
            </w:tcBorders>
          </w:tcPr>
          <w:p>
            <w:pPr>
              <w:spacing w:after="30" w:before="30"/>
            </w:pPr>
            <w:r>
              <w:rPr>
                <w:color w:val="182230"/>
                <w:sz w:val="14"/>
              </w:rPr>
              <w:t>0</w:t>
            </w:r>
          </w:p>
        </w:tc>
        <w:tc>
          <w:tcPr>
            <w:tcW w:type="dxa" w:w="2154"/>
            <w:vAlign w:val="center"/>
            <w:tcBorders>
              <w:bottom w:val="single" w:sz="4" w:color="D8E1EC"/>
            </w:tcBorders>
          </w:tcPr>
          <w:p>
            <w:pPr>
              <w:spacing w:after="30" w:before="30"/>
            </w:pPr>
            <w:r>
              <w:rPr>
                <w:color w:val="182230"/>
                <w:sz w:val="14"/>
              </w:rPr>
              <w:t>4.26</w:t>
            </w:r>
          </w:p>
        </w:tc>
        <w:tc>
          <w:tcPr>
            <w:tcW w:type="dxa" w:w="2268"/>
            <w:vAlign w:val="center"/>
            <w:tcBorders>
              <w:bottom w:val="single" w:sz="4" w:color="D8E1EC"/>
            </w:tcBorders>
          </w:tcPr>
          <w:p>
            <w:pPr>
              <w:spacing w:after="30" w:before="30"/>
            </w:pPr>
            <w:r>
              <w:rPr>
                <w:color w:val="182230"/>
                <w:sz w:val="14"/>
              </w:rPr>
              <w:t>0.28</w:t>
            </w:r>
          </w:p>
        </w:tc>
        <w:tc>
          <w:tcPr>
            <w:tcW w:type="dxa" w:w="2041"/>
            <w:vAlign w:val="center"/>
            <w:tcBorders>
              <w:bottom w:val="single" w:sz="4" w:color="D8E1EC"/>
            </w:tcBorders>
          </w:tcPr>
          <w:p>
            <w:pPr>
              <w:spacing w:after="30" w:before="30"/>
            </w:pPr>
            <w:r>
              <w:rPr>
                <w:color w:val="182230"/>
                <w:sz w:val="14"/>
              </w:rPr>
              <w:t>100.0</w:t>
            </w:r>
          </w:p>
        </w:tc>
      </w:tr>
      <w:tr>
        <w:trPr>
          <w:cantSplit/>
        </w:trPr>
        <w:tc>
          <w:tcPr>
            <w:tcW w:type="dxa" w:w="1304"/>
            <w:shd w:fill="F6F8FB"/>
            <w:vAlign w:val="center"/>
            <w:tcBorders>
              <w:bottom w:val="single" w:sz="4" w:color="D8E1EC"/>
            </w:tcBorders>
          </w:tcPr>
          <w:p>
            <w:pPr>
              <w:spacing w:after="30" w:before="30"/>
            </w:pPr>
            <w:r>
              <w:rPr>
                <w:color w:val="182230"/>
                <w:sz w:val="14"/>
              </w:rPr>
              <w:t>120</w:t>
            </w:r>
          </w:p>
        </w:tc>
        <w:tc>
          <w:tcPr>
            <w:tcW w:type="dxa" w:w="1361"/>
            <w:shd w:fill="F6F8FB"/>
            <w:vAlign w:val="center"/>
            <w:tcBorders>
              <w:bottom w:val="single" w:sz="4" w:color="D8E1EC"/>
            </w:tcBorders>
          </w:tcPr>
          <w:p>
            <w:pPr>
              <w:spacing w:after="30" w:before="30"/>
            </w:pPr>
            <w:r>
              <w:rPr>
                <w:color w:val="182230"/>
                <w:sz w:val="14"/>
              </w:rPr>
              <w:t>1</w:t>
            </w:r>
          </w:p>
        </w:tc>
        <w:tc>
          <w:tcPr>
            <w:tcW w:type="dxa" w:w="2154"/>
            <w:shd w:fill="F6F8FB"/>
            <w:vAlign w:val="center"/>
            <w:tcBorders>
              <w:bottom w:val="single" w:sz="4" w:color="D8E1EC"/>
            </w:tcBorders>
          </w:tcPr>
          <w:p>
            <w:pPr>
              <w:spacing w:after="30" w:before="30"/>
            </w:pPr>
            <w:r>
              <w:rPr>
                <w:color w:val="182230"/>
                <w:sz w:val="14"/>
              </w:rPr>
              <w:t>6.28</w:t>
            </w:r>
          </w:p>
        </w:tc>
        <w:tc>
          <w:tcPr>
            <w:tcW w:type="dxa" w:w="2268"/>
            <w:shd w:fill="F6F8FB"/>
            <w:vAlign w:val="center"/>
            <w:tcBorders>
              <w:bottom w:val="single" w:sz="4" w:color="D8E1EC"/>
            </w:tcBorders>
          </w:tcPr>
          <w:p>
            <w:pPr>
              <w:spacing w:after="30" w:before="30"/>
            </w:pPr>
            <w:r>
              <w:rPr>
                <w:color w:val="182230"/>
                <w:sz w:val="14"/>
              </w:rPr>
              <w:t>0.17</w:t>
            </w:r>
          </w:p>
        </w:tc>
        <w:tc>
          <w:tcPr>
            <w:tcW w:type="dxa" w:w="2041"/>
            <w:shd w:fill="F6F8FB"/>
            <w:vAlign w:val="center"/>
            <w:tcBorders>
              <w:bottom w:val="single" w:sz="4" w:color="D8E1EC"/>
            </w:tcBorders>
          </w:tcPr>
          <w:p>
            <w:pPr>
              <w:spacing w:after="30" w:before="30"/>
            </w:pPr>
            <w:r>
              <w:rPr>
                <w:color w:val="182230"/>
                <w:sz w:val="14"/>
              </w:rPr>
              <w:t>147.4</w:t>
            </w:r>
          </w:p>
        </w:tc>
      </w:tr>
      <w:tr>
        <w:trPr>
          <w:cantSplit/>
        </w:trPr>
        <w:tc>
          <w:tcPr>
            <w:tcW w:type="dxa" w:w="1304"/>
            <w:vAlign w:val="center"/>
            <w:tcBorders>
              <w:bottom w:val="single" w:sz="4" w:color="D8E1EC"/>
            </w:tcBorders>
          </w:tcPr>
          <w:p>
            <w:pPr>
              <w:spacing w:after="30" w:before="30"/>
            </w:pPr>
            <w:r>
              <w:rPr>
                <w:color w:val="182230"/>
                <w:sz w:val="14"/>
              </w:rPr>
              <w:t>120</w:t>
            </w:r>
          </w:p>
        </w:tc>
        <w:tc>
          <w:tcPr>
            <w:tcW w:type="dxa" w:w="1361"/>
            <w:vAlign w:val="center"/>
            <w:tcBorders>
              <w:bottom w:val="single" w:sz="4" w:color="D8E1EC"/>
            </w:tcBorders>
          </w:tcPr>
          <w:p>
            <w:pPr>
              <w:spacing w:after="30" w:before="30"/>
            </w:pPr>
            <w:r>
              <w:rPr>
                <w:color w:val="182230"/>
                <w:sz w:val="14"/>
              </w:rPr>
              <w:t>2</w:t>
            </w:r>
          </w:p>
        </w:tc>
        <w:tc>
          <w:tcPr>
            <w:tcW w:type="dxa" w:w="2154"/>
            <w:vAlign w:val="center"/>
            <w:tcBorders>
              <w:bottom w:val="single" w:sz="4" w:color="D8E1EC"/>
            </w:tcBorders>
          </w:tcPr>
          <w:p>
            <w:pPr>
              <w:spacing w:after="30" w:before="30"/>
            </w:pPr>
            <w:r>
              <w:rPr>
                <w:color w:val="182230"/>
                <w:sz w:val="14"/>
              </w:rPr>
              <w:t>6.46</w:t>
            </w:r>
          </w:p>
        </w:tc>
        <w:tc>
          <w:tcPr>
            <w:tcW w:type="dxa" w:w="2268"/>
            <w:vAlign w:val="center"/>
            <w:tcBorders>
              <w:bottom w:val="single" w:sz="4" w:color="D8E1EC"/>
            </w:tcBorders>
          </w:tcPr>
          <w:p>
            <w:pPr>
              <w:spacing w:after="30" w:before="30"/>
            </w:pPr>
            <w:r>
              <w:rPr>
                <w:color w:val="182230"/>
                <w:sz w:val="14"/>
              </w:rPr>
              <w:t>0.01</w:t>
            </w:r>
          </w:p>
        </w:tc>
        <w:tc>
          <w:tcPr>
            <w:tcW w:type="dxa" w:w="2041"/>
            <w:vAlign w:val="center"/>
            <w:tcBorders>
              <w:bottom w:val="single" w:sz="4" w:color="D8E1EC"/>
            </w:tcBorders>
          </w:tcPr>
          <w:p>
            <w:pPr>
              <w:spacing w:after="30" w:before="30"/>
            </w:pPr>
            <w:r>
              <w:rPr>
                <w:color w:val="182230"/>
                <w:sz w:val="14"/>
              </w:rPr>
              <w:t>151.6</w:t>
            </w:r>
          </w:p>
        </w:tc>
      </w:tr>
      <w:tr>
        <w:trPr>
          <w:cantSplit/>
        </w:trPr>
        <w:tc>
          <w:tcPr>
            <w:tcW w:type="dxa" w:w="1304"/>
            <w:shd w:fill="F6F8FB"/>
            <w:vAlign w:val="center"/>
            <w:tcBorders>
              <w:bottom w:val="single" w:sz="4" w:color="D8E1EC"/>
            </w:tcBorders>
          </w:tcPr>
          <w:p>
            <w:pPr>
              <w:spacing w:after="30" w:before="30"/>
            </w:pPr>
            <w:r>
              <w:rPr>
                <w:color w:val="182230"/>
                <w:sz w:val="14"/>
              </w:rPr>
              <w:t>120</w:t>
            </w:r>
          </w:p>
        </w:tc>
        <w:tc>
          <w:tcPr>
            <w:tcW w:type="dxa" w:w="1361"/>
            <w:shd w:fill="F6F8FB"/>
            <w:vAlign w:val="center"/>
            <w:tcBorders>
              <w:bottom w:val="single" w:sz="4" w:color="D8E1EC"/>
            </w:tcBorders>
          </w:tcPr>
          <w:p>
            <w:pPr>
              <w:spacing w:after="30" w:before="30"/>
            </w:pPr>
            <w:r>
              <w:rPr>
                <w:color w:val="182230"/>
                <w:sz w:val="14"/>
              </w:rPr>
              <w:t>4</w:t>
            </w:r>
          </w:p>
        </w:tc>
        <w:tc>
          <w:tcPr>
            <w:tcW w:type="dxa" w:w="2154"/>
            <w:shd w:fill="F6F8FB"/>
            <w:vAlign w:val="center"/>
            <w:tcBorders>
              <w:bottom w:val="single" w:sz="4" w:color="D8E1EC"/>
            </w:tcBorders>
          </w:tcPr>
          <w:p>
            <w:pPr>
              <w:spacing w:after="30" w:before="30"/>
            </w:pPr>
            <w:r>
              <w:rPr>
                <w:color w:val="182230"/>
                <w:sz w:val="14"/>
              </w:rPr>
              <w:t>3.26</w:t>
            </w:r>
          </w:p>
        </w:tc>
        <w:tc>
          <w:tcPr>
            <w:tcW w:type="dxa" w:w="2268"/>
            <w:shd w:fill="F6F8FB"/>
            <w:vAlign w:val="center"/>
            <w:tcBorders>
              <w:bottom w:val="single" w:sz="4" w:color="D8E1EC"/>
            </w:tcBorders>
          </w:tcPr>
          <w:p>
            <w:pPr>
              <w:spacing w:after="30" w:before="30"/>
            </w:pPr>
            <w:r>
              <w:rPr>
                <w:color w:val="182230"/>
                <w:sz w:val="14"/>
              </w:rPr>
              <w:t>0.18</w:t>
            </w:r>
          </w:p>
        </w:tc>
        <w:tc>
          <w:tcPr>
            <w:tcW w:type="dxa" w:w="2041"/>
            <w:shd w:fill="F6F8FB"/>
            <w:vAlign w:val="center"/>
            <w:tcBorders>
              <w:bottom w:val="single" w:sz="4" w:color="D8E1EC"/>
            </w:tcBorders>
          </w:tcPr>
          <w:p>
            <w:pPr>
              <w:spacing w:after="30" w:before="30"/>
            </w:pPr>
            <w:r>
              <w:rPr>
                <w:color w:val="182230"/>
                <w:sz w:val="14"/>
              </w:rPr>
              <w:t>76.5</w:t>
            </w:r>
          </w:p>
        </w:tc>
      </w:tr>
      <w:tr>
        <w:trPr>
          <w:cantSplit/>
        </w:trPr>
        <w:tc>
          <w:tcPr>
            <w:tcW w:type="dxa" w:w="1304"/>
            <w:vAlign w:val="center"/>
            <w:tcBorders>
              <w:bottom w:val="single" w:sz="4" w:color="D8E1EC"/>
            </w:tcBorders>
          </w:tcPr>
          <w:p>
            <w:pPr>
              <w:spacing w:after="30" w:before="30"/>
            </w:pPr>
            <w:r>
              <w:rPr>
                <w:color w:val="182230"/>
                <w:sz w:val="14"/>
              </w:rPr>
              <w:t>120</w:t>
            </w:r>
          </w:p>
        </w:tc>
        <w:tc>
          <w:tcPr>
            <w:tcW w:type="dxa" w:w="1361"/>
            <w:vAlign w:val="center"/>
            <w:tcBorders>
              <w:bottom w:val="single" w:sz="4" w:color="D8E1EC"/>
            </w:tcBorders>
          </w:tcPr>
          <w:p>
            <w:pPr>
              <w:spacing w:after="30" w:before="30"/>
            </w:pPr>
            <w:r>
              <w:rPr>
                <w:color w:val="182230"/>
                <w:sz w:val="14"/>
              </w:rPr>
              <w:t>6</w:t>
            </w:r>
          </w:p>
        </w:tc>
        <w:tc>
          <w:tcPr>
            <w:tcW w:type="dxa" w:w="2154"/>
            <w:vAlign w:val="center"/>
            <w:tcBorders>
              <w:bottom w:val="single" w:sz="4" w:color="D8E1EC"/>
            </w:tcBorders>
          </w:tcPr>
          <w:p>
            <w:pPr>
              <w:spacing w:after="30" w:before="30"/>
            </w:pPr>
            <w:r>
              <w:rPr>
                <w:color w:val="182230"/>
                <w:sz w:val="14"/>
              </w:rPr>
              <w:t>3.41</w:t>
            </w:r>
          </w:p>
        </w:tc>
        <w:tc>
          <w:tcPr>
            <w:tcW w:type="dxa" w:w="2268"/>
            <w:vAlign w:val="center"/>
            <w:tcBorders>
              <w:bottom w:val="single" w:sz="4" w:color="D8E1EC"/>
            </w:tcBorders>
          </w:tcPr>
          <w:p>
            <w:pPr>
              <w:spacing w:after="30" w:before="30"/>
            </w:pPr>
            <w:r>
              <w:rPr>
                <w:color w:val="182230"/>
                <w:sz w:val="14"/>
              </w:rPr>
              <w:t>0.03</w:t>
            </w:r>
          </w:p>
        </w:tc>
        <w:tc>
          <w:tcPr>
            <w:tcW w:type="dxa" w:w="2041"/>
            <w:vAlign w:val="center"/>
            <w:tcBorders>
              <w:bottom w:val="single" w:sz="4" w:color="D8E1EC"/>
            </w:tcBorders>
          </w:tcPr>
          <w:p>
            <w:pPr>
              <w:spacing w:after="30" w:before="30"/>
            </w:pPr>
            <w:r>
              <w:rPr>
                <w:color w:val="182230"/>
                <w:sz w:val="14"/>
              </w:rPr>
              <w:t>80.0</w:t>
            </w:r>
          </w:p>
        </w:tc>
      </w:tr>
      <w:tr>
        <w:trPr>
          <w:cantSplit/>
        </w:trPr>
        <w:tc>
          <w:tcPr>
            <w:tcW w:type="dxa" w:w="1304"/>
            <w:shd w:fill="F6F8FB"/>
            <w:vAlign w:val="center"/>
            <w:tcBorders>
              <w:bottom w:val="single" w:sz="4" w:color="D8E1EC"/>
            </w:tcBorders>
          </w:tcPr>
          <w:p>
            <w:pPr>
              <w:spacing w:after="30" w:before="30"/>
            </w:pPr>
            <w:r>
              <w:rPr>
                <w:color w:val="182230"/>
                <w:sz w:val="14"/>
              </w:rPr>
              <w:t>120</w:t>
            </w:r>
          </w:p>
        </w:tc>
        <w:tc>
          <w:tcPr>
            <w:tcW w:type="dxa" w:w="1361"/>
            <w:shd w:fill="F6F8FB"/>
            <w:vAlign w:val="center"/>
            <w:tcBorders>
              <w:bottom w:val="single" w:sz="4" w:color="D8E1EC"/>
            </w:tcBorders>
          </w:tcPr>
          <w:p>
            <w:pPr>
              <w:spacing w:after="30" w:before="30"/>
            </w:pPr>
            <w:r>
              <w:rPr>
                <w:color w:val="182230"/>
                <w:sz w:val="14"/>
              </w:rPr>
              <w:t>14</w:t>
            </w:r>
          </w:p>
        </w:tc>
        <w:tc>
          <w:tcPr>
            <w:tcW w:type="dxa" w:w="2154"/>
            <w:shd w:fill="F6F8FB"/>
            <w:vAlign w:val="center"/>
            <w:tcBorders>
              <w:bottom w:val="single" w:sz="4" w:color="D8E1EC"/>
            </w:tcBorders>
          </w:tcPr>
          <w:p>
            <w:pPr>
              <w:spacing w:after="30" w:before="30"/>
            </w:pPr>
            <w:r>
              <w:rPr>
                <w:color w:val="182230"/>
                <w:sz w:val="14"/>
              </w:rPr>
              <w:t>3.15</w:t>
            </w:r>
          </w:p>
        </w:tc>
        <w:tc>
          <w:tcPr>
            <w:tcW w:type="dxa" w:w="2268"/>
            <w:shd w:fill="F6F8FB"/>
            <w:vAlign w:val="center"/>
            <w:tcBorders>
              <w:bottom w:val="single" w:sz="4" w:color="D8E1EC"/>
            </w:tcBorders>
          </w:tcPr>
          <w:p>
            <w:pPr>
              <w:spacing w:after="30" w:before="30"/>
            </w:pPr>
            <w:r>
              <w:rPr>
                <w:color w:val="182230"/>
                <w:sz w:val="14"/>
              </w:rPr>
              <w:t>0.04</w:t>
            </w:r>
          </w:p>
        </w:tc>
        <w:tc>
          <w:tcPr>
            <w:tcW w:type="dxa" w:w="2041"/>
            <w:shd w:fill="F6F8FB"/>
            <w:vAlign w:val="center"/>
            <w:tcBorders>
              <w:bottom w:val="single" w:sz="4" w:color="D8E1EC"/>
            </w:tcBorders>
          </w:tcPr>
          <w:p>
            <w:pPr>
              <w:spacing w:after="30" w:before="30"/>
            </w:pPr>
            <w:r>
              <w:rPr>
                <w:color w:val="182230"/>
                <w:sz w:val="14"/>
              </w:rPr>
              <w:t>73.9</w:t>
            </w:r>
          </w:p>
        </w:tc>
      </w:tr>
      <w:tr>
        <w:trPr>
          <w:cantSplit/>
        </w:trPr>
        <w:tc>
          <w:tcPr>
            <w:tcW w:type="dxa" w:w="1304"/>
            <w:vAlign w:val="center"/>
            <w:tcBorders>
              <w:bottom w:val="single" w:sz="4" w:color="D8E1EC"/>
            </w:tcBorders>
          </w:tcPr>
          <w:p>
            <w:pPr>
              <w:spacing w:after="30" w:before="30"/>
            </w:pPr>
            <w:r>
              <w:rPr>
                <w:color w:val="182230"/>
                <w:sz w:val="14"/>
              </w:rPr>
              <w:t>120</w:t>
            </w:r>
          </w:p>
        </w:tc>
        <w:tc>
          <w:tcPr>
            <w:tcW w:type="dxa" w:w="1361"/>
            <w:vAlign w:val="center"/>
            <w:tcBorders>
              <w:bottom w:val="single" w:sz="4" w:color="D8E1EC"/>
            </w:tcBorders>
          </w:tcPr>
          <w:p>
            <w:pPr>
              <w:spacing w:after="30" w:before="30"/>
            </w:pPr>
            <w:r>
              <w:rPr>
                <w:color w:val="182230"/>
                <w:sz w:val="14"/>
              </w:rPr>
              <w:t>24</w:t>
            </w:r>
          </w:p>
        </w:tc>
        <w:tc>
          <w:tcPr>
            <w:tcW w:type="dxa" w:w="2154"/>
            <w:vAlign w:val="center"/>
            <w:tcBorders>
              <w:bottom w:val="single" w:sz="4" w:color="D8E1EC"/>
            </w:tcBorders>
          </w:tcPr>
          <w:p>
            <w:pPr>
              <w:spacing w:after="30" w:before="30"/>
            </w:pPr>
            <w:r>
              <w:rPr>
                <w:color w:val="182230"/>
                <w:sz w:val="14"/>
              </w:rPr>
              <w:t>3.06</w:t>
            </w:r>
          </w:p>
        </w:tc>
        <w:tc>
          <w:tcPr>
            <w:tcW w:type="dxa" w:w="2268"/>
            <w:vAlign w:val="center"/>
            <w:tcBorders>
              <w:bottom w:val="single" w:sz="4" w:color="D8E1EC"/>
            </w:tcBorders>
          </w:tcPr>
          <w:p>
            <w:pPr>
              <w:spacing w:after="30" w:before="30"/>
            </w:pPr>
            <w:r>
              <w:rPr>
                <w:color w:val="182230"/>
                <w:sz w:val="14"/>
              </w:rPr>
              <w:t>0.05</w:t>
            </w:r>
          </w:p>
        </w:tc>
        <w:tc>
          <w:tcPr>
            <w:tcW w:type="dxa" w:w="2041"/>
            <w:vAlign w:val="center"/>
            <w:tcBorders>
              <w:bottom w:val="single" w:sz="4" w:color="D8E1EC"/>
            </w:tcBorders>
          </w:tcPr>
          <w:p>
            <w:pPr>
              <w:spacing w:after="30" w:before="30"/>
            </w:pPr>
            <w:r>
              <w:rPr>
                <w:color w:val="182230"/>
                <w:sz w:val="14"/>
              </w:rPr>
              <w:t>71.8</w:t>
            </w:r>
          </w:p>
        </w:tc>
      </w:tr>
    </w:tbl>
    <w:p>
      <w:pPr>
        <w:spacing w:after="0"/>
      </w:pPr>
    </w:p>
    <w:p>
      <w:pPr>
        <w:pStyle w:val="Heading1"/>
        <w:keepNext/>
        <w:pageBreakBefore/>
      </w:pPr>
      <w:r>
        <w:t>Annexe B - Matrice de conformité à la trame MTX3A</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3628"/>
            <w:shd w:fill="17365D"/>
            <w:vAlign w:val="center"/>
            <w:tcBorders>
              <w:bottom w:val="single" w:sz="5" w:color="FFFFFF"/>
            </w:tcBorders>
          </w:tcPr>
          <w:p>
            <w:pPr>
              <w:jc w:val="left"/>
            </w:pPr>
            <w:r>
              <w:rPr>
                <w:b/>
                <w:color w:val="FFFFFF"/>
                <w:sz w:val="15"/>
              </w:rPr>
              <w:t>Exigence de la trame</w:t>
            </w:r>
          </w:p>
        </w:tc>
        <w:tc>
          <w:tcPr>
            <w:tcW w:type="dxa" w:w="4195"/>
            <w:shd w:fill="17365D"/>
            <w:vAlign w:val="center"/>
            <w:tcBorders>
              <w:bottom w:val="single" w:sz="5" w:color="FFFFFF"/>
            </w:tcBorders>
          </w:tcPr>
          <w:p>
            <w:pPr>
              <w:jc w:val="left"/>
            </w:pPr>
            <w:r>
              <w:rPr>
                <w:b/>
                <w:color w:val="FFFFFF"/>
                <w:sz w:val="15"/>
              </w:rPr>
              <w:t>Réponse dans ce rapport</w:t>
            </w:r>
          </w:p>
        </w:tc>
        <w:tc>
          <w:tcPr>
            <w:tcW w:type="dxa" w:w="1474"/>
            <w:shd w:fill="17365D"/>
            <w:vAlign w:val="center"/>
            <w:tcBorders>
              <w:bottom w:val="single" w:sz="5" w:color="FFFFFF"/>
            </w:tcBorders>
          </w:tcPr>
          <w:p>
            <w:pPr>
              <w:jc w:val="left"/>
            </w:pPr>
            <w:r>
              <w:rPr>
                <w:b/>
                <w:color w:val="FFFFFF"/>
                <w:sz w:val="15"/>
              </w:rPr>
              <w:t>État</w:t>
            </w:r>
          </w:p>
        </w:tc>
      </w:tr>
      <w:tr>
        <w:trPr>
          <w:cantSplit/>
        </w:trPr>
        <w:tc>
          <w:tcPr>
            <w:tcW w:type="dxa" w:w="3628"/>
            <w:vAlign w:val="center"/>
            <w:tcBorders>
              <w:bottom w:val="single" w:sz="4" w:color="D8E1EC"/>
            </w:tcBorders>
          </w:tcPr>
          <w:p>
            <w:pPr>
              <w:spacing w:after="30" w:before="30"/>
            </w:pPr>
            <w:r>
              <w:rPr>
                <w:color w:val="182230"/>
                <w:sz w:val="15"/>
              </w:rPr>
              <w:t>Titre, auteurs et rôles</w:t>
            </w:r>
          </w:p>
        </w:tc>
        <w:tc>
          <w:tcPr>
            <w:tcW w:type="dxa" w:w="4195"/>
            <w:vAlign w:val="center"/>
            <w:tcBorders>
              <w:bottom w:val="single" w:sz="4" w:color="D8E1EC"/>
            </w:tcBorders>
          </w:tcPr>
          <w:p>
            <w:pPr>
              <w:spacing w:after="30" w:before="30"/>
            </w:pPr>
            <w:r>
              <w:rPr>
                <w:color w:val="182230"/>
                <w:sz w:val="15"/>
              </w:rPr>
              <w:t>Page de garde</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Résumé 200-250 mots et mots-clés</w:t>
            </w:r>
          </w:p>
        </w:tc>
        <w:tc>
          <w:tcPr>
            <w:tcW w:type="dxa" w:w="4195"/>
            <w:shd w:fill="F6F8FB"/>
            <w:vAlign w:val="center"/>
            <w:tcBorders>
              <w:bottom w:val="single" w:sz="4" w:color="D8E1EC"/>
            </w:tcBorders>
          </w:tcPr>
          <w:p>
            <w:pPr>
              <w:spacing w:after="30" w:before="30"/>
            </w:pPr>
            <w:r>
              <w:rPr>
                <w:color w:val="182230"/>
                <w:sz w:val="15"/>
              </w:rPr>
              <w:t>Résumé</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Contexte industriel et objectif E/E₀</w:t>
            </w:r>
          </w:p>
        </w:tc>
        <w:tc>
          <w:tcPr>
            <w:tcW w:type="dxa" w:w="4195"/>
            <w:vAlign w:val="center"/>
            <w:tcBorders>
              <w:bottom w:val="single" w:sz="4" w:color="D8E1EC"/>
            </w:tcBorders>
          </w:tcPr>
          <w:p>
            <w:pPr>
              <w:spacing w:after="30" w:before="30"/>
            </w:pPr>
            <w:r>
              <w:rPr>
                <w:color w:val="182230"/>
                <w:sz w:val="15"/>
              </w:rPr>
              <w:t>Section 1</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Sourcing, numérisation et nettoyage</w:t>
            </w:r>
          </w:p>
        </w:tc>
        <w:tc>
          <w:tcPr>
            <w:tcW w:type="dxa" w:w="4195"/>
            <w:shd w:fill="F6F8FB"/>
            <w:vAlign w:val="center"/>
            <w:tcBorders>
              <w:bottom w:val="single" w:sz="4" w:color="D8E1EC"/>
            </w:tcBorders>
          </w:tcPr>
          <w:p>
            <w:pPr>
              <w:spacing w:after="30" w:before="30"/>
            </w:pPr>
            <w:r>
              <w:rPr>
                <w:color w:val="182230"/>
                <w:sz w:val="15"/>
              </w:rPr>
              <w:t>Section 2</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Variables X : T, HR, temps, épaisseur ; cible E/E₀</w:t>
            </w:r>
          </w:p>
        </w:tc>
        <w:tc>
          <w:tcPr>
            <w:tcW w:type="dxa" w:w="4195"/>
            <w:vAlign w:val="center"/>
            <w:tcBorders>
              <w:bottom w:val="single" w:sz="4" w:color="D8E1EC"/>
            </w:tcBorders>
          </w:tcPr>
          <w:p>
            <w:pPr>
              <w:spacing w:after="30" w:before="30"/>
            </w:pPr>
            <w:r>
              <w:rPr>
                <w:color w:val="182230"/>
                <w:sz w:val="15"/>
              </w:rPr>
              <w:t>Sections 2.5 et 4.1 ; unités et exemple numérique</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Architecture et approches IA</w:t>
            </w:r>
          </w:p>
        </w:tc>
        <w:tc>
          <w:tcPr>
            <w:tcW w:type="dxa" w:w="4195"/>
            <w:shd w:fill="F6F8FB"/>
            <w:vAlign w:val="center"/>
            <w:tcBorders>
              <w:bottom w:val="single" w:sz="4" w:color="D8E1EC"/>
            </w:tcBorders>
          </w:tcPr>
          <w:p>
            <w:pPr>
              <w:spacing w:after="30" w:before="30"/>
            </w:pPr>
            <w:r>
              <w:rPr>
                <w:color w:val="182230"/>
                <w:sz w:val="15"/>
              </w:rPr>
              <w:t>Sections 3 et 4 ; six approches comparées</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Calculs physiques Fick et Arrhenius</w:t>
            </w:r>
          </w:p>
        </w:tc>
        <w:tc>
          <w:tcPr>
            <w:tcW w:type="dxa" w:w="4195"/>
            <w:vAlign w:val="center"/>
            <w:tcBorders>
              <w:bottom w:val="single" w:sz="4" w:color="D8E1EC"/>
            </w:tcBorders>
          </w:tcPr>
          <w:p>
            <w:pPr>
              <w:spacing w:after="30" w:before="30"/>
            </w:pPr>
            <w:r>
              <w:rPr>
                <w:color w:val="182230"/>
                <w:sz w:val="15"/>
              </w:rPr>
              <w:t>Sections 4.2 et 4.3 ; calculs détaillés et contrôles d'unités</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Courbes d'apprentissage</w:t>
            </w:r>
          </w:p>
        </w:tc>
        <w:tc>
          <w:tcPr>
            <w:tcW w:type="dxa" w:w="4195"/>
            <w:shd w:fill="F6F8FB"/>
            <w:vAlign w:val="center"/>
            <w:tcBorders>
              <w:bottom w:val="single" w:sz="4" w:color="D8E1EC"/>
            </w:tcBorders>
          </w:tcPr>
          <w:p>
            <w:pPr>
              <w:spacing w:after="30" w:before="30"/>
            </w:pPr>
            <w:r>
              <w:rPr>
                <w:color w:val="182230"/>
                <w:sz w:val="15"/>
              </w:rPr>
              <w:t>Section 5.11 ; limite petit échantillon explicitée</w:t>
            </w:r>
          </w:p>
        </w:tc>
        <w:tc>
          <w:tcPr>
            <w:tcW w:type="dxa" w:w="1474"/>
            <w:shd w:fill="F6F8FB"/>
            <w:vAlign w:val="center"/>
            <w:tcBorders>
              <w:bottom w:val="single" w:sz="4" w:color="D8E1EC"/>
            </w:tcBorders>
          </w:tcPr>
          <w:p>
            <w:pPr>
              <w:spacing w:after="30" w:before="30"/>
            </w:pPr>
            <w:r>
              <w:rPr>
                <w:color w:val="182230"/>
                <w:sz w:val="15"/>
              </w:rPr>
              <w:t>Complet avec limite</w:t>
            </w:r>
          </w:p>
        </w:tc>
      </w:tr>
      <w:tr>
        <w:trPr>
          <w:cantSplit/>
        </w:trPr>
        <w:tc>
          <w:tcPr>
            <w:tcW w:type="dxa" w:w="3628"/>
            <w:vAlign w:val="center"/>
            <w:tcBorders>
              <w:bottom w:val="single" w:sz="4" w:color="D8E1EC"/>
            </w:tcBorders>
          </w:tcPr>
          <w:p>
            <w:pPr>
              <w:spacing w:after="30" w:before="30"/>
            </w:pPr>
            <w:r>
              <w:rPr>
                <w:color w:val="182230"/>
                <w:sz w:val="15"/>
              </w:rPr>
              <w:t>R², RMSE et validation</w:t>
            </w:r>
          </w:p>
        </w:tc>
        <w:tc>
          <w:tcPr>
            <w:tcW w:type="dxa" w:w="4195"/>
            <w:vAlign w:val="center"/>
            <w:tcBorders>
              <w:bottom w:val="single" w:sz="4" w:color="D8E1EC"/>
            </w:tcBorders>
          </w:tcPr>
          <w:p>
            <w:pPr>
              <w:spacing w:after="30" w:before="30"/>
            </w:pPr>
            <w:r>
              <w:rPr>
                <w:color w:val="182230"/>
                <w:sz w:val="15"/>
              </w:rPr>
              <w:t>Sections 5 à 8 ; groupes entièrement masqués</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Définition de la précision et des intervalles</w:t>
            </w:r>
          </w:p>
        </w:tc>
        <w:tc>
          <w:tcPr>
            <w:tcW w:type="dxa" w:w="4195"/>
            <w:shd w:fill="F6F8FB"/>
            <w:vAlign w:val="center"/>
            <w:tcBorders>
              <w:bottom w:val="single" w:sz="4" w:color="D8E1EC"/>
            </w:tcBorders>
          </w:tcPr>
          <w:p>
            <w:pPr>
              <w:spacing w:after="30" w:before="30"/>
            </w:pPr>
            <w:r>
              <w:rPr>
                <w:color w:val="182230"/>
                <w:sz w:val="15"/>
              </w:rPr>
              <w:t>Sections 5.4 à 5.10 ; exemple chiffré, borne binomiale et 95/95</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Interprétabilité SHAP</w:t>
            </w:r>
          </w:p>
        </w:tc>
        <w:tc>
          <w:tcPr>
            <w:tcW w:type="dxa" w:w="4195"/>
            <w:vAlign w:val="center"/>
            <w:tcBorders>
              <w:bottom w:val="single" w:sz="4" w:color="D8E1EC"/>
            </w:tcBorders>
          </w:tcPr>
          <w:p>
            <w:pPr>
              <w:spacing w:after="30" w:before="30"/>
            </w:pPr>
            <w:r>
              <w:rPr>
                <w:color w:val="182230"/>
                <w:sz w:val="15"/>
              </w:rPr>
              <w:t>Section 9 ; usage conditionnel expliqué</w:t>
            </w:r>
          </w:p>
        </w:tc>
        <w:tc>
          <w:tcPr>
            <w:tcW w:type="dxa" w:w="1474"/>
            <w:vAlign w:val="center"/>
            <w:tcBorders>
              <w:bottom w:val="single" w:sz="4" w:color="D8E1EC"/>
            </w:tcBorders>
          </w:tcPr>
          <w:p>
            <w:pPr>
              <w:spacing w:after="30" w:before="30"/>
            </w:pPr>
            <w:r>
              <w:rPr>
                <w:color w:val="182230"/>
                <w:sz w:val="15"/>
              </w:rPr>
              <w:t>Complet avec limite</w:t>
            </w:r>
          </w:p>
        </w:tc>
      </w:tr>
      <w:tr>
        <w:trPr>
          <w:cantSplit/>
        </w:trPr>
        <w:tc>
          <w:tcPr>
            <w:tcW w:type="dxa" w:w="3628"/>
            <w:shd w:fill="F6F8FB"/>
            <w:vAlign w:val="center"/>
            <w:tcBorders>
              <w:bottom w:val="single" w:sz="4" w:color="D8E1EC"/>
            </w:tcBorders>
          </w:tcPr>
          <w:p>
            <w:pPr>
              <w:spacing w:after="30" w:before="30"/>
            </w:pPr>
            <w:r>
              <w:rPr>
                <w:color w:val="182230"/>
                <w:sz w:val="15"/>
              </w:rPr>
              <w:t>Physique attendue et sensibilités</w:t>
            </w:r>
          </w:p>
        </w:tc>
        <w:tc>
          <w:tcPr>
            <w:tcW w:type="dxa" w:w="4195"/>
            <w:shd w:fill="F6F8FB"/>
            <w:vAlign w:val="center"/>
            <w:tcBorders>
              <w:bottom w:val="single" w:sz="4" w:color="D8E1EC"/>
            </w:tcBorders>
          </w:tcPr>
          <w:p>
            <w:pPr>
              <w:spacing w:after="30" w:before="30"/>
            </w:pPr>
            <w:r>
              <w:rPr>
                <w:color w:val="182230"/>
                <w:sz w:val="15"/>
              </w:rPr>
              <w:t>Sections 4 et 9</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Domaine connu et extrapolation &gt; 2 500 h</w:t>
            </w:r>
          </w:p>
        </w:tc>
        <w:tc>
          <w:tcPr>
            <w:tcW w:type="dxa" w:w="4195"/>
            <w:vAlign w:val="center"/>
            <w:tcBorders>
              <w:bottom w:val="single" w:sz="4" w:color="D8E1EC"/>
            </w:tcBorders>
          </w:tcPr>
          <w:p>
            <w:pPr>
              <w:spacing w:after="30" w:before="30"/>
            </w:pPr>
            <w:r>
              <w:rPr>
                <w:color w:val="182230"/>
                <w:sz w:val="15"/>
              </w:rPr>
              <w:t>Section 10</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Surapprentissage et aberrations</w:t>
            </w:r>
          </w:p>
        </w:tc>
        <w:tc>
          <w:tcPr>
            <w:tcW w:type="dxa" w:w="4195"/>
            <w:shd w:fill="F6F8FB"/>
            <w:vAlign w:val="center"/>
            <w:tcBorders>
              <w:bottom w:val="single" w:sz="4" w:color="D8E1EC"/>
            </w:tcBorders>
          </w:tcPr>
          <w:p>
            <w:pPr>
              <w:spacing w:after="30" w:before="30"/>
            </w:pPr>
            <w:r>
              <w:rPr>
                <w:color w:val="182230"/>
                <w:sz w:val="15"/>
              </w:rPr>
              <w:t>Section 10</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Conclusion et perspectives</w:t>
            </w:r>
          </w:p>
        </w:tc>
        <w:tc>
          <w:tcPr>
            <w:tcW w:type="dxa" w:w="4195"/>
            <w:vAlign w:val="center"/>
            <w:tcBorders>
              <w:bottom w:val="single" w:sz="4" w:color="D8E1EC"/>
            </w:tcBorders>
          </w:tcPr>
          <w:p>
            <w:pPr>
              <w:spacing w:after="30" w:before="30"/>
            </w:pPr>
            <w:r>
              <w:rPr>
                <w:color w:val="182230"/>
                <w:sz w:val="15"/>
              </w:rPr>
              <w:t>Section 12</w:t>
            </w:r>
          </w:p>
        </w:tc>
        <w:tc>
          <w:tcPr>
            <w:tcW w:type="dxa" w:w="1474"/>
            <w:vAlign w:val="center"/>
            <w:tcBorders>
              <w:bottom w:val="single" w:sz="4" w:color="D8E1EC"/>
            </w:tcBorders>
          </w:tcPr>
          <w:p>
            <w:pPr>
              <w:spacing w:after="30" w:before="30"/>
            </w:pPr>
            <w:r>
              <w:rPr>
                <w:color w:val="182230"/>
                <w:sz w:val="15"/>
              </w:rPr>
              <w:t>Complet</w:t>
            </w:r>
          </w:p>
        </w:tc>
      </w:tr>
      <w:tr>
        <w:trPr>
          <w:cantSplit/>
        </w:trPr>
        <w:tc>
          <w:tcPr>
            <w:tcW w:type="dxa" w:w="3628"/>
            <w:shd w:fill="F6F8FB"/>
            <w:vAlign w:val="center"/>
            <w:tcBorders>
              <w:bottom w:val="single" w:sz="4" w:color="D8E1EC"/>
            </w:tcBorders>
          </w:tcPr>
          <w:p>
            <w:pPr>
              <w:spacing w:after="30" w:before="30"/>
            </w:pPr>
            <w:r>
              <w:rPr>
                <w:color w:val="182230"/>
                <w:sz w:val="15"/>
              </w:rPr>
              <w:t>Références primaires</w:t>
            </w:r>
          </w:p>
        </w:tc>
        <w:tc>
          <w:tcPr>
            <w:tcW w:type="dxa" w:w="4195"/>
            <w:shd w:fill="F6F8FB"/>
            <w:vAlign w:val="center"/>
            <w:tcBorders>
              <w:bottom w:val="single" w:sz="4" w:color="D8E1EC"/>
            </w:tcBorders>
          </w:tcPr>
          <w:p>
            <w:pPr>
              <w:spacing w:after="30" w:before="30"/>
            </w:pPr>
            <w:r>
              <w:rPr>
                <w:color w:val="182230"/>
                <w:sz w:val="15"/>
              </w:rPr>
              <w:t>Références</w:t>
            </w:r>
          </w:p>
        </w:tc>
        <w:tc>
          <w:tcPr>
            <w:tcW w:type="dxa" w:w="1474"/>
            <w:shd w:fill="F6F8FB"/>
            <w:vAlign w:val="center"/>
            <w:tcBorders>
              <w:bottom w:val="single" w:sz="4" w:color="D8E1EC"/>
            </w:tcBorders>
          </w:tcPr>
          <w:p>
            <w:pPr>
              <w:spacing w:after="30" w:before="30"/>
            </w:pPr>
            <w:r>
              <w:rPr>
                <w:color w:val="182230"/>
                <w:sz w:val="15"/>
              </w:rPr>
              <w:t>Complet</w:t>
            </w:r>
          </w:p>
        </w:tc>
      </w:tr>
      <w:tr>
        <w:trPr>
          <w:cantSplit/>
        </w:trPr>
        <w:tc>
          <w:tcPr>
            <w:tcW w:type="dxa" w:w="3628"/>
            <w:vAlign w:val="center"/>
            <w:tcBorders>
              <w:bottom w:val="single" w:sz="4" w:color="D8E1EC"/>
            </w:tcBorders>
          </w:tcPr>
          <w:p>
            <w:pPr>
              <w:spacing w:after="30" w:before="30"/>
            </w:pPr>
            <w:r>
              <w:rPr>
                <w:color w:val="182230"/>
                <w:sz w:val="15"/>
              </w:rPr>
              <w:t>Clarté du produit et figures</w:t>
            </w:r>
          </w:p>
        </w:tc>
        <w:tc>
          <w:tcPr>
            <w:tcW w:type="dxa" w:w="4195"/>
            <w:vAlign w:val="center"/>
            <w:tcBorders>
              <w:bottom w:val="single" w:sz="4" w:color="D8E1EC"/>
            </w:tcBorders>
          </w:tcPr>
          <w:p>
            <w:pPr>
              <w:spacing w:after="30" w:before="30"/>
            </w:pPr>
            <w:r>
              <w:rPr>
                <w:color w:val="182230"/>
                <w:sz w:val="15"/>
              </w:rPr>
              <w:t>Section 11 ; cinq captures réelles commentées</w:t>
            </w:r>
          </w:p>
        </w:tc>
        <w:tc>
          <w:tcPr>
            <w:tcW w:type="dxa" w:w="1474"/>
            <w:vAlign w:val="center"/>
            <w:tcBorders>
              <w:bottom w:val="single" w:sz="4" w:color="D8E1EC"/>
            </w:tcBorders>
          </w:tcPr>
          <w:p>
            <w:pPr>
              <w:spacing w:after="30" w:before="30"/>
            </w:pPr>
            <w:r>
              <w:rPr>
                <w:color w:val="182230"/>
                <w:sz w:val="15"/>
              </w:rPr>
              <w:t>Complet</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17365D"/>
            <w:tcBorders>
              <w:top w:val="nil"/>
              <w:left w:val="nil"/>
              <w:bottom w:val="nil"/>
              <w:right w:val="nil"/>
            </w:tcBorders>
          </w:tcPr>
          <w:p/>
        </w:tc>
        <w:tc>
          <w:tcPr>
            <w:tcW w:type="dxa" w:w="4933"/>
            <w:shd w:fill="EEF4FB"/>
            <w:tcBorders>
              <w:top w:val="nil"/>
              <w:left w:val="nil"/>
              <w:bottom w:val="nil"/>
              <w:right w:val="nil"/>
            </w:tcBorders>
          </w:tcPr>
          <w:p>
            <w:pPr>
              <w:spacing w:after="40"/>
            </w:pPr>
            <w:r>
              <w:rPr>
                <w:b/>
                <w:color w:val="17365D"/>
              </w:rPr>
              <w:t xml:space="preserve">Note de lecture  </w:t>
            </w:r>
            <w:r>
              <w:t>Le document privilégie la rigueur d'ingénierie demandée par la trame : un échec de transfert est conservé et expliqué au même titre qu'un bon score. Cela permet d'évaluer ce que le modèle a réellement appris.</w:t>
            </w:r>
          </w:p>
        </w:tc>
      </w:tr>
    </w:tbl>
    <w:p>
      <w:pPr>
        <w:pStyle w:val="Heading1"/>
        <w:keepNext/>
        <w:pageBreakBefore/>
      </w:pPr>
      <w:r>
        <w:t>Annexe C - Couverture des 75 fiches matériaux</w:t>
      </w:r>
    </w:p>
    <w:p>
      <w:r>
        <w:rPr>
          <w:i w:val="0"/>
        </w:rPr>
        <w:t>La liste ci-dessous décrit la couverture fonctionnelle des experts. Tous les identifiants utilisent le même formulaire et les mêmes contrôles ; seuls PP et IIR possèdent actuellement des séries temporelles acceptées dans la base de production.</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268"/>
            <w:shd w:fill="17365D"/>
            <w:vAlign w:val="center"/>
            <w:tcBorders>
              <w:bottom w:val="single" w:sz="5" w:color="FFFFFF"/>
            </w:tcBorders>
          </w:tcPr>
          <w:p>
            <w:pPr>
              <w:jc w:val="left"/>
            </w:pPr>
            <w:r>
              <w:rPr>
                <w:b/>
                <w:color w:val="FFFFFF"/>
                <w:sz w:val="14"/>
              </w:rPr>
              <w:t>Expert de famille</w:t>
            </w:r>
          </w:p>
        </w:tc>
        <w:tc>
          <w:tcPr>
            <w:tcW w:type="dxa" w:w="1134"/>
            <w:shd w:fill="17365D"/>
            <w:vAlign w:val="center"/>
            <w:tcBorders>
              <w:bottom w:val="single" w:sz="5" w:color="FFFFFF"/>
            </w:tcBorders>
          </w:tcPr>
          <w:p>
            <w:pPr>
              <w:jc w:val="left"/>
            </w:pPr>
            <w:r>
              <w:rPr>
                <w:b/>
                <w:color w:val="FFFFFF"/>
                <w:sz w:val="14"/>
              </w:rPr>
              <w:t>Nombre</w:t>
            </w:r>
          </w:p>
        </w:tc>
        <w:tc>
          <w:tcPr>
            <w:tcW w:type="dxa" w:w="5896"/>
            <w:shd w:fill="17365D"/>
            <w:vAlign w:val="center"/>
            <w:tcBorders>
              <w:bottom w:val="single" w:sz="5" w:color="FFFFFF"/>
            </w:tcBorders>
          </w:tcPr>
          <w:p>
            <w:pPr>
              <w:jc w:val="left"/>
            </w:pPr>
            <w:r>
              <w:rPr>
                <w:b/>
                <w:color w:val="FFFFFF"/>
                <w:sz w:val="14"/>
              </w:rPr>
              <w:t>Identifiants du catalogue</w:t>
            </w:r>
          </w:p>
        </w:tc>
      </w:tr>
      <w:tr>
        <w:trPr>
          <w:cantSplit/>
        </w:trPr>
        <w:tc>
          <w:tcPr>
            <w:tcW w:type="dxa" w:w="2268"/>
            <w:vAlign w:val="center"/>
            <w:tcBorders>
              <w:bottom w:val="single" w:sz="4" w:color="D8E1EC"/>
            </w:tcBorders>
          </w:tcPr>
          <w:p>
            <w:pPr>
              <w:spacing w:after="30" w:before="30"/>
            </w:pPr>
            <w:r>
              <w:rPr>
                <w:color w:val="182230"/>
                <w:sz w:val="14"/>
              </w:rPr>
              <w:t>Thermoplastiques</w:t>
            </w:r>
          </w:p>
        </w:tc>
        <w:tc>
          <w:tcPr>
            <w:tcW w:type="dxa" w:w="1134"/>
            <w:vAlign w:val="center"/>
            <w:tcBorders>
              <w:bottom w:val="single" w:sz="4" w:color="D8E1EC"/>
            </w:tcBorders>
          </w:tcPr>
          <w:p>
            <w:pPr>
              <w:spacing w:after="30" w:before="30"/>
            </w:pPr>
            <w:r>
              <w:rPr>
                <w:color w:val="182230"/>
                <w:sz w:val="14"/>
              </w:rPr>
              <w:t>25</w:t>
            </w:r>
          </w:p>
        </w:tc>
        <w:tc>
          <w:tcPr>
            <w:tcW w:type="dxa" w:w="5896"/>
            <w:vAlign w:val="center"/>
            <w:tcBorders>
              <w:bottom w:val="single" w:sz="4" w:color="D8E1EC"/>
            </w:tcBorders>
          </w:tcPr>
          <w:p>
            <w:pPr>
              <w:spacing w:after="30" w:before="30"/>
            </w:pPr>
            <w:r>
              <w:rPr>
                <w:color w:val="182230"/>
                <w:sz w:val="14"/>
              </w:rPr>
              <w:t>PP, PE, LDPE, HDPE, PEX, UHMWPE, TPO, COC, COP, ABS, ASA, PS, HIPS, SAN, TPS, PMMA, CPVC, PVDC, PVOH, PAN, PVB, PVC, EVA, PC, POM</w:t>
            </w:r>
          </w:p>
        </w:tc>
      </w:tr>
      <w:tr>
        <w:trPr>
          <w:cantSplit/>
        </w:trPr>
        <w:tc>
          <w:tcPr>
            <w:tcW w:type="dxa" w:w="2268"/>
            <w:shd w:fill="F6F8FB"/>
            <w:vAlign w:val="center"/>
            <w:tcBorders>
              <w:bottom w:val="single" w:sz="4" w:color="D8E1EC"/>
            </w:tcBorders>
          </w:tcPr>
          <w:p>
            <w:pPr>
              <w:spacing w:after="30" w:before="30"/>
            </w:pPr>
            <w:r>
              <w:rPr>
                <w:color w:val="182230"/>
                <w:sz w:val="14"/>
              </w:rPr>
              <w:t>Sensibles à l'eau</w:t>
            </w:r>
          </w:p>
        </w:tc>
        <w:tc>
          <w:tcPr>
            <w:tcW w:type="dxa" w:w="1134"/>
            <w:shd w:fill="F6F8FB"/>
            <w:vAlign w:val="center"/>
            <w:tcBorders>
              <w:bottom w:val="single" w:sz="4" w:color="D8E1EC"/>
            </w:tcBorders>
          </w:tcPr>
          <w:p>
            <w:pPr>
              <w:spacing w:after="30" w:before="30"/>
            </w:pPr>
            <w:r>
              <w:rPr>
                <w:color w:val="182230"/>
                <w:sz w:val="14"/>
              </w:rPr>
              <w:t>15</w:t>
            </w:r>
          </w:p>
        </w:tc>
        <w:tc>
          <w:tcPr>
            <w:tcW w:type="dxa" w:w="5896"/>
            <w:shd w:fill="F6F8FB"/>
            <w:vAlign w:val="center"/>
            <w:tcBorders>
              <w:bottom w:val="single" w:sz="4" w:color="D8E1EC"/>
            </w:tcBorders>
          </w:tcPr>
          <w:p>
            <w:pPr>
              <w:spacing w:after="30" w:before="30"/>
            </w:pPr>
            <w:r>
              <w:rPr>
                <w:color w:val="182230"/>
                <w:sz w:val="14"/>
              </w:rPr>
              <w:t>PA11, PA12, PA6, PA66, PPA, PET, PBT, PLA, PBAT, PBSA, PBS, PCL, PHA, PUR, TPU</w:t>
            </w:r>
          </w:p>
        </w:tc>
      </w:tr>
      <w:tr>
        <w:trPr>
          <w:cantSplit/>
        </w:trPr>
        <w:tc>
          <w:tcPr>
            <w:tcW w:type="dxa" w:w="2268"/>
            <w:vAlign w:val="center"/>
            <w:tcBorders>
              <w:bottom w:val="single" w:sz="4" w:color="D8E1EC"/>
            </w:tcBorders>
          </w:tcPr>
          <w:p>
            <w:pPr>
              <w:spacing w:after="30" w:before="30"/>
            </w:pPr>
            <w:r>
              <w:rPr>
                <w:color w:val="182230"/>
                <w:sz w:val="14"/>
              </w:rPr>
              <w:t>Réseaux thermodurcis</w:t>
            </w:r>
          </w:p>
        </w:tc>
        <w:tc>
          <w:tcPr>
            <w:tcW w:type="dxa" w:w="1134"/>
            <w:vAlign w:val="center"/>
            <w:tcBorders>
              <w:bottom w:val="single" w:sz="4" w:color="D8E1EC"/>
            </w:tcBorders>
          </w:tcPr>
          <w:p>
            <w:pPr>
              <w:spacing w:after="30" w:before="30"/>
            </w:pPr>
            <w:r>
              <w:rPr>
                <w:color w:val="182230"/>
                <w:sz w:val="14"/>
              </w:rPr>
              <w:t>4</w:t>
            </w:r>
          </w:p>
        </w:tc>
        <w:tc>
          <w:tcPr>
            <w:tcW w:type="dxa" w:w="5896"/>
            <w:vAlign w:val="center"/>
            <w:tcBorders>
              <w:bottom w:val="single" w:sz="4" w:color="D8E1EC"/>
            </w:tcBorders>
          </w:tcPr>
          <w:p>
            <w:pPr>
              <w:spacing w:after="30" w:before="30"/>
            </w:pPr>
            <w:r>
              <w:rPr>
                <w:color w:val="182230"/>
                <w:sz w:val="14"/>
              </w:rPr>
              <w:t>PHENOLIC, UP, VE, EPOXY</w:t>
            </w:r>
          </w:p>
        </w:tc>
      </w:tr>
      <w:tr>
        <w:trPr>
          <w:cantSplit/>
        </w:trPr>
        <w:tc>
          <w:tcPr>
            <w:tcW w:type="dxa" w:w="2268"/>
            <w:shd w:fill="F6F8FB"/>
            <w:vAlign w:val="center"/>
            <w:tcBorders>
              <w:bottom w:val="single" w:sz="4" w:color="D8E1EC"/>
            </w:tcBorders>
          </w:tcPr>
          <w:p>
            <w:pPr>
              <w:spacing w:after="30" w:before="30"/>
            </w:pPr>
            <w:r>
              <w:rPr>
                <w:color w:val="182230"/>
                <w:sz w:val="14"/>
              </w:rPr>
              <w:t>Élastomères</w:t>
            </w:r>
          </w:p>
        </w:tc>
        <w:tc>
          <w:tcPr>
            <w:tcW w:type="dxa" w:w="1134"/>
            <w:shd w:fill="F6F8FB"/>
            <w:vAlign w:val="center"/>
            <w:tcBorders>
              <w:bottom w:val="single" w:sz="4" w:color="D8E1EC"/>
            </w:tcBorders>
          </w:tcPr>
          <w:p>
            <w:pPr>
              <w:spacing w:after="30" w:before="30"/>
            </w:pPr>
            <w:r>
              <w:rPr>
                <w:color w:val="182230"/>
                <w:sz w:val="14"/>
              </w:rPr>
              <w:t>12</w:t>
            </w:r>
          </w:p>
        </w:tc>
        <w:tc>
          <w:tcPr>
            <w:tcW w:type="dxa" w:w="5896"/>
            <w:shd w:fill="F6F8FB"/>
            <w:vAlign w:val="center"/>
            <w:tcBorders>
              <w:bottom w:val="single" w:sz="4" w:color="D8E1EC"/>
            </w:tcBorders>
          </w:tcPr>
          <w:p>
            <w:pPr>
              <w:spacing w:after="30" w:before="30"/>
            </w:pPr>
            <w:r>
              <w:rPr>
                <w:color w:val="182230"/>
                <w:sz w:val="14"/>
              </w:rPr>
              <w:t>IIR, NR, NBR, CR, SBR, SILICONE, EPDM, FKM, FFKM, PEBA, TPCET, TPV</w:t>
            </w:r>
          </w:p>
        </w:tc>
      </w:tr>
      <w:tr>
        <w:trPr>
          <w:cantSplit/>
        </w:trPr>
        <w:tc>
          <w:tcPr>
            <w:tcW w:type="dxa" w:w="2268"/>
            <w:vAlign w:val="center"/>
            <w:tcBorders>
              <w:bottom w:val="single" w:sz="4" w:color="D8E1EC"/>
            </w:tcBorders>
          </w:tcPr>
          <w:p>
            <w:pPr>
              <w:spacing w:after="30" w:before="30"/>
            </w:pPr>
            <w:r>
              <w:rPr>
                <w:color w:val="182230"/>
                <w:sz w:val="14"/>
              </w:rPr>
              <w:t>Composites</w:t>
            </w:r>
          </w:p>
        </w:tc>
        <w:tc>
          <w:tcPr>
            <w:tcW w:type="dxa" w:w="1134"/>
            <w:vAlign w:val="center"/>
            <w:tcBorders>
              <w:bottom w:val="single" w:sz="4" w:color="D8E1EC"/>
            </w:tcBorders>
          </w:tcPr>
          <w:p>
            <w:pPr>
              <w:spacing w:after="30" w:before="30"/>
            </w:pPr>
            <w:r>
              <w:rPr>
                <w:color w:val="182230"/>
                <w:sz w:val="14"/>
              </w:rPr>
              <w:t>1</w:t>
            </w:r>
          </w:p>
        </w:tc>
        <w:tc>
          <w:tcPr>
            <w:tcW w:type="dxa" w:w="5896"/>
            <w:vAlign w:val="center"/>
            <w:tcBorders>
              <w:bottom w:val="single" w:sz="4" w:color="D8E1EC"/>
            </w:tcBorders>
          </w:tcPr>
          <w:p>
            <w:pPr>
              <w:spacing w:after="30" w:before="30"/>
            </w:pPr>
            <w:r>
              <w:rPr>
                <w:color w:val="182230"/>
                <w:sz w:val="14"/>
              </w:rPr>
              <w:t>FLAX_EPOXY</w:t>
            </w:r>
          </w:p>
        </w:tc>
      </w:tr>
      <w:tr>
        <w:trPr>
          <w:cantSplit/>
        </w:trPr>
        <w:tc>
          <w:tcPr>
            <w:tcW w:type="dxa" w:w="2268"/>
            <w:shd w:fill="F6F8FB"/>
            <w:vAlign w:val="center"/>
            <w:tcBorders>
              <w:bottom w:val="single" w:sz="4" w:color="D8E1EC"/>
            </w:tcBorders>
          </w:tcPr>
          <w:p>
            <w:pPr>
              <w:spacing w:after="30" w:before="30"/>
            </w:pPr>
            <w:r>
              <w:rPr>
                <w:color w:val="182230"/>
                <w:sz w:val="14"/>
              </w:rPr>
              <w:t>Haute stabilité</w:t>
            </w:r>
          </w:p>
        </w:tc>
        <w:tc>
          <w:tcPr>
            <w:tcW w:type="dxa" w:w="1134"/>
            <w:shd w:fill="F6F8FB"/>
            <w:vAlign w:val="center"/>
            <w:tcBorders>
              <w:bottom w:val="single" w:sz="4" w:color="D8E1EC"/>
            </w:tcBorders>
          </w:tcPr>
          <w:p>
            <w:pPr>
              <w:spacing w:after="30" w:before="30"/>
            </w:pPr>
            <w:r>
              <w:rPr>
                <w:color w:val="182230"/>
                <w:sz w:val="14"/>
              </w:rPr>
              <w:t>18</w:t>
            </w:r>
          </w:p>
        </w:tc>
        <w:tc>
          <w:tcPr>
            <w:tcW w:type="dxa" w:w="5896"/>
            <w:shd w:fill="F6F8FB"/>
            <w:vAlign w:val="center"/>
            <w:tcBorders>
              <w:bottom w:val="single" w:sz="4" w:color="D8E1EC"/>
            </w:tcBorders>
          </w:tcPr>
          <w:p>
            <w:pPr>
              <w:spacing w:after="30" w:before="30"/>
            </w:pPr>
            <w:r>
              <w:rPr>
                <w:color w:val="182230"/>
                <w:sz w:val="14"/>
              </w:rPr>
              <w:t>PFA, PVDF, PTFE, ECTFE, FEP, ETFE, PAI, PI, PPE, PAEK, LCP, PPSU, PSU, PPS, PEKK, PEI, PESU, PEEK</w:t>
            </w:r>
          </w:p>
        </w:tc>
      </w:tr>
    </w:tbl>
    <w:p>
      <w:pPr>
        <w:spacing w:after="0"/>
      </w:pPr>
    </w:p>
    <w:p>
      <w:pPr>
        <w:pStyle w:val="Heading2"/>
        <w:keepNext/>
      </w:pPr>
      <w:r>
        <w:t>C.1 État de preuve par catégorie</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381"/>
            <w:shd w:fill="17365D"/>
            <w:vAlign w:val="center"/>
            <w:tcBorders>
              <w:bottom w:val="single" w:sz="5" w:color="FFFFFF"/>
            </w:tcBorders>
          </w:tcPr>
          <w:p>
            <w:pPr>
              <w:jc w:val="left"/>
            </w:pPr>
            <w:r>
              <w:rPr>
                <w:b/>
                <w:color w:val="FFFFFF"/>
                <w:sz w:val="14"/>
              </w:rPr>
              <w:t>Catégorie</w:t>
            </w:r>
          </w:p>
        </w:tc>
        <w:tc>
          <w:tcPr>
            <w:tcW w:type="dxa" w:w="3515"/>
            <w:shd w:fill="17365D"/>
            <w:vAlign w:val="center"/>
            <w:tcBorders>
              <w:bottom w:val="single" w:sz="5" w:color="FFFFFF"/>
            </w:tcBorders>
          </w:tcPr>
          <w:p>
            <w:pPr>
              <w:jc w:val="left"/>
            </w:pPr>
            <w:r>
              <w:rPr>
                <w:b/>
                <w:color w:val="FFFFFF"/>
                <w:sz w:val="14"/>
              </w:rPr>
              <w:t>Sortie disponible</w:t>
            </w:r>
          </w:p>
        </w:tc>
        <w:tc>
          <w:tcPr>
            <w:tcW w:type="dxa" w:w="3402"/>
            <w:shd w:fill="17365D"/>
            <w:vAlign w:val="center"/>
            <w:tcBorders>
              <w:bottom w:val="single" w:sz="5" w:color="FFFFFF"/>
            </w:tcBorders>
          </w:tcPr>
          <w:p>
            <w:pPr>
              <w:jc w:val="left"/>
            </w:pPr>
            <w:r>
              <w:rPr>
                <w:b/>
                <w:color w:val="FFFFFF"/>
                <w:sz w:val="14"/>
              </w:rPr>
              <w:t>Précision annoncée</w:t>
            </w:r>
          </w:p>
        </w:tc>
      </w:tr>
      <w:tr>
        <w:trPr>
          <w:cantSplit/>
        </w:trPr>
        <w:tc>
          <w:tcPr>
            <w:tcW w:type="dxa" w:w="2381"/>
            <w:vAlign w:val="center"/>
            <w:tcBorders>
              <w:bottom w:val="single" w:sz="4" w:color="D8E1EC"/>
            </w:tcBorders>
          </w:tcPr>
          <w:p>
            <w:pPr>
              <w:spacing w:after="30" w:before="30"/>
            </w:pPr>
            <w:r>
              <w:rPr>
                <w:color w:val="182230"/>
                <w:sz w:val="14"/>
              </w:rPr>
              <w:t>Fiche documentaire seule</w:t>
            </w:r>
          </w:p>
        </w:tc>
        <w:tc>
          <w:tcPr>
            <w:tcW w:type="dxa" w:w="3515"/>
            <w:vAlign w:val="center"/>
            <w:tcBorders>
              <w:bottom w:val="single" w:sz="4" w:color="D8E1EC"/>
            </w:tcBorders>
          </w:tcPr>
          <w:p>
            <w:pPr>
              <w:spacing w:after="30" w:before="30"/>
            </w:pPr>
            <w:r>
              <w:rPr>
                <w:color w:val="182230"/>
                <w:sz w:val="14"/>
              </w:rPr>
              <w:t>Scénario de famille et paramètres visibles</w:t>
            </w:r>
          </w:p>
        </w:tc>
        <w:tc>
          <w:tcPr>
            <w:tcW w:type="dxa" w:w="3402"/>
            <w:vAlign w:val="center"/>
            <w:tcBorders>
              <w:bottom w:val="single" w:sz="4" w:color="D8E1EC"/>
            </w:tcBorders>
          </w:tcPr>
          <w:p>
            <w:pPr>
              <w:spacing w:after="30" w:before="30"/>
            </w:pPr>
            <w:r>
              <w:rPr>
                <w:color w:val="182230"/>
                <w:sz w:val="14"/>
              </w:rPr>
              <w:t>Aucune précision expérimentale</w:t>
            </w:r>
          </w:p>
        </w:tc>
      </w:tr>
      <w:tr>
        <w:trPr>
          <w:cantSplit/>
        </w:trPr>
        <w:tc>
          <w:tcPr>
            <w:tcW w:type="dxa" w:w="2381"/>
            <w:shd w:fill="F6F8FB"/>
            <w:vAlign w:val="center"/>
            <w:tcBorders>
              <w:bottom w:val="single" w:sz="4" w:color="D8E1EC"/>
            </w:tcBorders>
          </w:tcPr>
          <w:p>
            <w:pPr>
              <w:spacing w:after="30" w:before="30"/>
            </w:pPr>
            <w:r>
              <w:rPr>
                <w:color w:val="182230"/>
                <w:sz w:val="14"/>
              </w:rPr>
              <w:t>Profil E₀ fabricant</w:t>
            </w:r>
          </w:p>
        </w:tc>
        <w:tc>
          <w:tcPr>
            <w:tcW w:type="dxa" w:w="3515"/>
            <w:shd w:fill="F6F8FB"/>
            <w:vAlign w:val="center"/>
            <w:tcBorders>
              <w:bottom w:val="single" w:sz="4" w:color="D8E1EC"/>
            </w:tcBorders>
          </w:tcPr>
          <w:p>
            <w:pPr>
              <w:spacing w:after="30" w:before="30"/>
            </w:pPr>
            <w:r>
              <w:rPr>
                <w:color w:val="182230"/>
                <w:sz w:val="14"/>
              </w:rPr>
              <w:t>Valeur initiale recoupée</w:t>
            </w:r>
          </w:p>
        </w:tc>
        <w:tc>
          <w:tcPr>
            <w:tcW w:type="dxa" w:w="3402"/>
            <w:shd w:fill="F6F8FB"/>
            <w:vAlign w:val="center"/>
            <w:tcBorders>
              <w:bottom w:val="single" w:sz="4" w:color="D8E1EC"/>
            </w:tcBorders>
          </w:tcPr>
          <w:p>
            <w:pPr>
              <w:spacing w:after="30" w:before="30"/>
            </w:pPr>
            <w:r>
              <w:rPr>
                <w:color w:val="182230"/>
                <w:sz w:val="14"/>
              </w:rPr>
              <w:t>Précision du vieillissement inchangée</w:t>
            </w:r>
          </w:p>
        </w:tc>
      </w:tr>
      <w:tr>
        <w:trPr>
          <w:cantSplit/>
        </w:trPr>
        <w:tc>
          <w:tcPr>
            <w:tcW w:type="dxa" w:w="2381"/>
            <w:vAlign w:val="center"/>
            <w:tcBorders>
              <w:bottom w:val="single" w:sz="4" w:color="D8E1EC"/>
            </w:tcBorders>
          </w:tcPr>
          <w:p>
            <w:pPr>
              <w:spacing w:after="30" w:before="30"/>
            </w:pPr>
            <w:r>
              <w:rPr>
                <w:color w:val="182230"/>
                <w:sz w:val="14"/>
              </w:rPr>
              <w:t>Analogue éligible</w:t>
            </w:r>
          </w:p>
        </w:tc>
        <w:tc>
          <w:tcPr>
            <w:tcW w:type="dxa" w:w="3515"/>
            <w:vAlign w:val="center"/>
            <w:tcBorders>
              <w:bottom w:val="single" w:sz="4" w:color="D8E1EC"/>
            </w:tcBorders>
          </w:tcPr>
          <w:p>
            <w:pPr>
              <w:spacing w:after="30" w:before="30"/>
            </w:pPr>
            <w:r>
              <w:rPr>
                <w:color w:val="182230"/>
                <w:sz w:val="14"/>
              </w:rPr>
              <w:t>Courbe transférée dans la fenêtre source</w:t>
            </w:r>
          </w:p>
        </w:tc>
        <w:tc>
          <w:tcPr>
            <w:tcW w:type="dxa" w:w="3402"/>
            <w:vAlign w:val="center"/>
            <w:tcBorders>
              <w:bottom w:val="single" w:sz="4" w:color="D8E1EC"/>
            </w:tcBorders>
          </w:tcPr>
          <w:p>
            <w:pPr>
              <w:spacing w:after="30" w:before="30"/>
            </w:pPr>
            <w:r>
              <w:rPr>
                <w:color w:val="182230"/>
                <w:sz w:val="14"/>
              </w:rPr>
              <w:t>Erreur source + pénalité de transfert</w:t>
            </w:r>
          </w:p>
        </w:tc>
      </w:tr>
      <w:tr>
        <w:trPr>
          <w:cantSplit/>
        </w:trPr>
        <w:tc>
          <w:tcPr>
            <w:tcW w:type="dxa" w:w="2381"/>
            <w:shd w:fill="F6F8FB"/>
            <w:vAlign w:val="center"/>
            <w:tcBorders>
              <w:bottom w:val="single" w:sz="4" w:color="D8E1EC"/>
            </w:tcBorders>
          </w:tcPr>
          <w:p>
            <w:pPr>
              <w:spacing w:after="30" w:before="30"/>
            </w:pPr>
            <w:r>
              <w:rPr>
                <w:color w:val="182230"/>
                <w:sz w:val="14"/>
              </w:rPr>
              <w:t>Coefficients physiques</w:t>
            </w:r>
          </w:p>
        </w:tc>
        <w:tc>
          <w:tcPr>
            <w:tcW w:type="dxa" w:w="3515"/>
            <w:shd w:fill="F6F8FB"/>
            <w:vAlign w:val="center"/>
            <w:tcBorders>
              <w:bottom w:val="single" w:sz="4" w:color="D8E1EC"/>
            </w:tcBorders>
          </w:tcPr>
          <w:p>
            <w:pPr>
              <w:spacing w:after="30" w:before="30"/>
            </w:pPr>
            <w:r>
              <w:rPr>
                <w:color w:val="182230"/>
                <w:sz w:val="14"/>
              </w:rPr>
              <w:t>Trajectoire centrale et scénarios de bornes</w:t>
            </w:r>
          </w:p>
        </w:tc>
        <w:tc>
          <w:tcPr>
            <w:tcW w:type="dxa" w:w="3402"/>
            <w:shd w:fill="F6F8FB"/>
            <w:vAlign w:val="center"/>
            <w:tcBorders>
              <w:bottom w:val="single" w:sz="4" w:color="D8E1EC"/>
            </w:tcBorders>
          </w:tcPr>
          <w:p>
            <w:pPr>
              <w:spacing w:after="30" w:before="30"/>
            </w:pPr>
            <w:r>
              <w:rPr>
                <w:color w:val="182230"/>
                <w:sz w:val="14"/>
              </w:rPr>
              <w:t>À mesurer sur essais indépendants</w:t>
            </w:r>
          </w:p>
        </w:tc>
      </w:tr>
      <w:tr>
        <w:trPr>
          <w:cantSplit/>
        </w:trPr>
        <w:tc>
          <w:tcPr>
            <w:tcW w:type="dxa" w:w="2381"/>
            <w:vAlign w:val="center"/>
            <w:tcBorders>
              <w:bottom w:val="single" w:sz="4" w:color="D8E1EC"/>
            </w:tcBorders>
          </w:tcPr>
          <w:p>
            <w:pPr>
              <w:spacing w:after="30" w:before="30"/>
            </w:pPr>
            <w:r>
              <w:rPr>
                <w:color w:val="182230"/>
                <w:sz w:val="14"/>
              </w:rPr>
              <w:t>Courbe publiée exacte</w:t>
            </w:r>
          </w:p>
        </w:tc>
        <w:tc>
          <w:tcPr>
            <w:tcW w:type="dxa" w:w="3515"/>
            <w:vAlign w:val="center"/>
            <w:tcBorders>
              <w:bottom w:val="single" w:sz="4" w:color="D8E1EC"/>
            </w:tcBorders>
          </w:tcPr>
          <w:p>
            <w:pPr>
              <w:spacing w:after="30" w:before="30"/>
            </w:pPr>
            <w:r>
              <w:rPr>
                <w:color w:val="182230"/>
                <w:sz w:val="14"/>
              </w:rPr>
              <w:t>Interpolation aux conditions exactes</w:t>
            </w:r>
          </w:p>
        </w:tc>
        <w:tc>
          <w:tcPr>
            <w:tcW w:type="dxa" w:w="3402"/>
            <w:vAlign w:val="center"/>
            <w:tcBorders>
              <w:bottom w:val="single" w:sz="4" w:color="D8E1EC"/>
            </w:tcBorders>
          </w:tcPr>
          <w:p>
            <w:pPr>
              <w:spacing w:after="30" w:before="30"/>
            </w:pPr>
            <w:r>
              <w:rPr>
                <w:color w:val="182230"/>
                <w:sz w:val="14"/>
              </w:rPr>
              <w:t>Dispersion source ; prédiction externe non démontrée</w:t>
            </w:r>
          </w:p>
        </w:tc>
      </w:tr>
      <w:tr>
        <w:trPr>
          <w:cantSplit/>
        </w:trPr>
        <w:tc>
          <w:tcPr>
            <w:tcW w:type="dxa" w:w="2381"/>
            <w:shd w:fill="F6F8FB"/>
            <w:vAlign w:val="center"/>
            <w:tcBorders>
              <w:bottom w:val="single" w:sz="4" w:color="D8E1EC"/>
            </w:tcBorders>
          </w:tcPr>
          <w:p>
            <w:pPr>
              <w:spacing w:after="30" w:before="30"/>
            </w:pPr>
            <w:r>
              <w:rPr>
                <w:color w:val="182230"/>
                <w:sz w:val="14"/>
              </w:rPr>
              <w:t>Modèle validé hors groupe</w:t>
            </w:r>
          </w:p>
        </w:tc>
        <w:tc>
          <w:tcPr>
            <w:tcW w:type="dxa" w:w="3515"/>
            <w:shd w:fill="F6F8FB"/>
            <w:vAlign w:val="center"/>
            <w:tcBorders>
              <w:bottom w:val="single" w:sz="4" w:color="D8E1EC"/>
            </w:tcBorders>
          </w:tcPr>
          <w:p>
            <w:pPr>
              <w:spacing w:after="30" w:before="30"/>
            </w:pPr>
            <w:r>
              <w:rPr>
                <w:color w:val="182230"/>
                <w:sz w:val="14"/>
              </w:rPr>
              <w:t>Courbe et intervalle interne</w:t>
            </w:r>
          </w:p>
        </w:tc>
        <w:tc>
          <w:tcPr>
            <w:tcW w:type="dxa" w:w="3402"/>
            <w:shd w:fill="F6F8FB"/>
            <w:vAlign w:val="center"/>
            <w:tcBorders>
              <w:bottom w:val="single" w:sz="4" w:color="D8E1EC"/>
            </w:tcBorders>
          </w:tcPr>
          <w:p>
            <w:pPr>
              <w:spacing w:after="30" w:before="30"/>
            </w:pPr>
            <w:r>
              <w:rPr>
                <w:color w:val="182230"/>
                <w:sz w:val="14"/>
              </w:rPr>
              <w:t>Métriques et domaine affichés</w:t>
            </w:r>
          </w:p>
        </w:tc>
      </w:tr>
      <w:tr>
        <w:trPr>
          <w:cantSplit/>
        </w:trPr>
        <w:tc>
          <w:tcPr>
            <w:tcW w:type="dxa" w:w="2381"/>
            <w:vAlign w:val="center"/>
            <w:tcBorders>
              <w:bottom w:val="single" w:sz="4" w:color="D8E1EC"/>
            </w:tcBorders>
          </w:tcPr>
          <w:p>
            <w:pPr>
              <w:spacing w:after="30" w:before="30"/>
            </w:pPr>
            <w:r>
              <w:rPr>
                <w:color w:val="182230"/>
                <w:sz w:val="14"/>
              </w:rPr>
              <w:t>Modèle qualifié externe</w:t>
            </w:r>
          </w:p>
        </w:tc>
        <w:tc>
          <w:tcPr>
            <w:tcW w:type="dxa" w:w="3515"/>
            <w:vAlign w:val="center"/>
            <w:tcBorders>
              <w:bottom w:val="single" w:sz="4" w:color="D8E1EC"/>
            </w:tcBorders>
          </w:tcPr>
          <w:p>
            <w:pPr>
              <w:spacing w:after="30" w:before="30"/>
            </w:pPr>
            <w:r>
              <w:rPr>
                <w:color w:val="182230"/>
                <w:sz w:val="14"/>
              </w:rPr>
              <w:t>Usage défini par procédure</w:t>
            </w:r>
          </w:p>
        </w:tc>
        <w:tc>
          <w:tcPr>
            <w:tcW w:type="dxa" w:w="3402"/>
            <w:vAlign w:val="center"/>
            <w:tcBorders>
              <w:bottom w:val="single" w:sz="4" w:color="D8E1EC"/>
            </w:tcBorders>
          </w:tcPr>
          <w:p>
            <w:pPr>
              <w:spacing w:after="30" w:before="30"/>
            </w:pPr>
            <w:r>
              <w:rPr>
                <w:color w:val="182230"/>
                <w:sz w:val="14"/>
              </w:rPr>
              <w:t>Objectif 95/95 et largeur acceptables</w:t>
            </w:r>
          </w:p>
        </w:tc>
      </w:tr>
    </w:tbl>
    <w:p>
      <w:pPr>
        <w:spacing w:after="0"/>
      </w:pPr>
    </w:p>
    <w:p>
      <w:pPr>
        <w:pStyle w:val="Heading1"/>
        <w:keepNext/>
        <w:pageBreakBefore/>
      </w:pPr>
      <w:r>
        <w:t>Annexe D - Grille de lecture d'un résultat SeaMat</w:t>
      </w:r>
    </w:p>
    <w:tbl>
      <w:tblPr>
        <w:tblW w:type="auto" w:w="0"/>
        <w:tblLayout w:type="fixed"/>
        <w:tblLook w:firstColumn="1" w:firstRow="1" w:lastColumn="0" w:lastRow="0" w:noHBand="0" w:noVBand="1" w:val="04A0"/>
      </w:tblPr>
      <w:tblGrid>
        <w:gridCol w:w="3289"/>
        <w:gridCol w:w="3289"/>
        <w:gridCol w:w="3289"/>
      </w:tblGrid>
      <w:tr>
        <w:trPr>
          <w:tblHeader w:val="true"/>
        </w:trPr>
        <w:tc>
          <w:tcPr>
            <w:tcW w:type="dxa" w:w="2948"/>
            <w:shd w:fill="17365D"/>
            <w:vAlign w:val="center"/>
            <w:tcBorders>
              <w:bottom w:val="single" w:sz="5" w:color="FFFFFF"/>
            </w:tcBorders>
          </w:tcPr>
          <w:p>
            <w:pPr>
              <w:jc w:val="left"/>
            </w:pPr>
            <w:r>
              <w:rPr>
                <w:b/>
                <w:color w:val="FFFFFF"/>
                <w:sz w:val="14"/>
              </w:rPr>
              <w:t>Question</w:t>
            </w:r>
          </w:p>
        </w:tc>
        <w:tc>
          <w:tcPr>
            <w:tcW w:type="dxa" w:w="2891"/>
            <w:shd w:fill="17365D"/>
            <w:vAlign w:val="center"/>
            <w:tcBorders>
              <w:bottom w:val="single" w:sz="5" w:color="FFFFFF"/>
            </w:tcBorders>
          </w:tcPr>
          <w:p>
            <w:pPr>
              <w:jc w:val="left"/>
            </w:pPr>
            <w:r>
              <w:rPr>
                <w:b/>
                <w:color w:val="FFFFFF"/>
                <w:sz w:val="14"/>
              </w:rPr>
              <w:t>Où la lire</w:t>
            </w:r>
          </w:p>
        </w:tc>
        <w:tc>
          <w:tcPr>
            <w:tcW w:type="dxa" w:w="3458"/>
            <w:shd w:fill="17365D"/>
            <w:vAlign w:val="center"/>
            <w:tcBorders>
              <w:bottom w:val="single" w:sz="5" w:color="FFFFFF"/>
            </w:tcBorders>
          </w:tcPr>
          <w:p>
            <w:pPr>
              <w:jc w:val="left"/>
            </w:pPr>
            <w:r>
              <w:rPr>
                <w:b/>
                <w:color w:val="FFFFFF"/>
                <w:sz w:val="14"/>
              </w:rPr>
              <w:t>Décision</w:t>
            </w:r>
          </w:p>
        </w:tc>
      </w:tr>
      <w:tr>
        <w:trPr>
          <w:cantSplit/>
        </w:trPr>
        <w:tc>
          <w:tcPr>
            <w:tcW w:type="dxa" w:w="2948"/>
            <w:vAlign w:val="center"/>
            <w:tcBorders>
              <w:bottom w:val="single" w:sz="4" w:color="D8E1EC"/>
            </w:tcBorders>
          </w:tcPr>
          <w:p>
            <w:pPr>
              <w:spacing w:after="30" w:before="30"/>
            </w:pPr>
            <w:r>
              <w:rPr>
                <w:color w:val="182230"/>
                <w:sz w:val="14"/>
              </w:rPr>
              <w:t>Quelle est la valeur centrale ?</w:t>
            </w:r>
          </w:p>
        </w:tc>
        <w:tc>
          <w:tcPr>
            <w:tcW w:type="dxa" w:w="2891"/>
            <w:vAlign w:val="center"/>
            <w:tcBorders>
              <w:bottom w:val="single" w:sz="4" w:color="D8E1EC"/>
            </w:tcBorders>
          </w:tcPr>
          <w:p>
            <w:pPr>
              <w:spacing w:after="30" w:before="30"/>
            </w:pPr>
            <w:r>
              <w:rPr>
                <w:color w:val="182230"/>
                <w:sz w:val="14"/>
              </w:rPr>
              <w:t>Carte à l'horizon et courbe</w:t>
            </w:r>
          </w:p>
        </w:tc>
        <w:tc>
          <w:tcPr>
            <w:tcW w:type="dxa" w:w="3458"/>
            <w:vAlign w:val="center"/>
            <w:tcBorders>
              <w:bottom w:val="single" w:sz="4" w:color="D8E1EC"/>
            </w:tcBorders>
          </w:tcPr>
          <w:p>
            <w:pPr>
              <w:spacing w:after="30" w:before="30"/>
            </w:pPr>
            <w:r>
              <w:rPr>
                <w:color w:val="182230"/>
                <w:sz w:val="14"/>
              </w:rPr>
              <w:t>Utilisable seulement avec le statut associé</w:t>
            </w:r>
          </w:p>
        </w:tc>
      </w:tr>
      <w:tr>
        <w:trPr>
          <w:cantSplit/>
        </w:trPr>
        <w:tc>
          <w:tcPr>
            <w:tcW w:type="dxa" w:w="2948"/>
            <w:shd w:fill="F6F8FB"/>
            <w:vAlign w:val="center"/>
            <w:tcBorders>
              <w:bottom w:val="single" w:sz="4" w:color="D8E1EC"/>
            </w:tcBorders>
          </w:tcPr>
          <w:p>
            <w:pPr>
              <w:spacing w:after="30" w:before="30"/>
            </w:pPr>
            <w:r>
              <w:rPr>
                <w:color w:val="182230"/>
                <w:sz w:val="14"/>
              </w:rPr>
              <w:t>D'où vient la cinétique ?</w:t>
            </w:r>
          </w:p>
        </w:tc>
        <w:tc>
          <w:tcPr>
            <w:tcW w:type="dxa" w:w="2891"/>
            <w:shd w:fill="F6F8FB"/>
            <w:vAlign w:val="center"/>
            <w:tcBorders>
              <w:bottom w:val="single" w:sz="4" w:color="D8E1EC"/>
            </w:tcBorders>
          </w:tcPr>
          <w:p>
            <w:pPr>
              <w:spacing w:after="30" w:before="30"/>
            </w:pPr>
            <w:r>
              <w:rPr>
                <w:color w:val="182230"/>
                <w:sz w:val="14"/>
              </w:rPr>
              <w:t>Route, source, DOI et modèle</w:t>
            </w:r>
          </w:p>
        </w:tc>
        <w:tc>
          <w:tcPr>
            <w:tcW w:type="dxa" w:w="3458"/>
            <w:shd w:fill="F6F8FB"/>
            <w:vAlign w:val="center"/>
            <w:tcBorders>
              <w:bottom w:val="single" w:sz="4" w:color="D8E1EC"/>
            </w:tcBorders>
          </w:tcPr>
          <w:p>
            <w:pPr>
              <w:spacing w:after="30" w:before="30"/>
            </w:pPr>
            <w:r>
              <w:rPr>
                <w:color w:val="182230"/>
                <w:sz w:val="14"/>
              </w:rPr>
              <w:t>Vérifier grade, milieu et fenêtre</w:t>
            </w:r>
          </w:p>
        </w:tc>
      </w:tr>
      <w:tr>
        <w:trPr>
          <w:cantSplit/>
        </w:trPr>
        <w:tc>
          <w:tcPr>
            <w:tcW w:type="dxa" w:w="2948"/>
            <w:vAlign w:val="center"/>
            <w:tcBorders>
              <w:bottom w:val="single" w:sz="4" w:color="D8E1EC"/>
            </w:tcBorders>
          </w:tcPr>
          <w:p>
            <w:pPr>
              <w:spacing w:after="30" w:before="30"/>
            </w:pPr>
            <w:r>
              <w:rPr>
                <w:color w:val="182230"/>
                <w:sz w:val="14"/>
              </w:rPr>
              <w:t>Quelle erreur a été mesurée ?</w:t>
            </w:r>
          </w:p>
        </w:tc>
        <w:tc>
          <w:tcPr>
            <w:tcW w:type="dxa" w:w="2891"/>
            <w:vAlign w:val="center"/>
            <w:tcBorders>
              <w:bottom w:val="single" w:sz="4" w:color="D8E1EC"/>
            </w:tcBorders>
          </w:tcPr>
          <w:p>
            <w:pPr>
              <w:spacing w:after="30" w:before="30"/>
            </w:pPr>
            <w:r>
              <w:rPr>
                <w:color w:val="182230"/>
                <w:sz w:val="14"/>
              </w:rPr>
              <w:t>MAPE, maximum, R², groupes masqués</w:t>
            </w:r>
          </w:p>
        </w:tc>
        <w:tc>
          <w:tcPr>
            <w:tcW w:type="dxa" w:w="3458"/>
            <w:vAlign w:val="center"/>
            <w:tcBorders>
              <w:bottom w:val="single" w:sz="4" w:color="D8E1EC"/>
            </w:tcBorders>
          </w:tcPr>
          <w:p>
            <w:pPr>
              <w:spacing w:after="30" w:before="30"/>
            </w:pPr>
            <w:r>
              <w:rPr>
                <w:color w:val="182230"/>
                <w:sz w:val="14"/>
              </w:rPr>
              <w:t>Ne pas utiliser un score d'une autre route</w:t>
            </w:r>
          </w:p>
        </w:tc>
      </w:tr>
      <w:tr>
        <w:trPr>
          <w:cantSplit/>
        </w:trPr>
        <w:tc>
          <w:tcPr>
            <w:tcW w:type="dxa" w:w="2948"/>
            <w:shd w:fill="F6F8FB"/>
            <w:vAlign w:val="center"/>
            <w:tcBorders>
              <w:bottom w:val="single" w:sz="4" w:color="D8E1EC"/>
            </w:tcBorders>
          </w:tcPr>
          <w:p>
            <w:pPr>
              <w:spacing w:after="30" w:before="30"/>
            </w:pPr>
            <w:r>
              <w:rPr>
                <w:color w:val="182230"/>
                <w:sz w:val="14"/>
              </w:rPr>
              <w:t>Que représentent les bornes ?</w:t>
            </w:r>
          </w:p>
        </w:tc>
        <w:tc>
          <w:tcPr>
            <w:tcW w:type="dxa" w:w="2891"/>
            <w:shd w:fill="F6F8FB"/>
            <w:vAlign w:val="center"/>
            <w:tcBorders>
              <w:bottom w:val="single" w:sz="4" w:color="D8E1EC"/>
            </w:tcBorders>
          </w:tcPr>
          <w:p>
            <w:pPr>
              <w:spacing w:after="30" w:before="30"/>
            </w:pPr>
            <w:r>
              <w:rPr>
                <w:color w:val="182230"/>
                <w:sz w:val="14"/>
              </w:rPr>
              <w:t>Type d'incertitude et méthode</w:t>
            </w:r>
          </w:p>
        </w:tc>
        <w:tc>
          <w:tcPr>
            <w:tcW w:type="dxa" w:w="3458"/>
            <w:shd w:fill="F6F8FB"/>
            <w:vAlign w:val="center"/>
            <w:tcBorders>
              <w:bottom w:val="single" w:sz="4" w:color="D8E1EC"/>
            </w:tcBorders>
          </w:tcPr>
          <w:p>
            <w:pPr>
              <w:spacing w:after="30" w:before="30"/>
            </w:pPr>
            <w:r>
              <w:rPr>
                <w:color w:val="182230"/>
                <w:sz w:val="14"/>
              </w:rPr>
              <w:t>Scénario, dispersion ou intervalle calibré</w:t>
            </w:r>
          </w:p>
        </w:tc>
      </w:tr>
      <w:tr>
        <w:trPr>
          <w:cantSplit/>
        </w:trPr>
        <w:tc>
          <w:tcPr>
            <w:tcW w:type="dxa" w:w="2948"/>
            <w:vAlign w:val="center"/>
            <w:tcBorders>
              <w:bottom w:val="single" w:sz="4" w:color="D8E1EC"/>
            </w:tcBorders>
          </w:tcPr>
          <w:p>
            <w:pPr>
              <w:spacing w:after="30" w:before="30"/>
            </w:pPr>
            <w:r>
              <w:rPr>
                <w:color w:val="182230"/>
                <w:sz w:val="14"/>
              </w:rPr>
              <w:t>Le cas est-il dans le domaine ?</w:t>
            </w:r>
          </w:p>
        </w:tc>
        <w:tc>
          <w:tcPr>
            <w:tcW w:type="dxa" w:w="2891"/>
            <w:vAlign w:val="center"/>
            <w:tcBorders>
              <w:bottom w:val="single" w:sz="4" w:color="D8E1EC"/>
            </w:tcBorders>
          </w:tcPr>
          <w:p>
            <w:pPr>
              <w:spacing w:after="30" w:before="30"/>
            </w:pPr>
            <w:r>
              <w:rPr>
                <w:color w:val="182230"/>
                <w:sz w:val="14"/>
              </w:rPr>
              <w:t>T, HR, e, milieu, grade, horizon</w:t>
            </w:r>
          </w:p>
        </w:tc>
        <w:tc>
          <w:tcPr>
            <w:tcW w:type="dxa" w:w="3458"/>
            <w:vAlign w:val="center"/>
            <w:tcBorders>
              <w:bottom w:val="single" w:sz="4" w:color="D8E1EC"/>
            </w:tcBorders>
          </w:tcPr>
          <w:p>
            <w:pPr>
              <w:spacing w:after="30" w:before="30"/>
            </w:pPr>
            <w:r>
              <w:rPr>
                <w:color w:val="182230"/>
                <w:sz w:val="14"/>
              </w:rPr>
              <w:t>Refuser la durée si une condition critique échoue</w:t>
            </w:r>
          </w:p>
        </w:tc>
      </w:tr>
      <w:tr>
        <w:trPr>
          <w:cantSplit/>
        </w:trPr>
        <w:tc>
          <w:tcPr>
            <w:tcW w:type="dxa" w:w="2948"/>
            <w:shd w:fill="F6F8FB"/>
            <w:vAlign w:val="center"/>
            <w:tcBorders>
              <w:bottom w:val="single" w:sz="4" w:color="D8E1EC"/>
            </w:tcBorders>
          </w:tcPr>
          <w:p>
            <w:pPr>
              <w:spacing w:after="30" w:before="30"/>
            </w:pPr>
            <w:r>
              <w:rPr>
                <w:color w:val="182230"/>
                <w:sz w:val="14"/>
              </w:rPr>
              <w:t>Le résultat est-il externe ?</w:t>
            </w:r>
          </w:p>
        </w:tc>
        <w:tc>
          <w:tcPr>
            <w:tcW w:type="dxa" w:w="2891"/>
            <w:shd w:fill="F6F8FB"/>
            <w:vAlign w:val="center"/>
            <w:tcBorders>
              <w:bottom w:val="single" w:sz="4" w:color="D8E1EC"/>
            </w:tcBorders>
          </w:tcPr>
          <w:p>
            <w:pPr>
              <w:spacing w:after="30" w:before="30"/>
            </w:pPr>
            <w:r>
              <w:rPr>
                <w:color w:val="182230"/>
                <w:sz w:val="14"/>
              </w:rPr>
              <w:t>Niveau de preuve et sources indépendantes</w:t>
            </w:r>
          </w:p>
        </w:tc>
        <w:tc>
          <w:tcPr>
            <w:tcW w:type="dxa" w:w="3458"/>
            <w:shd w:fill="F6F8FB"/>
            <w:vAlign w:val="center"/>
            <w:tcBorders>
              <w:bottom w:val="single" w:sz="4" w:color="D8E1EC"/>
            </w:tcBorders>
          </w:tcPr>
          <w:p>
            <w:pPr>
              <w:spacing w:after="30" w:before="30"/>
            </w:pPr>
            <w:r>
              <w:rPr>
                <w:color w:val="182230"/>
                <w:sz w:val="14"/>
              </w:rPr>
              <w:t>Interne ≠ qualification</w:t>
            </w:r>
          </w:p>
        </w:tc>
      </w:tr>
      <w:tr>
        <w:trPr>
          <w:cantSplit/>
        </w:trPr>
        <w:tc>
          <w:tcPr>
            <w:tcW w:type="dxa" w:w="2948"/>
            <w:vAlign w:val="center"/>
            <w:tcBorders>
              <w:bottom w:val="single" w:sz="4" w:color="D8E1EC"/>
            </w:tcBorders>
          </w:tcPr>
          <w:p>
            <w:pPr>
              <w:spacing w:after="30" w:before="30"/>
            </w:pPr>
            <w:r>
              <w:rPr>
                <w:color w:val="182230"/>
                <w:sz w:val="14"/>
              </w:rPr>
              <w:t>Le seuil est-il atteint ?</w:t>
            </w:r>
          </w:p>
        </w:tc>
        <w:tc>
          <w:tcPr>
            <w:tcW w:type="dxa" w:w="2891"/>
            <w:vAlign w:val="center"/>
            <w:tcBorders>
              <w:bottom w:val="single" w:sz="4" w:color="D8E1EC"/>
            </w:tcBorders>
          </w:tcPr>
          <w:p>
            <w:pPr>
              <w:spacing w:after="30" w:before="30"/>
            </w:pPr>
            <w:r>
              <w:rPr>
                <w:color w:val="182230"/>
                <w:sz w:val="14"/>
              </w:rPr>
              <w:t>Premier franchissement dans l'horizon</w:t>
            </w:r>
          </w:p>
        </w:tc>
        <w:tc>
          <w:tcPr>
            <w:tcW w:type="dxa" w:w="3458"/>
            <w:vAlign w:val="center"/>
            <w:tcBorders>
              <w:bottom w:val="single" w:sz="4" w:color="D8E1EC"/>
            </w:tcBorders>
          </w:tcPr>
          <w:p>
            <w:pPr>
              <w:spacing w:after="30" w:before="30"/>
            </w:pPr>
            <w:r>
              <w:rPr>
                <w:color w:val="182230"/>
                <w:sz w:val="14"/>
              </w:rPr>
              <w:t>Non atteint ≠ durée infinie</w:t>
            </w:r>
          </w:p>
        </w:tc>
      </w:tr>
      <w:tr>
        <w:trPr>
          <w:cantSplit/>
        </w:trPr>
        <w:tc>
          <w:tcPr>
            <w:tcW w:type="dxa" w:w="2948"/>
            <w:shd w:fill="F6F8FB"/>
            <w:vAlign w:val="center"/>
            <w:tcBorders>
              <w:bottom w:val="single" w:sz="4" w:color="D8E1EC"/>
            </w:tcBorders>
          </w:tcPr>
          <w:p>
            <w:pPr>
              <w:spacing w:after="30" w:before="30"/>
            </w:pPr>
            <w:r>
              <w:rPr>
                <w:color w:val="182230"/>
                <w:sz w:val="14"/>
              </w:rPr>
              <w:t>Quelle expérience réduit le plus l'incertitude ?</w:t>
            </w:r>
          </w:p>
        </w:tc>
        <w:tc>
          <w:tcPr>
            <w:tcW w:type="dxa" w:w="2891"/>
            <w:shd w:fill="F6F8FB"/>
            <w:vAlign w:val="center"/>
            <w:tcBorders>
              <w:bottom w:val="single" w:sz="4" w:color="D8E1EC"/>
            </w:tcBorders>
          </w:tcPr>
          <w:p>
            <w:pPr>
              <w:spacing w:after="30" w:before="30"/>
            </w:pPr>
            <w:r>
              <w:rPr>
                <w:color w:val="182230"/>
                <w:sz w:val="14"/>
              </w:rPr>
              <w:t>Actions suivantes</w:t>
            </w:r>
          </w:p>
        </w:tc>
        <w:tc>
          <w:tcPr>
            <w:tcW w:type="dxa" w:w="3458"/>
            <w:shd w:fill="F6F8FB"/>
            <w:vAlign w:val="center"/>
            <w:tcBorders>
              <w:bottom w:val="single" w:sz="4" w:color="D8E1EC"/>
            </w:tcBorders>
          </w:tcPr>
          <w:p>
            <w:pPr>
              <w:spacing w:after="30" w:before="30"/>
            </w:pPr>
            <w:r>
              <w:rPr>
                <w:color w:val="182230"/>
                <w:sz w:val="14"/>
              </w:rPr>
              <w:t>Mesurer le paramètre ou domaine manquant</w:t>
            </w:r>
          </w:p>
        </w:tc>
      </w:tr>
    </w:tbl>
    <w:p>
      <w:pPr>
        <w:spacing w:after="0"/>
      </w:pPr>
    </w:p>
    <w:tbl>
      <w:tblPr>
        <w:tblW w:type="auto" w:w="0"/>
        <w:tblLayout w:type="fixed"/>
        <w:tblLook w:firstColumn="1" w:firstRow="1" w:lastColumn="0" w:lastRow="0" w:noHBand="0" w:noVBand="1" w:val="04A0"/>
      </w:tblPr>
      <w:tblGrid>
        <w:gridCol w:w="102"/>
        <w:gridCol w:w="9298"/>
      </w:tblGrid>
      <w:tr>
        <w:tc>
          <w:tcPr>
            <w:tcW w:type="dxa" w:w="4933"/>
            <w:shd w:fill="168A8A"/>
            <w:tcBorders>
              <w:top w:val="nil"/>
              <w:left w:val="nil"/>
              <w:bottom w:val="nil"/>
              <w:right w:val="nil"/>
            </w:tcBorders>
          </w:tcPr>
          <w:p/>
        </w:tc>
        <w:tc>
          <w:tcPr>
            <w:tcW w:type="dxa" w:w="4933"/>
            <w:shd w:fill="EAF7F6"/>
            <w:tcBorders>
              <w:top w:val="nil"/>
              <w:left w:val="nil"/>
              <w:bottom w:val="nil"/>
              <w:right w:val="nil"/>
            </w:tcBorders>
          </w:tcPr>
          <w:p>
            <w:pPr>
              <w:spacing w:after="40"/>
            </w:pPr>
            <w:r>
              <w:rPr>
                <w:b/>
                <w:color w:val="168A8A"/>
              </w:rPr>
              <w:t xml:space="preserve">Valeur à communiquer  </w:t>
            </w:r>
            <w:r>
              <w:t>Toujours transmettre ensemble la valeur centrale, les bornes, le niveau de preuve, le domaine d'emploi et la source. Une valeur isolée en MPa ou en années n'est pas un résultat scientifique complet.</w:t>
            </w:r>
          </w:p>
        </w:tc>
      </w:tr>
    </w:tbl>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5D6B7E"/>
        <w:sz w:val="15"/>
      </w:rPr>
      <w:t>SEAMAT 3.1  |  RAPPORT SCIENTIFIQUE MTX3A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822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864C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6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i/>
      <w:iCs/>
      <w:color w:val="5D6B7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jc w:val="center"/>
    </w:pPr>
    <w:rPr>
      <w:rFonts w:ascii="Arial" w:hAnsi="Arial"/>
      <w:b/>
      <w:bCs/>
      <w:i/>
      <w:color w:val="5D6B7E"/>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Prédiction du vieillissement des polymères - SeaMat 3.1</dc:title>
  <dc:subject>Rapport scientifique MTX3A</dc:subject>
  <dc:creator>Mathieu Valentin</dc:creator>
  <cp:keywords>polymères, vieillissement, intelligence artificielle, Arrhenius, Fick, validation</cp:keywords>
  <dc:description>Rapport généré à partir des sources et audits traçables de SeaMat 3.1.</dc:description>
  <cp:lastModifiedBy/>
  <cp:revision>1</cp:revision>
  <dcterms:created xsi:type="dcterms:W3CDTF">2013-12-23T23:15:00Z</dcterms:created>
  <dcterms:modified xsi:type="dcterms:W3CDTF">2013-12-23T23:15:00Z</dcterms:modified>
  <cp:category/>
</cp:coreProperties>
</file>