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Smalllabel"/>
        <w:spacing w:before="1600"/>
        <w:jc w:val="center"/>
      </w:pPr>
      <w:r>
        <w:t>VERSION 0.38.0  |  OCTOBRE 2026</w:t>
      </w:r>
    </w:p>
    <w:p>
      <w:pPr>
        <w:pStyle w:val="Title"/>
        <w:jc w:val="center"/>
      </w:pPr>
      <w:r>
        <w:t>GUIDE UTILISATEUR MATERIA</w:t>
      </w:r>
    </w:p>
    <w:p>
      <w:pPr>
        <w:pStyle w:val="Subtitle"/>
        <w:spacing w:after="480"/>
        <w:jc w:val="center"/>
      </w:pPr>
      <w:r>
        <w:t>Utiliser le logiciel et interpréter les projections de vieillissement des matériaux</w:t>
      </w:r>
    </w:p>
    <w:p>
      <w:pPr>
        <w:jc w:val="center"/>
      </w:pPr>
      <w:r>
        <w:rPr>
          <w:color w:val="60708B"/>
          <w:sz w:val="22"/>
        </w:rPr>
        <w:t>Manuel complet pour les étudiants, enseignants et responsables de projets. Ce guide explique les deux parcours de calcul, la lecture des courbes, les preuves, les limites scientifiques et les exports.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c>
          <w:tcPr>
            <w:tcW w:type="dxa" w:w="4939"/>
            <w:tcMar>
              <w:top w:w="120" w:type="dxa"/>
              <w:start w:w="110" w:type="dxa"/>
              <w:bottom w:w="120" w:type="dxa"/>
              <w:end w:w="110" w:type="dxa"/>
            </w:tcMar>
            <w:shd w:fill="EEF4FD"/>
            <w:vAlign w:val="center"/>
          </w:tcPr>
          <w:p>
            <w:r>
              <w:rPr>
                <w:b/>
                <w:color w:val="16315C"/>
                <w:sz w:val="18"/>
              </w:rPr>
              <w:t>Logiciel</w:t>
            </w:r>
          </w:p>
        </w:tc>
        <w:tc>
          <w:tcPr>
            <w:tcW w:type="dxa" w:w="4939"/>
            <w:tcMar>
              <w:top w:w="120" w:type="dxa"/>
              <w:start w:w="110" w:type="dxa"/>
              <w:bottom w:w="120" w:type="dxa"/>
              <w:end w:w="110" w:type="dxa"/>
            </w:tcMar>
            <w:shd w:fill="FFFFFF"/>
            <w:vAlign w:val="center"/>
          </w:tcPr>
          <w:p>
            <w:r>
              <w:rPr>
                <w:b w:val="0"/>
                <w:sz w:val="18"/>
              </w:rPr>
              <w:t>Materia 0.38.0</w:t>
            </w:r>
          </w:p>
        </w:tc>
      </w:tr>
      <w:tr>
        <w:tc>
          <w:tcPr>
            <w:tcW w:type="dxa" w:w="4939"/>
            <w:tcMar>
              <w:top w:w="120" w:type="dxa"/>
              <w:start w:w="110" w:type="dxa"/>
              <w:bottom w:w="120" w:type="dxa"/>
              <w:end w:w="110" w:type="dxa"/>
            </w:tcMar>
            <w:shd w:fill="EEF4FD"/>
            <w:vAlign w:val="center"/>
          </w:tcPr>
          <w:p>
            <w:r>
              <w:rPr>
                <w:b/>
                <w:color w:val="16315C"/>
                <w:sz w:val="18"/>
              </w:rPr>
              <w:t>Public</w:t>
            </w:r>
          </w:p>
        </w:tc>
        <w:tc>
          <w:tcPr>
            <w:tcW w:type="dxa" w:w="4939"/>
            <w:tcMar>
              <w:top w:w="120" w:type="dxa"/>
              <w:start w:w="110" w:type="dxa"/>
              <w:bottom w:w="120" w:type="dxa"/>
              <w:end w:w="110" w:type="dxa"/>
            </w:tcMar>
            <w:shd w:fill="FFFFFF"/>
            <w:vAlign w:val="center"/>
          </w:tcPr>
          <w:p>
            <w:r>
              <w:rPr>
                <w:b w:val="0"/>
                <w:sz w:val="18"/>
              </w:rPr>
              <w:t>Étudiants, enseignants, chercheurs</w:t>
            </w:r>
          </w:p>
        </w:tc>
      </w:tr>
      <w:tr>
        <w:tc>
          <w:tcPr>
            <w:tcW w:type="dxa" w:w="4939"/>
            <w:tcMar>
              <w:top w:w="120" w:type="dxa"/>
              <w:start w:w="110" w:type="dxa"/>
              <w:bottom w:w="120" w:type="dxa"/>
              <w:end w:w="110" w:type="dxa"/>
            </w:tcMar>
            <w:shd w:fill="EEF4FD"/>
            <w:vAlign w:val="center"/>
          </w:tcPr>
          <w:p>
            <w:r>
              <w:rPr>
                <w:b/>
                <w:color w:val="16315C"/>
                <w:sz w:val="18"/>
              </w:rPr>
              <w:t>Propriété suivie</w:t>
            </w:r>
          </w:p>
        </w:tc>
        <w:tc>
          <w:tcPr>
            <w:tcW w:type="dxa" w:w="4939"/>
            <w:tcMar>
              <w:top w:w="120" w:type="dxa"/>
              <w:start w:w="110" w:type="dxa"/>
              <w:bottom w:w="120" w:type="dxa"/>
              <w:end w:w="110" w:type="dxa"/>
            </w:tcMar>
            <w:shd w:fill="FFFFFF"/>
            <w:vAlign w:val="center"/>
          </w:tcPr>
          <w:p>
            <w:r>
              <w:rPr>
                <w:b w:val="0"/>
                <w:sz w:val="18"/>
              </w:rPr>
              <w:t>Module de Young en MPa</w:t>
            </w:r>
          </w:p>
        </w:tc>
      </w:tr>
      <w:tr>
        <w:tc>
          <w:tcPr>
            <w:tcW w:type="dxa" w:w="4939"/>
            <w:tcMar>
              <w:top w:w="120" w:type="dxa"/>
              <w:start w:w="110" w:type="dxa"/>
              <w:bottom w:w="120" w:type="dxa"/>
              <w:end w:w="110" w:type="dxa"/>
            </w:tcMar>
            <w:shd w:fill="EEF4FD"/>
            <w:vAlign w:val="center"/>
          </w:tcPr>
          <w:p>
            <w:r>
              <w:rPr>
                <w:b/>
                <w:color w:val="16315C"/>
                <w:sz w:val="18"/>
              </w:rPr>
              <w:t>Périmètre</w:t>
            </w:r>
          </w:p>
        </w:tc>
        <w:tc>
          <w:tcPr>
            <w:tcW w:type="dxa" w:w="4939"/>
            <w:tcMar>
              <w:top w:w="120" w:type="dxa"/>
              <w:start w:w="110" w:type="dxa"/>
              <w:bottom w:w="120" w:type="dxa"/>
              <w:end w:w="110" w:type="dxa"/>
            </w:tcMar>
            <w:shd w:fill="FFFFFF"/>
            <w:vAlign w:val="center"/>
          </w:tcPr>
          <w:p>
            <w:r>
              <w:rPr>
                <w:b w:val="0"/>
                <w:sz w:val="18"/>
              </w:rPr>
              <w:t>Polymères et composites du catalogue</w:t>
            </w:r>
          </w:p>
        </w:tc>
      </w:tr>
      <w:tr>
        <w:tc>
          <w:tcPr>
            <w:tcW w:type="dxa" w:w="4939"/>
            <w:tcMar>
              <w:top w:w="120" w:type="dxa"/>
              <w:start w:w="110" w:type="dxa"/>
              <w:bottom w:w="120" w:type="dxa"/>
              <w:end w:w="110" w:type="dxa"/>
            </w:tcMar>
            <w:shd w:fill="EEF4FD"/>
            <w:vAlign w:val="center"/>
          </w:tcPr>
          <w:p>
            <w:r>
              <w:rPr>
                <w:b/>
                <w:color w:val="16315C"/>
                <w:sz w:val="18"/>
              </w:rPr>
              <w:t>Statut</w:t>
            </w:r>
          </w:p>
        </w:tc>
        <w:tc>
          <w:tcPr>
            <w:tcW w:type="dxa" w:w="4939"/>
            <w:tcMar>
              <w:top w:w="120" w:type="dxa"/>
              <w:start w:w="110" w:type="dxa"/>
              <w:bottom w:w="120" w:type="dxa"/>
              <w:end w:w="110" w:type="dxa"/>
            </w:tcMar>
            <w:shd w:fill="FFFFFF"/>
            <w:vAlign w:val="center"/>
          </w:tcPr>
          <w:p>
            <w:r>
              <w:rPr>
                <w:b w:val="0"/>
                <w:sz w:val="18"/>
              </w:rPr>
              <w:t>Outil pédagogique et pilote de recherche</w:t>
            </w:r>
          </w:p>
        </w:tc>
      </w:tr>
    </w:tbl>
    <w:p/>
    <w:p>
      <w:pPr>
        <w:jc w:val="center"/>
      </w:pPr>
      <w:hyperlink r:id="rId13">
        <w:r>
          <w:rPr>
            <w:color w:val="285FC5"/>
            <w:u w:val="single"/>
          </w:rPr>
          <w:t>Dépôt officiel GitHub</w:t>
        </w:r>
      </w:hyperlink>
    </w:p>
    <w:p>
      <w:r>
        <w:br w:type="page"/>
      </w:r>
    </w:p>
    <w:p>
      <w:pPr>
        <w:pStyle w:val="Smalllabel"/>
        <w:spacing w:before="0"/>
      </w:pPr>
      <w:r>
        <w:t>PARTIE 0</w:t>
      </w:r>
    </w:p>
    <w:p>
      <w:pPr>
        <w:pStyle w:val="Heading1"/>
        <w:spacing w:before="0"/>
      </w:pPr>
      <w:r>
        <w:t>Comment utiliser ce guide</w:t>
      </w:r>
    </w:p>
    <w:p>
      <w:pPr>
        <w:spacing w:after="200"/>
        <w:keepLines/>
      </w:pPr>
      <w:r>
        <w:rPr>
          <w:color w:val="60708B"/>
          <w:sz w:val="21"/>
        </w:rPr>
        <w:t>Commencez par le parcours rapide, puis revenez aux chapitres d'interprétation avant d'utiliser un résultat.</w:t>
      </w:r>
    </w:p>
    <w:p>
      <w:r>
        <w:rPr>
          <w:i w:val="0"/>
        </w:rPr>
        <w:t>Materia produit une estimation avant essai et permet ensuite de la confronter à des mesures. Le logiciel fournit toujours une courbe centrale, mais la confiance associée dépend des sources disponibles et de la proximité entre le scénario et les données publiées.</w:t>
      </w:r>
    </w:p>
    <w:p>
      <w:pPr>
        <w:spacing w:before="100" w:after="100"/>
      </w:pPr>
      <w:r>
        <w:rPr>
          <w:b/>
          <w:color w:val="16315C"/>
        </w:rPr>
        <w:t xml:space="preserve">Résultat de travail. </w:t>
      </w:r>
      <w:r>
        <w:t>Pour comparer des scénarios, retenez la courbe centrale P50 ou la valeur centrale affichée.</w:t>
      </w:r>
    </w:p>
    <w:p>
      <w:pPr>
        <w:spacing w:before="100" w:after="100"/>
      </w:pPr>
      <w:r>
        <w:rPr>
          <w:b/>
          <w:color w:val="16315C"/>
        </w:rPr>
        <w:t xml:space="preserve">Scénario prudent. </w:t>
      </w:r>
      <w:r>
        <w:t>Utilisez la borne basse ou le P10 uniquement comme hypothèse prudente de recherche, jamais comme garantie.</w:t>
      </w:r>
    </w:p>
    <w:p>
      <w:pPr>
        <w:spacing w:before="100" w:after="100"/>
      </w:pPr>
      <w:r>
        <w:rPr>
          <w:b/>
          <w:color w:val="16315C"/>
        </w:rPr>
        <w:t xml:space="preserve">Dimensionnement. </w:t>
      </w:r>
      <w:r>
        <w:t>Aucun résultat Materia ne remplace des essais représentatifs, une norme de qualification ou une analyse de sécurité.</w:t>
      </w:r>
    </w:p>
    <w:p>
      <w:pPr>
        <w:pStyle w:val="Heading2"/>
      </w:pPr>
      <w:r>
        <w:t>Sommaire</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680"/>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Partie</w:t>
            </w:r>
          </w:p>
        </w:tc>
        <w:tc>
          <w:tcPr>
            <w:tcW w:type="dxa" w:w="362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Sujet</w:t>
            </w:r>
          </w:p>
        </w:tc>
        <w:tc>
          <w:tcPr>
            <w:tcW w:type="dxa" w:w="4706"/>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Objectif</w:t>
            </w:r>
          </w:p>
        </w:tc>
      </w:tr>
      <w:tr>
        <w:tc>
          <w:tcPr>
            <w:tcW w:type="dxa" w:w="680"/>
            <w:shd w:fill="FFFFFF"/>
            <w:tcMar>
              <w:top w:w="90" w:type="dxa"/>
              <w:start w:w="110" w:type="dxa"/>
              <w:bottom w:w="90" w:type="dxa"/>
              <w:end w:w="110" w:type="dxa"/>
            </w:tcMar>
            <w:vAlign w:val="center"/>
          </w:tcPr>
          <w:p>
            <w:pPr>
              <w:spacing w:after="0"/>
              <w:jc w:val="left"/>
            </w:pPr>
            <w:r>
              <w:rPr>
                <w:rFonts w:ascii="Helvetica Neue" w:hAnsi="Helvetica Neue"/>
                <w:sz w:val="16"/>
              </w:rPr>
              <w:t>1</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Installer et ouvrir Materia</w:t>
            </w:r>
          </w:p>
        </w:tc>
        <w:tc>
          <w:tcPr>
            <w:tcW w:type="dxa" w:w="4706"/>
            <w:shd w:fill="FFFFFF"/>
            <w:tcMar>
              <w:top w:w="90" w:type="dxa"/>
              <w:start w:w="110" w:type="dxa"/>
              <w:bottom w:w="90" w:type="dxa"/>
              <w:end w:w="110" w:type="dxa"/>
            </w:tcMar>
            <w:vAlign w:val="center"/>
          </w:tcPr>
          <w:p>
            <w:pPr>
              <w:spacing w:after="0"/>
              <w:jc w:val="left"/>
            </w:pPr>
            <w:r>
              <w:rPr>
                <w:rFonts w:ascii="Helvetica Neue" w:hAnsi="Helvetica Neue"/>
                <w:sz w:val="16"/>
              </w:rPr>
              <w:t>Windows, macOS, accès partagé</w:t>
            </w:r>
          </w:p>
        </w:tc>
      </w:tr>
      <w:tr>
        <w:tc>
          <w:tcPr>
            <w:tcW w:type="dxa" w:w="680"/>
            <w:shd w:fill="F5F8FC"/>
            <w:tcMar>
              <w:top w:w="90" w:type="dxa"/>
              <w:start w:w="110" w:type="dxa"/>
              <w:bottom w:w="90" w:type="dxa"/>
              <w:end w:w="110" w:type="dxa"/>
            </w:tcMar>
            <w:vAlign w:val="center"/>
          </w:tcPr>
          <w:p>
            <w:pPr>
              <w:spacing w:after="0"/>
              <w:jc w:val="left"/>
            </w:pPr>
            <w:r>
              <w:rPr>
                <w:rFonts w:ascii="Helvetica Neue" w:hAnsi="Helvetica Neue"/>
                <w:sz w:val="16"/>
              </w:rPr>
              <w:t>2</w:t>
            </w:r>
          </w:p>
        </w:tc>
        <w:tc>
          <w:tcPr>
            <w:tcW w:type="dxa" w:w="3628"/>
            <w:shd w:fill="F5F8FC"/>
            <w:tcMar>
              <w:top w:w="90" w:type="dxa"/>
              <w:start w:w="110" w:type="dxa"/>
              <w:bottom w:w="90" w:type="dxa"/>
              <w:end w:w="110" w:type="dxa"/>
            </w:tcMar>
            <w:vAlign w:val="center"/>
          </w:tcPr>
          <w:p>
            <w:pPr>
              <w:spacing w:after="0"/>
              <w:jc w:val="left"/>
            </w:pPr>
            <w:r>
              <w:rPr>
                <w:rFonts w:ascii="Helvetica Neue" w:hAnsi="Helvetica Neue"/>
                <w:sz w:val="16"/>
              </w:rPr>
              <w:t>Se repérer dans l'interface</w:t>
            </w:r>
          </w:p>
        </w:tc>
        <w:tc>
          <w:tcPr>
            <w:tcW w:type="dxa" w:w="4706"/>
            <w:shd w:fill="F5F8FC"/>
            <w:tcMar>
              <w:top w:w="90" w:type="dxa"/>
              <w:start w:w="110" w:type="dxa"/>
              <w:bottom w:w="90" w:type="dxa"/>
              <w:end w:w="110" w:type="dxa"/>
            </w:tcMar>
            <w:vAlign w:val="center"/>
          </w:tcPr>
          <w:p>
            <w:pPr>
              <w:spacing w:after="0"/>
              <w:jc w:val="left"/>
            </w:pPr>
            <w:r>
              <w:rPr>
                <w:rFonts w:ascii="Helvetica Neue" w:hAnsi="Helvetica Neue"/>
                <w:sz w:val="16"/>
              </w:rPr>
              <w:t>Accueil, navigation et comptes</w:t>
            </w:r>
          </w:p>
        </w:tc>
      </w:tr>
      <w:tr>
        <w:tc>
          <w:tcPr>
            <w:tcW w:type="dxa" w:w="680"/>
            <w:shd w:fill="FFFFFF"/>
            <w:tcMar>
              <w:top w:w="90" w:type="dxa"/>
              <w:start w:w="110" w:type="dxa"/>
              <w:bottom w:w="90" w:type="dxa"/>
              <w:end w:w="110" w:type="dxa"/>
            </w:tcMar>
            <w:vAlign w:val="center"/>
          </w:tcPr>
          <w:p>
            <w:pPr>
              <w:spacing w:after="0"/>
              <w:jc w:val="left"/>
            </w:pPr>
            <w:r>
              <w:rPr>
                <w:rFonts w:ascii="Helvetica Neue" w:hAnsi="Helvetica Neue"/>
                <w:sz w:val="16"/>
              </w:rPr>
              <w:t>3</w:t>
            </w:r>
          </w:p>
        </w:tc>
        <w:tc>
          <w:tcPr>
            <w:tcW w:type="dxa" w:w="3628"/>
            <w:shd w:fill="FFFFFF"/>
            <w:tcMar>
              <w:top w:w="90" w:type="dxa"/>
              <w:start w:w="110" w:type="dxa"/>
              <w:bottom w:w="90" w:type="dxa"/>
              <w:end w:w="110" w:type="dxa"/>
            </w:tcMar>
            <w:vAlign w:val="center"/>
          </w:tcPr>
          <w:p>
            <w:pPr>
              <w:spacing w:after="0"/>
              <w:jc w:val="center"/>
            </w:pPr>
            <w:r>
              <w:rPr>
                <w:rFonts w:ascii="Helvetica Neue" w:hAnsi="Helvetica Neue"/>
                <w:sz w:val="16"/>
              </w:rPr>
              <w:t>Explorer le catalogue</w:t>
            </w:r>
          </w:p>
        </w:tc>
        <w:tc>
          <w:tcPr>
            <w:tcW w:type="dxa" w:w="4706"/>
            <w:shd w:fill="FFFFFF"/>
            <w:tcMar>
              <w:top w:w="90" w:type="dxa"/>
              <w:start w:w="110" w:type="dxa"/>
              <w:bottom w:w="90" w:type="dxa"/>
              <w:end w:w="110" w:type="dxa"/>
            </w:tcMar>
            <w:vAlign w:val="center"/>
          </w:tcPr>
          <w:p>
            <w:pPr>
              <w:spacing w:after="0"/>
              <w:jc w:val="left"/>
            </w:pPr>
            <w:r>
              <w:rPr>
                <w:rFonts w:ascii="Helvetica Neue" w:hAnsi="Helvetica Neue"/>
                <w:sz w:val="16"/>
              </w:rPr>
              <w:t>Matériaux, propriétés et preuves</w:t>
            </w:r>
          </w:p>
        </w:tc>
      </w:tr>
      <w:tr>
        <w:tc>
          <w:tcPr>
            <w:tcW w:type="dxa" w:w="680"/>
            <w:shd w:fill="F5F8FC"/>
            <w:tcMar>
              <w:top w:w="90" w:type="dxa"/>
              <w:start w:w="110" w:type="dxa"/>
              <w:bottom w:w="90" w:type="dxa"/>
              <w:end w:w="110" w:type="dxa"/>
            </w:tcMar>
            <w:vAlign w:val="center"/>
          </w:tcPr>
          <w:p>
            <w:pPr>
              <w:spacing w:after="0"/>
              <w:jc w:val="left"/>
            </w:pPr>
            <w:r>
              <w:rPr>
                <w:rFonts w:ascii="Helvetica Neue" w:hAnsi="Helvetica Neue"/>
                <w:sz w:val="16"/>
              </w:rPr>
              <w:t>4</w:t>
            </w:r>
          </w:p>
        </w:tc>
        <w:tc>
          <w:tcPr>
            <w:tcW w:type="dxa" w:w="3628"/>
            <w:shd w:fill="F5F8FC"/>
            <w:tcMar>
              <w:top w:w="90" w:type="dxa"/>
              <w:start w:w="110" w:type="dxa"/>
              <w:bottom w:w="90" w:type="dxa"/>
              <w:end w:w="110" w:type="dxa"/>
            </w:tcMar>
            <w:vAlign w:val="center"/>
          </w:tcPr>
          <w:p>
            <w:pPr>
              <w:spacing w:after="0"/>
              <w:jc w:val="center"/>
            </w:pPr>
            <w:r>
              <w:rPr>
                <w:rFonts w:ascii="Helvetica Neue" w:hAnsi="Helvetica Neue"/>
                <w:sz w:val="16"/>
              </w:rPr>
              <w:t>Choisir un parcours</w:t>
            </w:r>
          </w:p>
        </w:tc>
        <w:tc>
          <w:tcPr>
            <w:tcW w:type="dxa" w:w="4706"/>
            <w:shd w:fill="F5F8FC"/>
            <w:tcMar>
              <w:top w:w="90" w:type="dxa"/>
              <w:start w:w="110" w:type="dxa"/>
              <w:bottom w:w="90" w:type="dxa"/>
              <w:end w:w="110" w:type="dxa"/>
            </w:tcMar>
            <w:vAlign w:val="center"/>
          </w:tcPr>
          <w:p>
            <w:pPr>
              <w:spacing w:after="0"/>
              <w:jc w:val="left"/>
            </w:pPr>
            <w:r>
              <w:rPr>
                <w:rFonts w:ascii="Helvetica Neue" w:hAnsi="Helvetica Neue"/>
                <w:sz w:val="16"/>
              </w:rPr>
              <w:t>Fiche matériau ou mesures publiées</w:t>
            </w:r>
          </w:p>
        </w:tc>
      </w:tr>
      <w:tr>
        <w:tc>
          <w:tcPr>
            <w:tcW w:type="dxa" w:w="680"/>
            <w:shd w:fill="FFFFFF"/>
            <w:tcMar>
              <w:top w:w="90" w:type="dxa"/>
              <w:start w:w="110" w:type="dxa"/>
              <w:bottom w:w="90" w:type="dxa"/>
              <w:end w:w="110" w:type="dxa"/>
            </w:tcMar>
            <w:vAlign w:val="center"/>
          </w:tcPr>
          <w:p>
            <w:pPr>
              <w:spacing w:after="0"/>
              <w:jc w:val="left"/>
            </w:pPr>
            <w:r>
              <w:rPr>
                <w:rFonts w:ascii="Helvetica Neue" w:hAnsi="Helvetica Neue"/>
                <w:sz w:val="16"/>
              </w:rPr>
              <w:t>5</w:t>
            </w:r>
          </w:p>
        </w:tc>
        <w:tc>
          <w:tcPr>
            <w:tcW w:type="dxa" w:w="3628"/>
            <w:shd w:fill="FFFFFF"/>
            <w:tcMar>
              <w:top w:w="90" w:type="dxa"/>
              <w:start w:w="110" w:type="dxa"/>
              <w:bottom w:w="90" w:type="dxa"/>
              <w:end w:w="110" w:type="dxa"/>
            </w:tcMar>
            <w:vAlign w:val="center"/>
          </w:tcPr>
          <w:p>
            <w:pPr>
              <w:spacing w:after="0"/>
              <w:jc w:val="center"/>
            </w:pPr>
            <w:r>
              <w:rPr>
                <w:rFonts w:ascii="Helvetica Neue" w:hAnsi="Helvetica Neue"/>
                <w:sz w:val="16"/>
              </w:rPr>
              <w:t>Créer une projection</w:t>
            </w:r>
          </w:p>
        </w:tc>
        <w:tc>
          <w:tcPr>
            <w:tcW w:type="dxa" w:w="4706"/>
            <w:shd w:fill="FFFFFF"/>
            <w:tcMar>
              <w:top w:w="90" w:type="dxa"/>
              <w:start w:w="110" w:type="dxa"/>
              <w:bottom w:w="90" w:type="dxa"/>
              <w:end w:w="110" w:type="dxa"/>
            </w:tcMar>
            <w:vAlign w:val="center"/>
          </w:tcPr>
          <w:p>
            <w:pPr>
              <w:spacing w:after="0"/>
              <w:jc w:val="left"/>
            </w:pPr>
            <w:r>
              <w:rPr>
                <w:rFonts w:ascii="Helvetica Neue" w:hAnsi="Helvetica Neue"/>
                <w:sz w:val="16"/>
              </w:rPr>
              <w:t>Entrées, conditions et seuil</w:t>
            </w:r>
          </w:p>
        </w:tc>
      </w:tr>
      <w:tr>
        <w:tc>
          <w:tcPr>
            <w:tcW w:type="dxa" w:w="680"/>
            <w:shd w:fill="F5F8FC"/>
            <w:tcMar>
              <w:top w:w="90" w:type="dxa"/>
              <w:start w:w="110" w:type="dxa"/>
              <w:bottom w:w="90" w:type="dxa"/>
              <w:end w:w="110" w:type="dxa"/>
            </w:tcMar>
            <w:vAlign w:val="center"/>
          </w:tcPr>
          <w:p>
            <w:pPr>
              <w:spacing w:after="0"/>
              <w:jc w:val="left"/>
            </w:pPr>
            <w:r>
              <w:rPr>
                <w:rFonts w:ascii="Helvetica Neue" w:hAnsi="Helvetica Neue"/>
                <w:sz w:val="16"/>
              </w:rPr>
              <w:t>6</w:t>
            </w:r>
          </w:p>
        </w:tc>
        <w:tc>
          <w:tcPr>
            <w:tcW w:type="dxa" w:w="3628"/>
            <w:shd w:fill="F5F8FC"/>
            <w:tcMar>
              <w:top w:w="90" w:type="dxa"/>
              <w:start w:w="110" w:type="dxa"/>
              <w:bottom w:w="90" w:type="dxa"/>
              <w:end w:w="110" w:type="dxa"/>
            </w:tcMar>
            <w:vAlign w:val="center"/>
          </w:tcPr>
          <w:p>
            <w:pPr>
              <w:spacing w:after="0"/>
              <w:jc w:val="left"/>
            </w:pPr>
            <w:r>
              <w:rPr>
                <w:rFonts w:ascii="Helvetica Neue" w:hAnsi="Helvetica Neue"/>
                <w:sz w:val="16"/>
              </w:rPr>
              <w:t>Interpréter une projection</w:t>
            </w:r>
          </w:p>
        </w:tc>
        <w:tc>
          <w:tcPr>
            <w:tcW w:type="dxa" w:w="4706"/>
            <w:shd w:fill="F5F8FC"/>
            <w:tcMar>
              <w:top w:w="90" w:type="dxa"/>
              <w:start w:w="110" w:type="dxa"/>
              <w:bottom w:w="90" w:type="dxa"/>
              <w:end w:w="110" w:type="dxa"/>
            </w:tcMar>
            <w:vAlign w:val="center"/>
          </w:tcPr>
          <w:p>
            <w:pPr>
              <w:spacing w:after="0"/>
              <w:jc w:val="left"/>
            </w:pPr>
            <w:r>
              <w:rPr>
                <w:rFonts w:ascii="Helvetica Neue" w:hAnsi="Helvetica Neue"/>
                <w:sz w:val="16"/>
              </w:rPr>
              <w:t>P50, bornes, seuil, fenêtre de preuve</w:t>
            </w:r>
          </w:p>
        </w:tc>
      </w:tr>
      <w:tr>
        <w:tc>
          <w:tcPr>
            <w:tcW w:type="dxa" w:w="680"/>
            <w:shd w:fill="FFFFFF"/>
            <w:tcMar>
              <w:top w:w="90" w:type="dxa"/>
              <w:start w:w="110" w:type="dxa"/>
              <w:bottom w:w="90" w:type="dxa"/>
              <w:end w:w="110" w:type="dxa"/>
            </w:tcMar>
            <w:vAlign w:val="center"/>
          </w:tcPr>
          <w:p>
            <w:pPr>
              <w:spacing w:after="0"/>
              <w:jc w:val="left"/>
            </w:pPr>
            <w:r>
              <w:rPr>
                <w:rFonts w:ascii="Helvetica Neue" w:hAnsi="Helvetica Neue"/>
                <w:sz w:val="16"/>
              </w:rPr>
              <w:t>7</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Lire les mesures publiées</w:t>
            </w:r>
          </w:p>
        </w:tc>
        <w:tc>
          <w:tcPr>
            <w:tcW w:type="dxa" w:w="4706"/>
            <w:shd w:fill="FFFFFF"/>
            <w:tcMar>
              <w:top w:w="90" w:type="dxa"/>
              <w:start w:w="110" w:type="dxa"/>
              <w:bottom w:w="90" w:type="dxa"/>
              <w:end w:w="110" w:type="dxa"/>
            </w:tcMar>
            <w:vAlign w:val="center"/>
          </w:tcPr>
          <w:p>
            <w:pPr>
              <w:spacing w:after="0"/>
              <w:jc w:val="left"/>
            </w:pPr>
            <w:r>
              <w:rPr>
                <w:rFonts w:ascii="Helvetica Neue" w:hAnsi="Helvetica Neue"/>
                <w:sz w:val="16"/>
              </w:rPr>
              <w:t>Points, interpolation, écart-type</w:t>
            </w:r>
          </w:p>
        </w:tc>
      </w:tr>
      <w:tr>
        <w:tc>
          <w:tcPr>
            <w:tcW w:type="dxa" w:w="680"/>
            <w:shd w:fill="F5F8FC"/>
            <w:tcMar>
              <w:top w:w="90" w:type="dxa"/>
              <w:start w:w="110" w:type="dxa"/>
              <w:bottom w:w="90" w:type="dxa"/>
              <w:end w:w="110" w:type="dxa"/>
            </w:tcMar>
            <w:vAlign w:val="center"/>
          </w:tcPr>
          <w:p>
            <w:pPr>
              <w:spacing w:after="0"/>
              <w:jc w:val="left"/>
            </w:pPr>
            <w:r>
              <w:rPr>
                <w:rFonts w:ascii="Helvetica Neue" w:hAnsi="Helvetica Neue"/>
                <w:sz w:val="16"/>
              </w:rPr>
              <w:t>8</w:t>
            </w:r>
          </w:p>
        </w:tc>
        <w:tc>
          <w:tcPr>
            <w:tcW w:type="dxa" w:w="3628"/>
            <w:shd w:fill="F5F8FC"/>
            <w:tcMar>
              <w:top w:w="90" w:type="dxa"/>
              <w:start w:w="110" w:type="dxa"/>
              <w:bottom w:w="90" w:type="dxa"/>
              <w:end w:w="110" w:type="dxa"/>
            </w:tcMar>
            <w:vAlign w:val="center"/>
          </w:tcPr>
          <w:p>
            <w:pPr>
              <w:spacing w:after="0"/>
              <w:jc w:val="center"/>
            </w:pPr>
            <w:r>
              <w:rPr>
                <w:rFonts w:ascii="Helvetica Neue" w:hAnsi="Helvetica Neue"/>
                <w:sz w:val="16"/>
              </w:rPr>
              <w:t>Comparer des matériaux</w:t>
            </w:r>
          </w:p>
        </w:tc>
        <w:tc>
          <w:tcPr>
            <w:tcW w:type="dxa" w:w="4706"/>
            <w:shd w:fill="F5F8FC"/>
            <w:tcMar>
              <w:top w:w="90" w:type="dxa"/>
              <w:start w:w="110" w:type="dxa"/>
              <w:bottom w:w="90" w:type="dxa"/>
              <w:end w:w="110" w:type="dxa"/>
            </w:tcMar>
            <w:vAlign w:val="center"/>
          </w:tcPr>
          <w:p>
            <w:pPr>
              <w:spacing w:after="0"/>
              <w:jc w:val="left"/>
            </w:pPr>
            <w:r>
              <w:rPr>
                <w:rFonts w:ascii="Helvetica Neue" w:hAnsi="Helvetica Neue"/>
                <w:sz w:val="16"/>
              </w:rPr>
              <w:t>Conditions communes et décision</w:t>
            </w:r>
          </w:p>
        </w:tc>
      </w:tr>
      <w:tr>
        <w:tc>
          <w:tcPr>
            <w:tcW w:type="dxa" w:w="680"/>
            <w:shd w:fill="FFFFFF"/>
            <w:tcMar>
              <w:top w:w="90" w:type="dxa"/>
              <w:start w:w="110" w:type="dxa"/>
              <w:bottom w:w="90" w:type="dxa"/>
              <w:end w:w="110" w:type="dxa"/>
            </w:tcMar>
            <w:vAlign w:val="center"/>
          </w:tcPr>
          <w:p>
            <w:pPr>
              <w:spacing w:after="0"/>
              <w:jc w:val="left"/>
            </w:pPr>
            <w:r>
              <w:rPr>
                <w:rFonts w:ascii="Helvetica Neue" w:hAnsi="Helvetica Neue"/>
                <w:sz w:val="16"/>
              </w:rPr>
              <w:t>9</w:t>
            </w:r>
          </w:p>
        </w:tc>
        <w:tc>
          <w:tcPr>
            <w:tcW w:type="dxa" w:w="3628"/>
            <w:shd w:fill="FFFFFF"/>
            <w:tcMar>
              <w:top w:w="90" w:type="dxa"/>
              <w:start w:w="110" w:type="dxa"/>
              <w:bottom w:w="90" w:type="dxa"/>
              <w:end w:w="110" w:type="dxa"/>
            </w:tcMar>
            <w:vAlign w:val="center"/>
          </w:tcPr>
          <w:p>
            <w:pPr>
              <w:spacing w:after="0"/>
              <w:jc w:val="center"/>
            </w:pPr>
            <w:r>
              <w:rPr>
                <w:rFonts w:ascii="Helvetica Neue" w:hAnsi="Helvetica Neue"/>
                <w:sz w:val="16"/>
              </w:rPr>
              <w:t>Contrôler la validité</w:t>
            </w:r>
          </w:p>
        </w:tc>
        <w:tc>
          <w:tcPr>
            <w:tcW w:type="dxa" w:w="4706"/>
            <w:shd w:fill="FFFFFF"/>
            <w:tcMar>
              <w:top w:w="90" w:type="dxa"/>
              <w:start w:w="110" w:type="dxa"/>
              <w:bottom w:w="90" w:type="dxa"/>
              <w:end w:w="110" w:type="dxa"/>
            </w:tcMar>
            <w:vAlign w:val="center"/>
          </w:tcPr>
          <w:p>
            <w:pPr>
              <w:spacing w:after="0"/>
              <w:jc w:val="left"/>
            </w:pPr>
            <w:r>
              <w:rPr>
                <w:rFonts w:ascii="Helvetica Neue" w:hAnsi="Helvetica Neue"/>
                <w:sz w:val="16"/>
              </w:rPr>
              <w:t>Niveaux de preuve et validation aveugle</w:t>
            </w:r>
          </w:p>
        </w:tc>
      </w:tr>
      <w:tr>
        <w:tc>
          <w:tcPr>
            <w:tcW w:type="dxa" w:w="680"/>
            <w:shd w:fill="F5F8FC"/>
            <w:tcMar>
              <w:top w:w="90" w:type="dxa"/>
              <w:start w:w="110" w:type="dxa"/>
              <w:bottom w:w="90" w:type="dxa"/>
              <w:end w:w="110" w:type="dxa"/>
            </w:tcMar>
            <w:vAlign w:val="center"/>
          </w:tcPr>
          <w:p>
            <w:pPr>
              <w:spacing w:after="0"/>
              <w:jc w:val="left"/>
            </w:pPr>
            <w:r>
              <w:rPr>
                <w:rFonts w:ascii="Helvetica Neue" w:hAnsi="Helvetica Neue"/>
                <w:sz w:val="16"/>
              </w:rPr>
              <w:t>10</w:t>
            </w:r>
          </w:p>
        </w:tc>
        <w:tc>
          <w:tcPr>
            <w:tcW w:type="dxa" w:w="3628"/>
            <w:shd w:fill="F5F8FC"/>
            <w:tcMar>
              <w:top w:w="90" w:type="dxa"/>
              <w:start w:w="110" w:type="dxa"/>
              <w:bottom w:w="90" w:type="dxa"/>
              <w:end w:w="110" w:type="dxa"/>
            </w:tcMar>
            <w:vAlign w:val="center"/>
          </w:tcPr>
          <w:p>
            <w:pPr>
              <w:spacing w:after="0"/>
              <w:jc w:val="center"/>
            </w:pPr>
            <w:r>
              <w:rPr>
                <w:rFonts w:ascii="Helvetica Neue" w:hAnsi="Helvetica Neue"/>
                <w:sz w:val="16"/>
              </w:rPr>
              <w:t>Enregistrer et exporter</w:t>
            </w:r>
          </w:p>
        </w:tc>
        <w:tc>
          <w:tcPr>
            <w:tcW w:type="dxa" w:w="4706"/>
            <w:shd w:fill="F5F8FC"/>
            <w:tcMar>
              <w:top w:w="90" w:type="dxa"/>
              <w:start w:w="110" w:type="dxa"/>
              <w:bottom w:w="90" w:type="dxa"/>
              <w:end w:w="110" w:type="dxa"/>
            </w:tcMar>
            <w:vAlign w:val="center"/>
          </w:tcPr>
          <w:p>
            <w:pPr>
              <w:spacing w:after="0"/>
              <w:jc w:val="left"/>
            </w:pPr>
            <w:r>
              <w:rPr>
                <w:rFonts w:ascii="Helvetica Neue" w:hAnsi="Helvetica Neue"/>
                <w:sz w:val="16"/>
              </w:rPr>
              <w:t>Excel, PDF, JSON et projets</w:t>
            </w:r>
          </w:p>
        </w:tc>
      </w:tr>
      <w:tr>
        <w:tc>
          <w:tcPr>
            <w:tcW w:type="dxa" w:w="680"/>
            <w:shd w:fill="FFFFFF"/>
            <w:tcMar>
              <w:top w:w="90" w:type="dxa"/>
              <w:start w:w="110" w:type="dxa"/>
              <w:bottom w:w="90" w:type="dxa"/>
              <w:end w:w="110" w:type="dxa"/>
            </w:tcMar>
            <w:vAlign w:val="center"/>
          </w:tcPr>
          <w:p>
            <w:pPr>
              <w:spacing w:after="0"/>
              <w:jc w:val="left"/>
            </w:pPr>
            <w:r>
              <w:rPr>
                <w:rFonts w:ascii="Helvetica Neue" w:hAnsi="Helvetica Neue"/>
                <w:sz w:val="16"/>
              </w:rPr>
              <w:t>11</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Utiliser l'espace classe</w:t>
            </w:r>
          </w:p>
        </w:tc>
        <w:tc>
          <w:tcPr>
            <w:tcW w:type="dxa" w:w="4706"/>
            <w:shd w:fill="FFFFFF"/>
            <w:tcMar>
              <w:top w:w="90" w:type="dxa"/>
              <w:start w:w="110" w:type="dxa"/>
              <w:bottom w:w="90" w:type="dxa"/>
              <w:end w:w="110" w:type="dxa"/>
            </w:tcMar>
            <w:vAlign w:val="center"/>
          </w:tcPr>
          <w:p>
            <w:pPr>
              <w:spacing w:after="0"/>
              <w:jc w:val="left"/>
            </w:pPr>
            <w:r>
              <w:rPr>
                <w:rFonts w:ascii="Helvetica Neue" w:hAnsi="Helvetica Neue"/>
                <w:sz w:val="16"/>
              </w:rPr>
              <w:t>Cours, remises et corrections</w:t>
            </w:r>
          </w:p>
        </w:tc>
      </w:tr>
      <w:tr>
        <w:tc>
          <w:tcPr>
            <w:tcW w:type="dxa" w:w="680"/>
            <w:shd w:fill="F5F8FC"/>
            <w:tcMar>
              <w:top w:w="90" w:type="dxa"/>
              <w:start w:w="110" w:type="dxa"/>
              <w:bottom w:w="90" w:type="dxa"/>
              <w:end w:w="110" w:type="dxa"/>
            </w:tcMar>
            <w:vAlign w:val="center"/>
          </w:tcPr>
          <w:p>
            <w:pPr>
              <w:spacing w:after="0"/>
              <w:jc w:val="left"/>
            </w:pPr>
            <w:r>
              <w:rPr>
                <w:rFonts w:ascii="Helvetica Neue" w:hAnsi="Helvetica Neue"/>
                <w:sz w:val="16"/>
              </w:rPr>
              <w:t>12</w:t>
            </w:r>
          </w:p>
        </w:tc>
        <w:tc>
          <w:tcPr>
            <w:tcW w:type="dxa" w:w="3628"/>
            <w:shd w:fill="F5F8FC"/>
            <w:tcMar>
              <w:top w:w="90" w:type="dxa"/>
              <w:start w:w="110" w:type="dxa"/>
              <w:bottom w:w="90" w:type="dxa"/>
              <w:end w:w="110" w:type="dxa"/>
            </w:tcMar>
            <w:vAlign w:val="center"/>
          </w:tcPr>
          <w:p>
            <w:pPr>
              <w:spacing w:after="0"/>
              <w:jc w:val="center"/>
            </w:pPr>
            <w:r>
              <w:rPr>
                <w:rFonts w:ascii="Helvetica Neue" w:hAnsi="Helvetica Neue"/>
                <w:sz w:val="16"/>
              </w:rPr>
              <w:t>Importer des données</w:t>
            </w:r>
          </w:p>
        </w:tc>
        <w:tc>
          <w:tcPr>
            <w:tcW w:type="dxa" w:w="4706"/>
            <w:shd w:fill="F5F8FC"/>
            <w:tcMar>
              <w:top w:w="90" w:type="dxa"/>
              <w:start w:w="110" w:type="dxa"/>
              <w:bottom w:w="90" w:type="dxa"/>
              <w:end w:w="110" w:type="dxa"/>
            </w:tcMar>
            <w:vAlign w:val="center"/>
          </w:tcPr>
          <w:p>
            <w:pPr>
              <w:spacing w:after="0"/>
              <w:jc w:val="center"/>
            </w:pPr>
            <w:r>
              <w:rPr>
                <w:rFonts w:ascii="Helvetica Neue" w:hAnsi="Helvetica Neue"/>
                <w:sz w:val="16"/>
              </w:rPr>
              <w:t>CSV, revue et modèles</w:t>
            </w:r>
          </w:p>
        </w:tc>
      </w:tr>
      <w:tr>
        <w:tc>
          <w:tcPr>
            <w:tcW w:type="dxa" w:w="680"/>
            <w:shd w:fill="FFFFFF"/>
            <w:tcMar>
              <w:top w:w="90" w:type="dxa"/>
              <w:start w:w="110" w:type="dxa"/>
              <w:bottom w:w="90" w:type="dxa"/>
              <w:end w:w="110" w:type="dxa"/>
            </w:tcMar>
            <w:vAlign w:val="center"/>
          </w:tcPr>
          <w:p>
            <w:pPr>
              <w:spacing w:after="0"/>
              <w:jc w:val="left"/>
            </w:pPr>
            <w:r>
              <w:rPr>
                <w:rFonts w:ascii="Helvetica Neue" w:hAnsi="Helvetica Neue"/>
                <w:sz w:val="16"/>
              </w:rPr>
              <w:t>13</w:t>
            </w:r>
          </w:p>
        </w:tc>
        <w:tc>
          <w:tcPr>
            <w:tcW w:type="dxa" w:w="3628"/>
            <w:shd w:fill="FFFFFF"/>
            <w:tcMar>
              <w:top w:w="90" w:type="dxa"/>
              <w:start w:w="110" w:type="dxa"/>
              <w:bottom w:w="90" w:type="dxa"/>
              <w:end w:w="110" w:type="dxa"/>
            </w:tcMar>
            <w:vAlign w:val="center"/>
          </w:tcPr>
          <w:p>
            <w:pPr>
              <w:spacing w:after="0"/>
              <w:jc w:val="center"/>
            </w:pPr>
            <w:r>
              <w:rPr>
                <w:rFonts w:ascii="Helvetica Neue" w:hAnsi="Helvetica Neue"/>
                <w:sz w:val="16"/>
              </w:rPr>
              <w:t>Gérer les documents</w:t>
            </w:r>
          </w:p>
        </w:tc>
        <w:tc>
          <w:tcPr>
            <w:tcW w:type="dxa" w:w="4706"/>
            <w:shd w:fill="FFFFFF"/>
            <w:tcMar>
              <w:top w:w="90" w:type="dxa"/>
              <w:start w:w="110" w:type="dxa"/>
              <w:bottom w:w="90" w:type="dxa"/>
              <w:end w:w="110" w:type="dxa"/>
            </w:tcMar>
            <w:vAlign w:val="center"/>
          </w:tcPr>
          <w:p>
            <w:pPr>
              <w:spacing w:after="0"/>
              <w:jc w:val="center"/>
            </w:pPr>
            <w:r>
              <w:rPr>
                <w:rFonts w:ascii="Helvetica Neue" w:hAnsi="Helvetica Neue"/>
                <w:sz w:val="16"/>
              </w:rPr>
              <w:t>PDF, recherche et notes</w:t>
            </w:r>
          </w:p>
        </w:tc>
      </w:tr>
      <w:tr>
        <w:tc>
          <w:tcPr>
            <w:tcW w:type="dxa" w:w="680"/>
            <w:shd w:fill="F5F8FC"/>
            <w:tcMar>
              <w:top w:w="90" w:type="dxa"/>
              <w:start w:w="110" w:type="dxa"/>
              <w:bottom w:w="90" w:type="dxa"/>
              <w:end w:w="110" w:type="dxa"/>
            </w:tcMar>
            <w:vAlign w:val="center"/>
          </w:tcPr>
          <w:p>
            <w:pPr>
              <w:spacing w:after="0"/>
              <w:jc w:val="left"/>
            </w:pPr>
            <w:r>
              <w:rPr>
                <w:rFonts w:ascii="Helvetica Neue" w:hAnsi="Helvetica Neue"/>
                <w:sz w:val="16"/>
              </w:rPr>
              <w:t>14</w:t>
            </w:r>
          </w:p>
        </w:tc>
        <w:tc>
          <w:tcPr>
            <w:tcW w:type="dxa" w:w="3628"/>
            <w:shd w:fill="F5F8FC"/>
            <w:tcMar>
              <w:top w:w="90" w:type="dxa"/>
              <w:start w:w="110" w:type="dxa"/>
              <w:bottom w:w="90" w:type="dxa"/>
              <w:end w:w="110" w:type="dxa"/>
            </w:tcMar>
            <w:vAlign w:val="center"/>
          </w:tcPr>
          <w:p>
            <w:pPr>
              <w:spacing w:after="0"/>
              <w:jc w:val="center"/>
            </w:pPr>
            <w:r>
              <w:rPr>
                <w:rFonts w:ascii="Helvetica Neue" w:hAnsi="Helvetica Neue"/>
                <w:sz w:val="16"/>
              </w:rPr>
              <w:t>Résoudre les problèmes</w:t>
            </w:r>
          </w:p>
        </w:tc>
        <w:tc>
          <w:tcPr>
            <w:tcW w:type="dxa" w:w="4706"/>
            <w:shd w:fill="F5F8FC"/>
            <w:tcMar>
              <w:top w:w="90" w:type="dxa"/>
              <w:start w:w="110" w:type="dxa"/>
              <w:bottom w:w="90" w:type="dxa"/>
              <w:end w:w="110" w:type="dxa"/>
            </w:tcMar>
            <w:vAlign w:val="center"/>
          </w:tcPr>
          <w:p>
            <w:pPr>
              <w:spacing w:after="0"/>
              <w:jc w:val="left"/>
            </w:pPr>
            <w:r>
              <w:rPr>
                <w:rFonts w:ascii="Helvetica Neue" w:hAnsi="Helvetica Neue"/>
                <w:sz w:val="16"/>
              </w:rPr>
              <w:t>Dépannage et bonnes pratiques</w:t>
            </w:r>
          </w:p>
        </w:tc>
      </w:tr>
    </w:tbl>
    <w:p>
      <w:pPr>
        <w:spacing w:after="20"/>
      </w:pPr>
    </w:p>
    <w:p>
      <w:pPr>
        <w:pStyle w:val="Heading2"/>
      </w:pPr>
      <w:r>
        <w:t>Parcours conseillé en dix minutes</w:t>
      </w:r>
    </w:p>
    <w:p>
      <w:pPr>
        <w:spacing w:after="80"/>
        <w:ind w:left="369" w:hanging="369"/>
      </w:pPr>
      <w:r>
        <w:rPr>
          <w:b/>
          <w:color w:val="285FC5"/>
        </w:rPr>
        <w:t xml:space="preserve">1. </w:t>
      </w:r>
      <w:r>
        <w:t>Ouvrir Accueil et repérer le menu latéral.</w:t>
      </w:r>
    </w:p>
    <w:p>
      <w:pPr>
        <w:spacing w:after="80"/>
        <w:ind w:left="369" w:hanging="369"/>
      </w:pPr>
      <w:r>
        <w:rPr>
          <w:b/>
          <w:color w:val="285FC5"/>
        </w:rPr>
        <w:t xml:space="preserve">2. </w:t>
      </w:r>
      <w:r>
        <w:t>Ouvrir Matériaux, rechercher le polymère et contrôler son niveau de preuve.</w:t>
      </w:r>
    </w:p>
    <w:p>
      <w:pPr>
        <w:spacing w:after="80"/>
        <w:ind w:left="369" w:hanging="369"/>
      </w:pPr>
      <w:r>
        <w:rPr>
          <w:b/>
          <w:color w:val="285FC5"/>
        </w:rPr>
        <w:t xml:space="preserve">3. </w:t>
      </w:r>
      <w:r>
        <w:t>Ouvrir Simuler puis choisir Fiche matériau.</w:t>
      </w:r>
    </w:p>
    <w:p>
      <w:pPr>
        <w:spacing w:after="80"/>
        <w:ind w:left="369" w:hanging="369"/>
      </w:pPr>
      <w:r>
        <w:rPr>
          <w:b/>
          <w:color w:val="285FC5"/>
        </w:rPr>
        <w:t xml:space="preserve">4. </w:t>
      </w:r>
      <w:r>
        <w:t>Renseigner le module initial, les conditions, l'horizon et le seuil.</w:t>
      </w:r>
    </w:p>
    <w:p>
      <w:pPr>
        <w:spacing w:after="80"/>
        <w:ind w:left="369" w:hanging="369"/>
      </w:pPr>
      <w:r>
        <w:rPr>
          <w:b/>
          <w:color w:val="285FC5"/>
        </w:rPr>
        <w:t xml:space="preserve">5. </w:t>
      </w:r>
      <w:r>
        <w:t>Cliquer sur Calculer et lire d'abord la première carte de résultat.</w:t>
      </w:r>
    </w:p>
    <w:p>
      <w:pPr>
        <w:spacing w:after="80"/>
        <w:ind w:left="369" w:hanging="369"/>
      </w:pPr>
      <w:r>
        <w:rPr>
          <w:b/>
          <w:color w:val="285FC5"/>
        </w:rPr>
        <w:t xml:space="preserve">6. </w:t>
      </w:r>
      <w:r>
        <w:t>Vérifier la fenêtre de preuve, les sources et les limites.</w:t>
      </w:r>
    </w:p>
    <w:p>
      <w:pPr>
        <w:spacing w:after="80"/>
        <w:ind w:left="369" w:hanging="369"/>
      </w:pPr>
      <w:r>
        <w:rPr>
          <w:b/>
          <w:color w:val="285FC5"/>
        </w:rPr>
        <w:t xml:space="preserve">7. </w:t>
      </w:r>
      <w:r>
        <w:t>Enregistrer le résultat avant tout essai futur.</w:t>
      </w:r>
    </w:p>
    <w:p>
      <w:pPr>
        <w:spacing w:after="80"/>
        <w:ind w:left="369" w:hanging="369"/>
      </w:pPr>
      <w:r>
        <w:rPr>
          <w:b/>
          <w:color w:val="285FC5"/>
        </w:rPr>
        <w:t xml:space="preserve">8. </w:t>
      </w:r>
      <w:r>
        <w:t>Comparer au moins deux scénarios avec les mêmes conditions.</w:t>
      </w:r>
    </w:p>
    <w:p>
      <w:pPr>
        <w:pStyle w:val="Smalllabel"/>
        <w:spacing w:before="0"/>
      </w:pPr>
      <w:r>
        <w:t>PARTIE 1</w:t>
      </w:r>
    </w:p>
    <w:p>
      <w:pPr>
        <w:pStyle w:val="Heading1"/>
        <w:spacing w:before="0"/>
      </w:pPr>
      <w:r>
        <w:t>Installer et ouvrir Materia</w:t>
      </w:r>
    </w:p>
    <w:p>
      <w:pPr>
        <w:spacing w:after="200"/>
        <w:keepLines/>
      </w:pPr>
      <w:r>
        <w:rPr>
          <w:color w:val="60708B"/>
          <w:sz w:val="21"/>
        </w:rPr>
        <w:t>Deux modes sont possibles : une installation locale par étudiant ou une instance commune hébergée par l'établissement.</w:t>
      </w:r>
    </w:p>
    <w:p>
      <w:pPr>
        <w:pStyle w:val="Heading2"/>
      </w:pPr>
      <w:r>
        <w:t>Installation locale sur Windows</w:t>
      </w:r>
    </w:p>
    <w:p>
      <w:pPr>
        <w:spacing w:after="80"/>
        <w:ind w:left="369" w:hanging="369"/>
      </w:pPr>
      <w:r>
        <w:rPr>
          <w:b/>
          <w:color w:val="285FC5"/>
        </w:rPr>
        <w:t xml:space="preserve">1. </w:t>
      </w:r>
      <w:r>
        <w:t>Télécharger le dépôt depuis GitHub avec Code puis Download ZIP.</w:t>
      </w:r>
    </w:p>
    <w:p>
      <w:pPr>
        <w:spacing w:after="80"/>
        <w:ind w:left="369" w:hanging="369"/>
      </w:pPr>
      <w:r>
        <w:rPr>
          <w:b/>
          <w:color w:val="285FC5"/>
        </w:rPr>
        <w:t xml:space="preserve">2. </w:t>
      </w:r>
      <w:r>
        <w:t>Extraire entièrement le ZIP dans un dossier accessible en écriture.</w:t>
      </w:r>
    </w:p>
    <w:p>
      <w:pPr>
        <w:spacing w:after="80"/>
        <w:ind w:left="369" w:hanging="369"/>
      </w:pPr>
      <w:r>
        <w:rPr>
          <w:b/>
          <w:color w:val="285FC5"/>
        </w:rPr>
        <w:t xml:space="preserve">3. </w:t>
      </w:r>
      <w:r>
        <w:t>Installer Python 3.11, 3.12 ou 3.13 depuis python.org si nécessaire.</w:t>
      </w:r>
    </w:p>
    <w:p>
      <w:pPr>
        <w:spacing w:after="80"/>
        <w:ind w:left="369" w:hanging="369"/>
      </w:pPr>
      <w:r>
        <w:rPr>
          <w:b/>
          <w:color w:val="285FC5"/>
        </w:rPr>
        <w:t xml:space="preserve">4. </w:t>
      </w:r>
      <w:r>
        <w:t>Double-cliquer sur Lancer-Materia-Windows.bat.</w:t>
      </w:r>
    </w:p>
    <w:p>
      <w:pPr>
        <w:spacing w:after="80"/>
        <w:ind w:left="369" w:hanging="369"/>
      </w:pPr>
      <w:r>
        <w:rPr>
          <w:b/>
          <w:color w:val="285FC5"/>
        </w:rPr>
        <w:t xml:space="preserve">5. </w:t>
      </w:r>
      <w:r>
        <w:t>Attendre le premier téléchargement des composants. Le navigateur s'ouvre sur http://127.0.0.1:8087.</w:t>
      </w:r>
    </w:p>
    <w:p>
      <w:pPr>
        <w:pStyle w:val="Heading2"/>
      </w:pPr>
      <w:r>
        <w:t>Installation locale sur macOS</w:t>
      </w:r>
    </w:p>
    <w:p>
      <w:pPr>
        <w:spacing w:after="80"/>
        <w:ind w:left="369" w:hanging="369"/>
      </w:pPr>
      <w:r>
        <w:rPr>
          <w:b/>
          <w:color w:val="285FC5"/>
        </w:rPr>
        <w:t xml:space="preserve">1. </w:t>
      </w:r>
      <w:r>
        <w:t>Télécharger puis décompresser le dépôt GitHub.</w:t>
      </w:r>
    </w:p>
    <w:p>
      <w:pPr>
        <w:spacing w:after="80"/>
        <w:ind w:left="369" w:hanging="369"/>
      </w:pPr>
      <w:r>
        <w:rPr>
          <w:b/>
          <w:color w:val="285FC5"/>
        </w:rPr>
        <w:t xml:space="preserve">2. </w:t>
      </w:r>
      <w:r>
        <w:t>Installer Python 3.11, 3.12 ou 3.13 si nécessaire.</w:t>
      </w:r>
    </w:p>
    <w:p>
      <w:pPr>
        <w:spacing w:after="80"/>
        <w:ind w:left="369" w:hanging="369"/>
      </w:pPr>
      <w:r>
        <w:rPr>
          <w:b/>
          <w:color w:val="285FC5"/>
        </w:rPr>
        <w:t xml:space="preserve">3. </w:t>
      </w:r>
      <w:r>
        <w:t>Double-cliquer sur Lancer-Materia.command.</w:t>
      </w:r>
    </w:p>
    <w:p>
      <w:pPr>
        <w:spacing w:after="80"/>
        <w:ind w:left="369" w:hanging="369"/>
      </w:pPr>
      <w:r>
        <w:rPr>
          <w:b/>
          <w:color w:val="285FC5"/>
        </w:rPr>
        <w:t xml:space="preserve">4. </w:t>
      </w:r>
      <w:r>
        <w:t>Si macOS bloque le fichier, faire un clic droit, choisir Ouvrir puis confirmer.</w:t>
      </w:r>
    </w:p>
    <w:p>
      <w:pPr>
        <w:pStyle w:val="Heading2"/>
      </w:pPr>
      <w:r>
        <w:t>Accès partagé par navigateur</w:t>
      </w:r>
    </w:p>
    <w:p>
      <w:r>
        <w:rPr>
          <w:i w:val="0"/>
        </w:rPr>
        <w:t>Dans un déploiement de classe, l'établissement exécute Materia une seule fois avec Docker. Les étudiants ouvrent ensuite une adresse HTTPS et n'installent aucun composant. Les comptes, projets et documents sont conservés dans le volume du serveur.</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474"/>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Mode</w:t>
            </w:r>
          </w:p>
        </w:tc>
        <w:tc>
          <w:tcPr>
            <w:tcW w:type="dxa" w:w="3798"/>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Avantage</w:t>
            </w:r>
          </w:p>
        </w:tc>
        <w:tc>
          <w:tcPr>
            <w:tcW w:type="dxa" w:w="3742"/>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Point d'attention</w:t>
            </w:r>
          </w:p>
        </w:tc>
      </w:tr>
      <w:tr>
        <w:tc>
          <w:tcPr>
            <w:tcW w:type="dxa" w:w="1474"/>
            <w:shd w:fill="FFFFFF"/>
            <w:tcMar>
              <w:top w:w="90" w:type="dxa"/>
              <w:start w:w="110" w:type="dxa"/>
              <w:bottom w:w="90" w:type="dxa"/>
              <w:end w:w="110" w:type="dxa"/>
            </w:tcMar>
            <w:vAlign w:val="center"/>
          </w:tcPr>
          <w:p>
            <w:pPr>
              <w:spacing w:after="0"/>
              <w:jc w:val="left"/>
            </w:pPr>
            <w:r>
              <w:rPr>
                <w:rFonts w:ascii="Helvetica Neue" w:hAnsi="Helvetica Neue"/>
                <w:sz w:val="17"/>
              </w:rPr>
              <w:t>Local</w:t>
            </w:r>
          </w:p>
        </w:tc>
        <w:tc>
          <w:tcPr>
            <w:tcW w:type="dxa" w:w="3798"/>
            <w:shd w:fill="FFFFFF"/>
            <w:tcMar>
              <w:top w:w="90" w:type="dxa"/>
              <w:start w:w="110" w:type="dxa"/>
              <w:bottom w:w="90" w:type="dxa"/>
              <w:end w:w="110" w:type="dxa"/>
            </w:tcMar>
            <w:vAlign w:val="center"/>
          </w:tcPr>
          <w:p>
            <w:pPr>
              <w:spacing w:after="0"/>
              <w:jc w:val="left"/>
            </w:pPr>
            <w:r>
              <w:rPr>
                <w:rFonts w:ascii="Helvetica Neue" w:hAnsi="Helvetica Neue"/>
                <w:sz w:val="17"/>
              </w:rPr>
              <w:t>Autonomie et fonctionnement hors réseau après installation</w:t>
            </w:r>
          </w:p>
        </w:tc>
        <w:tc>
          <w:tcPr>
            <w:tcW w:type="dxa" w:w="3742"/>
            <w:shd w:fill="FFFFFF"/>
            <w:tcMar>
              <w:top w:w="90" w:type="dxa"/>
              <w:start w:w="110" w:type="dxa"/>
              <w:bottom w:w="90" w:type="dxa"/>
              <w:end w:w="110" w:type="dxa"/>
            </w:tcMar>
            <w:vAlign w:val="center"/>
          </w:tcPr>
          <w:p>
            <w:pPr>
              <w:spacing w:after="0"/>
              <w:jc w:val="left"/>
            </w:pPr>
            <w:r>
              <w:rPr>
                <w:rFonts w:ascii="Helvetica Neue" w:hAnsi="Helvetica Neue"/>
                <w:sz w:val="17"/>
              </w:rPr>
              <w:t>Chaque poste possède sa propre base</w:t>
            </w:r>
          </w:p>
        </w:tc>
      </w:tr>
      <w:tr>
        <w:tc>
          <w:tcPr>
            <w:tcW w:type="dxa" w:w="1474"/>
            <w:shd w:fill="F5F8FC"/>
            <w:tcMar>
              <w:top w:w="90" w:type="dxa"/>
              <w:start w:w="110" w:type="dxa"/>
              <w:bottom w:w="90" w:type="dxa"/>
              <w:end w:w="110" w:type="dxa"/>
            </w:tcMar>
            <w:vAlign w:val="center"/>
          </w:tcPr>
          <w:p>
            <w:pPr>
              <w:spacing w:after="0"/>
              <w:jc w:val="left"/>
            </w:pPr>
            <w:r>
              <w:rPr>
                <w:rFonts w:ascii="Helvetica Neue" w:hAnsi="Helvetica Neue"/>
                <w:sz w:val="17"/>
              </w:rPr>
              <w:t>Serveur</w:t>
            </w:r>
          </w:p>
        </w:tc>
        <w:tc>
          <w:tcPr>
            <w:tcW w:type="dxa" w:w="3798"/>
            <w:shd w:fill="F5F8FC"/>
            <w:tcMar>
              <w:top w:w="90" w:type="dxa"/>
              <w:start w:w="110" w:type="dxa"/>
              <w:bottom w:w="90" w:type="dxa"/>
              <w:end w:w="110" w:type="dxa"/>
            </w:tcMar>
            <w:vAlign w:val="center"/>
          </w:tcPr>
          <w:p>
            <w:pPr>
              <w:spacing w:after="0"/>
              <w:jc w:val="left"/>
            </w:pPr>
            <w:r>
              <w:rPr>
                <w:rFonts w:ascii="Helvetica Neue" w:hAnsi="Helvetica Neue"/>
                <w:sz w:val="17"/>
              </w:rPr>
              <w:t>Même URL et même espace de classe</w:t>
            </w:r>
          </w:p>
        </w:tc>
        <w:tc>
          <w:tcPr>
            <w:tcW w:type="dxa" w:w="3742"/>
            <w:shd w:fill="F5F8FC"/>
            <w:tcMar>
              <w:top w:w="90" w:type="dxa"/>
              <w:start w:w="110" w:type="dxa"/>
              <w:bottom w:w="90" w:type="dxa"/>
              <w:end w:w="110" w:type="dxa"/>
            </w:tcMar>
            <w:vAlign w:val="center"/>
          </w:tcPr>
          <w:p>
            <w:pPr>
              <w:spacing w:after="0"/>
              <w:jc w:val="left"/>
            </w:pPr>
            <w:r>
              <w:rPr>
                <w:rFonts w:ascii="Helvetica Neue" w:hAnsi="Helvetica Neue"/>
                <w:sz w:val="17"/>
              </w:rPr>
              <w:t>HTTPS, sauvegardes et codes d'administration requis</w:t>
            </w:r>
          </w:p>
        </w:tc>
      </w:tr>
    </w:tbl>
    <w:p>
      <w:pPr>
        <w:spacing w:after="20"/>
      </w:pPr>
    </w:p>
    <w:p>
      <w:r>
        <w:br w:type="page"/>
      </w:r>
    </w:p>
    <w:p>
      <w:pPr>
        <w:pStyle w:val="Smalllabel"/>
        <w:spacing w:before="0"/>
      </w:pPr>
      <w:r>
        <w:t>PARTIE 2</w:t>
      </w:r>
    </w:p>
    <w:p>
      <w:pPr>
        <w:pStyle w:val="Heading1"/>
        <w:spacing w:before="0"/>
      </w:pPr>
      <w:r>
        <w:t>Se repérer dans l'interface</w:t>
      </w:r>
    </w:p>
    <w:p>
      <w:pPr>
        <w:spacing w:after="200"/>
        <w:keepLines/>
      </w:pPr>
      <w:r>
        <w:rPr>
          <w:color w:val="60708B"/>
          <w:sz w:val="21"/>
        </w:rPr>
        <w:t>Le menu de gauche sépare l'exploration scientifique, l'espace personnel et les outils de données.</w:t>
      </w:r>
    </w:p>
    <w:p>
      <w:pPr>
        <w:spacing w:after="0"/>
        <w:jc w:val="center"/>
        <w:keepNext/>
        <w:keepLines/>
      </w:pPr>
      <w:r>
        <w:drawing>
          <wp:inline xmlns:a="http://schemas.openxmlformats.org/drawingml/2006/main" xmlns:pic="http://schemas.openxmlformats.org/drawingml/2006/picture">
            <wp:extent cx="5074920" cy="4229100"/>
            <wp:docPr id="1" name="Picture 1" title="Figure 1" descr="Accueil de Materia 0.38 avec la courbe d'exemple et les principaux accès."/>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5074920" cy="4229100"/>
                    </a:xfrm>
                    <a:prstGeom prst="rect"/>
                  </pic:spPr>
                </pic:pic>
              </a:graphicData>
            </a:graphic>
          </wp:inline>
        </w:drawing>
      </w:r>
    </w:p>
    <w:p>
      <w:pPr>
        <w:pStyle w:val="Figurecaption"/>
        <w:keepLines/>
      </w:pPr>
      <w:r>
        <w:t>Figure 1. Accueil de Materia 0.38 avec la courbe d'exemple et les principaux accès.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381"/>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Zone</w:t>
            </w:r>
          </w:p>
        </w:tc>
        <w:tc>
          <w:tcPr>
            <w:tcW w:type="dxa" w:w="6633"/>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Fonction</w:t>
            </w:r>
          </w:p>
        </w:tc>
      </w:tr>
      <w:tr>
        <w:tc>
          <w:tcPr>
            <w:tcW w:type="dxa" w:w="2381"/>
            <w:shd w:fill="FFFFFF"/>
            <w:tcMar>
              <w:top w:w="90" w:type="dxa"/>
              <w:start w:w="110" w:type="dxa"/>
              <w:bottom w:w="90" w:type="dxa"/>
              <w:end w:w="110" w:type="dxa"/>
            </w:tcMar>
            <w:vAlign w:val="center"/>
          </w:tcPr>
          <w:p>
            <w:pPr>
              <w:spacing w:after="0"/>
              <w:jc w:val="left"/>
            </w:pPr>
            <w:r>
              <w:rPr>
                <w:rFonts w:ascii="Helvetica Neue" w:hAnsi="Helvetica Neue"/>
                <w:sz w:val="17"/>
              </w:rPr>
              <w:t>Accueil</w:t>
            </w:r>
          </w:p>
        </w:tc>
        <w:tc>
          <w:tcPr>
            <w:tcW w:type="dxa" w:w="6633"/>
            <w:shd w:fill="FFFFFF"/>
            <w:tcMar>
              <w:top w:w="90" w:type="dxa"/>
              <w:start w:w="110" w:type="dxa"/>
              <w:bottom w:w="90" w:type="dxa"/>
              <w:end w:w="110" w:type="dxa"/>
            </w:tcMar>
            <w:vAlign w:val="center"/>
          </w:tcPr>
          <w:p>
            <w:pPr>
              <w:spacing w:after="0"/>
              <w:jc w:val="left"/>
            </w:pPr>
            <w:r>
              <w:rPr>
                <w:rFonts w:ascii="Helvetica Neue" w:hAnsi="Helvetica Neue"/>
                <w:sz w:val="17"/>
              </w:rPr>
              <w:t>Point de départ et exemple de courbe</w:t>
            </w:r>
          </w:p>
        </w:tc>
      </w:tr>
      <w:tr>
        <w:tc>
          <w:tcPr>
            <w:tcW w:type="dxa" w:w="2381"/>
            <w:shd w:fill="F5F8FC"/>
            <w:tcMar>
              <w:top w:w="90" w:type="dxa"/>
              <w:start w:w="110" w:type="dxa"/>
              <w:bottom w:w="90" w:type="dxa"/>
              <w:end w:w="110" w:type="dxa"/>
            </w:tcMar>
            <w:vAlign w:val="center"/>
          </w:tcPr>
          <w:p>
            <w:pPr>
              <w:spacing w:after="0"/>
              <w:jc w:val="left"/>
            </w:pPr>
            <w:r>
              <w:rPr>
                <w:rFonts w:ascii="Helvetica Neue" w:hAnsi="Helvetica Neue"/>
                <w:sz w:val="17"/>
              </w:rPr>
              <w:t>Matériaux</w:t>
            </w:r>
          </w:p>
        </w:tc>
        <w:tc>
          <w:tcPr>
            <w:tcW w:type="dxa" w:w="6633"/>
            <w:shd w:fill="F5F8FC"/>
            <w:tcMar>
              <w:top w:w="90" w:type="dxa"/>
              <w:start w:w="110" w:type="dxa"/>
              <w:bottom w:w="90" w:type="dxa"/>
              <w:end w:w="110" w:type="dxa"/>
            </w:tcMar>
            <w:vAlign w:val="center"/>
          </w:tcPr>
          <w:p>
            <w:pPr>
              <w:spacing w:after="0"/>
              <w:jc w:val="left"/>
            </w:pPr>
            <w:r>
              <w:rPr>
                <w:rFonts w:ascii="Helvetica Neue" w:hAnsi="Helvetica Neue"/>
                <w:sz w:val="17"/>
              </w:rPr>
              <w:t>Catalogue, filtres, sources et module initial</w:t>
            </w:r>
          </w:p>
        </w:tc>
      </w:tr>
      <w:tr>
        <w:tc>
          <w:tcPr>
            <w:tcW w:type="dxa" w:w="2381"/>
            <w:shd w:fill="FFFFFF"/>
            <w:tcMar>
              <w:top w:w="90" w:type="dxa"/>
              <w:start w:w="110" w:type="dxa"/>
              <w:bottom w:w="90" w:type="dxa"/>
              <w:end w:w="110" w:type="dxa"/>
            </w:tcMar>
            <w:vAlign w:val="center"/>
          </w:tcPr>
          <w:p>
            <w:pPr>
              <w:spacing w:after="0"/>
              <w:jc w:val="left"/>
            </w:pPr>
            <w:r>
              <w:rPr>
                <w:rFonts w:ascii="Helvetica Neue" w:hAnsi="Helvetica Neue"/>
                <w:sz w:val="17"/>
              </w:rPr>
              <w:t>Simuler</w:t>
            </w:r>
          </w:p>
        </w:tc>
        <w:tc>
          <w:tcPr>
            <w:tcW w:type="dxa" w:w="6633"/>
            <w:shd w:fill="FFFFFF"/>
            <w:tcMar>
              <w:top w:w="90" w:type="dxa"/>
              <w:start w:w="110" w:type="dxa"/>
              <w:bottom w:w="90" w:type="dxa"/>
              <w:end w:w="110" w:type="dxa"/>
            </w:tcMar>
            <w:vAlign w:val="center"/>
          </w:tcPr>
          <w:p>
            <w:pPr>
              <w:spacing w:after="0"/>
              <w:jc w:val="left"/>
            </w:pPr>
            <w:r>
              <w:rPr>
                <w:rFonts w:ascii="Helvetica Neue" w:hAnsi="Helvetica Neue"/>
                <w:sz w:val="17"/>
              </w:rPr>
              <w:t>Projection depuis une fiche ou lecture de mesures publiées</w:t>
            </w:r>
          </w:p>
        </w:tc>
      </w:tr>
      <w:tr>
        <w:tc>
          <w:tcPr>
            <w:tcW w:type="dxa" w:w="2381"/>
            <w:shd w:fill="F5F8FC"/>
            <w:tcMar>
              <w:top w:w="90" w:type="dxa"/>
              <w:start w:w="110" w:type="dxa"/>
              <w:bottom w:w="90" w:type="dxa"/>
              <w:end w:w="110" w:type="dxa"/>
            </w:tcMar>
            <w:vAlign w:val="center"/>
          </w:tcPr>
          <w:p>
            <w:pPr>
              <w:spacing w:after="0"/>
              <w:jc w:val="left"/>
            </w:pPr>
            <w:r>
              <w:rPr>
                <w:rFonts w:ascii="Helvetica Neue" w:hAnsi="Helvetica Neue"/>
                <w:sz w:val="17"/>
              </w:rPr>
              <w:t>Comparer</w:t>
            </w:r>
          </w:p>
        </w:tc>
        <w:tc>
          <w:tcPr>
            <w:tcW w:type="dxa" w:w="6633"/>
            <w:shd w:fill="F5F8FC"/>
            <w:tcMar>
              <w:top w:w="90" w:type="dxa"/>
              <w:start w:w="110" w:type="dxa"/>
              <w:bottom w:w="90" w:type="dxa"/>
              <w:end w:w="110" w:type="dxa"/>
            </w:tcMar>
            <w:vAlign w:val="center"/>
          </w:tcPr>
          <w:p>
            <w:pPr>
              <w:spacing w:after="0"/>
              <w:jc w:val="left"/>
            </w:pPr>
            <w:r>
              <w:rPr>
                <w:rFonts w:ascii="Helvetica Neue" w:hAnsi="Helvetica Neue"/>
                <w:sz w:val="17"/>
              </w:rPr>
              <w:t>Comparaison de un à quatre matériaux ou projets</w:t>
            </w:r>
          </w:p>
        </w:tc>
      </w:tr>
      <w:tr>
        <w:tc>
          <w:tcPr>
            <w:tcW w:type="dxa" w:w="2381"/>
            <w:shd w:fill="FFFFFF"/>
            <w:tcMar>
              <w:top w:w="90" w:type="dxa"/>
              <w:start w:w="110" w:type="dxa"/>
              <w:bottom w:w="90" w:type="dxa"/>
              <w:end w:w="110" w:type="dxa"/>
            </w:tcMar>
            <w:vAlign w:val="center"/>
          </w:tcPr>
          <w:p>
            <w:pPr>
              <w:spacing w:after="0"/>
              <w:jc w:val="left"/>
            </w:pPr>
            <w:r>
              <w:rPr>
                <w:rFonts w:ascii="Helvetica Neue" w:hAnsi="Helvetica Neue"/>
                <w:sz w:val="17"/>
              </w:rPr>
              <w:t>Validité</w:t>
            </w:r>
          </w:p>
        </w:tc>
        <w:tc>
          <w:tcPr>
            <w:tcW w:type="dxa" w:w="6633"/>
            <w:shd w:fill="FFFFFF"/>
            <w:tcMar>
              <w:top w:w="90" w:type="dxa"/>
              <w:start w:w="110" w:type="dxa"/>
              <w:bottom w:w="90" w:type="dxa"/>
              <w:end w:w="110" w:type="dxa"/>
            </w:tcMar>
            <w:vAlign w:val="center"/>
          </w:tcPr>
          <w:p>
            <w:pPr>
              <w:spacing w:after="0"/>
              <w:jc w:val="left"/>
            </w:pPr>
            <w:r>
              <w:rPr>
                <w:rFonts w:ascii="Helvetica Neue" w:hAnsi="Helvetica Neue"/>
                <w:sz w:val="17"/>
              </w:rPr>
              <w:t>Benchmarks, limites et méthodes de validation</w:t>
            </w:r>
          </w:p>
        </w:tc>
      </w:tr>
      <w:tr>
        <w:tc>
          <w:tcPr>
            <w:tcW w:type="dxa" w:w="2381"/>
            <w:shd w:fill="F5F8FC"/>
            <w:tcMar>
              <w:top w:w="90" w:type="dxa"/>
              <w:start w:w="110" w:type="dxa"/>
              <w:bottom w:w="90" w:type="dxa"/>
              <w:end w:w="110" w:type="dxa"/>
            </w:tcMar>
            <w:vAlign w:val="center"/>
          </w:tcPr>
          <w:p>
            <w:pPr>
              <w:spacing w:after="0"/>
              <w:jc w:val="left"/>
            </w:pPr>
            <w:r>
              <w:rPr>
                <w:rFonts w:ascii="Helvetica Neue" w:hAnsi="Helvetica Neue"/>
                <w:sz w:val="17"/>
              </w:rPr>
              <w:t>Mes projets</w:t>
            </w:r>
          </w:p>
        </w:tc>
        <w:tc>
          <w:tcPr>
            <w:tcW w:type="dxa" w:w="6633"/>
            <w:shd w:fill="F5F8FC"/>
            <w:tcMar>
              <w:top w:w="90" w:type="dxa"/>
              <w:start w:w="110" w:type="dxa"/>
              <w:bottom w:w="90" w:type="dxa"/>
              <w:end w:w="110" w:type="dxa"/>
            </w:tcMar>
            <w:vAlign w:val="center"/>
          </w:tcPr>
          <w:p>
            <w:pPr>
              <w:spacing w:after="0"/>
              <w:jc w:val="left"/>
            </w:pPr>
            <w:r>
              <w:rPr>
                <w:rFonts w:ascii="Helvetica Neue" w:hAnsi="Helvetica Neue"/>
                <w:sz w:val="17"/>
              </w:rPr>
              <w:t>Historique personnel et exports</w:t>
            </w:r>
          </w:p>
        </w:tc>
      </w:tr>
      <w:tr>
        <w:tc>
          <w:tcPr>
            <w:tcW w:type="dxa" w:w="2381"/>
            <w:shd w:fill="FFFFFF"/>
            <w:tcMar>
              <w:top w:w="90" w:type="dxa"/>
              <w:start w:w="110" w:type="dxa"/>
              <w:bottom w:w="90" w:type="dxa"/>
              <w:end w:w="110" w:type="dxa"/>
            </w:tcMar>
            <w:vAlign w:val="center"/>
          </w:tcPr>
          <w:p>
            <w:pPr>
              <w:spacing w:after="0"/>
              <w:jc w:val="left"/>
            </w:pPr>
            <w:r>
              <w:rPr>
                <w:rFonts w:ascii="Helvetica Neue" w:hAnsi="Helvetica Neue"/>
                <w:sz w:val="17"/>
              </w:rPr>
              <w:t>Espace classe</w:t>
            </w:r>
          </w:p>
        </w:tc>
        <w:tc>
          <w:tcPr>
            <w:tcW w:type="dxa" w:w="6633"/>
            <w:shd w:fill="FFFFFF"/>
            <w:tcMar>
              <w:top w:w="90" w:type="dxa"/>
              <w:start w:w="110" w:type="dxa"/>
              <w:bottom w:w="90" w:type="dxa"/>
              <w:end w:w="110" w:type="dxa"/>
            </w:tcMar>
            <w:vAlign w:val="center"/>
          </w:tcPr>
          <w:p>
            <w:pPr>
              <w:spacing w:after="0"/>
              <w:jc w:val="left"/>
            </w:pPr>
            <w:r>
              <w:rPr>
                <w:rFonts w:ascii="Helvetica Neue" w:hAnsi="Helvetica Neue"/>
                <w:sz w:val="17"/>
              </w:rPr>
              <w:t>Cours, consignes, remises et corrections</w:t>
            </w:r>
          </w:p>
        </w:tc>
      </w:tr>
      <w:tr>
        <w:tc>
          <w:tcPr>
            <w:tcW w:type="dxa" w:w="2381"/>
            <w:shd w:fill="F5F8FC"/>
            <w:tcMar>
              <w:top w:w="90" w:type="dxa"/>
              <w:start w:w="110" w:type="dxa"/>
              <w:bottom w:w="90" w:type="dxa"/>
              <w:end w:w="110" w:type="dxa"/>
            </w:tcMar>
            <w:vAlign w:val="center"/>
          </w:tcPr>
          <w:p>
            <w:pPr>
              <w:spacing w:after="0"/>
              <w:jc w:val="left"/>
            </w:pPr>
            <w:r>
              <w:rPr>
                <w:rFonts w:ascii="Helvetica Neue" w:hAnsi="Helvetica Neue"/>
                <w:sz w:val="17"/>
              </w:rPr>
              <w:t>Données et modèles</w:t>
            </w:r>
          </w:p>
        </w:tc>
        <w:tc>
          <w:tcPr>
            <w:tcW w:type="dxa" w:w="6633"/>
            <w:shd w:fill="F5F8FC"/>
            <w:tcMar>
              <w:top w:w="90" w:type="dxa"/>
              <w:start w:w="110" w:type="dxa"/>
              <w:bottom w:w="90" w:type="dxa"/>
              <w:end w:w="110" w:type="dxa"/>
            </w:tcMar>
            <w:vAlign w:val="center"/>
          </w:tcPr>
          <w:p>
            <w:pPr>
              <w:spacing w:after="0"/>
              <w:jc w:val="left"/>
            </w:pPr>
            <w:r>
              <w:rPr>
                <w:rFonts w:ascii="Helvetica Neue" w:hAnsi="Helvetica Neue"/>
                <w:sz w:val="17"/>
              </w:rPr>
              <w:t>Import, revue scientifique et entraînement</w:t>
            </w:r>
          </w:p>
        </w:tc>
      </w:tr>
    </w:tbl>
    <w:p>
      <w:pPr>
        <w:spacing w:after="20"/>
      </w:pPr>
    </w:p>
    <w:p>
      <w:r>
        <w:rPr>
          <w:i w:val="0"/>
        </w:rPr>
        <w:t>Une session invitée permet d'explorer le logiciel. Un compte local est nécessaire pour retrouver durablement les projets et participer à un cours.</w:t>
      </w:r>
    </w:p>
    <w:p>
      <w:pPr>
        <w:pStyle w:val="Smalllabel"/>
        <w:spacing w:before="0"/>
      </w:pPr>
      <w:r>
        <w:t>PARTIE 3</w:t>
      </w:r>
    </w:p>
    <w:p>
      <w:pPr>
        <w:pStyle w:val="Heading1"/>
        <w:spacing w:before="0"/>
      </w:pPr>
      <w:r>
        <w:t>Explorer le catalogue des matériaux</w:t>
      </w:r>
    </w:p>
    <w:p>
      <w:pPr>
        <w:spacing w:after="200"/>
        <w:keepLines/>
      </w:pPr>
      <w:r>
        <w:rPr>
          <w:color w:val="60708B"/>
          <w:sz w:val="21"/>
        </w:rPr>
        <w:t>Le catalogue rassemble 54 fiches. Une fiche peut être documentaire, disposer d'un module initial recoupé ou contenir des mesures temporelles publiées.</w:t>
      </w:r>
    </w:p>
    <w:p>
      <w:pPr>
        <w:spacing w:after="0"/>
        <w:jc w:val="center"/>
        <w:keepNext/>
        <w:keepLines/>
      </w:pPr>
      <w:r>
        <w:drawing>
          <wp:inline xmlns:a="http://schemas.openxmlformats.org/drawingml/2006/main" xmlns:pic="http://schemas.openxmlformats.org/drawingml/2006/picture">
            <wp:extent cx="4572000" cy="5369668"/>
            <wp:docPr id="2" name="Picture 2" title="Figure 2" descr="Catalogue filtrable avec les statuts scientifiques et les sources associées."/>
            <wp:cNvGraphicFramePr>
              <a:graphicFrameLocks noChangeAspect="1"/>
            </wp:cNvGraphicFramePr>
            <a:graphic>
              <a:graphicData uri="http://schemas.openxmlformats.org/drawingml/2006/picture">
                <pic:pic>
                  <pic:nvPicPr>
                    <pic:cNvPr id="0" name="materials_catalog.png"/>
                    <pic:cNvPicPr/>
                  </pic:nvPicPr>
                  <pic:blipFill>
                    <a:blip r:embed="rId15"/>
                    <a:stretch>
                      <a:fillRect/>
                    </a:stretch>
                  </pic:blipFill>
                  <pic:spPr>
                    <a:xfrm>
                      <a:off x="0" y="0"/>
                      <a:ext cx="4572000" cy="5369668"/>
                    </a:xfrm>
                    <a:prstGeom prst="rect"/>
                  </pic:spPr>
                </pic:pic>
              </a:graphicData>
            </a:graphic>
          </wp:inline>
        </w:drawing>
      </w:r>
    </w:p>
    <w:p>
      <w:pPr>
        <w:pStyle w:val="Figurecaption"/>
        <w:keepLines/>
      </w:pPr>
      <w:r>
        <w:t>Figure 2. Catalogue filtrable avec les statuts scientifiques et les sources associées.</w:t>
      </w:r>
    </w:p>
    <w:p>
      <w:pPr>
        <w:pStyle w:val="Heading2"/>
      </w:pPr>
      <w:r>
        <w:t>Lire une fiche</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2381"/>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Mention</w:t>
            </w:r>
          </w:p>
        </w:tc>
        <w:tc>
          <w:tcPr>
            <w:tcW w:type="dxa" w:w="3402"/>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Ce qu'elle garantit</w:t>
            </w:r>
          </w:p>
        </w:tc>
        <w:tc>
          <w:tcPr>
            <w:tcW w:type="dxa" w:w="3231"/>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Ce qu'elle ne garantit pas</w:t>
            </w:r>
          </w:p>
        </w:tc>
      </w:tr>
      <w:tr>
        <w:tc>
          <w:tcPr>
            <w:tcW w:type="dxa" w:w="2381"/>
            <w:shd w:fill="FFFFFF"/>
            <w:tcMar>
              <w:top w:w="90" w:type="dxa"/>
              <w:start w:w="110" w:type="dxa"/>
              <w:bottom w:w="90" w:type="dxa"/>
              <w:end w:w="110" w:type="dxa"/>
            </w:tcMar>
            <w:vAlign w:val="center"/>
          </w:tcPr>
          <w:p>
            <w:pPr>
              <w:spacing w:after="0"/>
              <w:jc w:val="left"/>
            </w:pPr>
            <w:r>
              <w:rPr>
                <w:rFonts w:ascii="Helvetica Neue" w:hAnsi="Helvetica Neue"/>
                <w:sz w:val="16"/>
              </w:rPr>
              <w:t>Référentiel vérifié</w:t>
            </w:r>
          </w:p>
        </w:tc>
        <w:tc>
          <w:tcPr>
            <w:tcW w:type="dxa" w:w="3402"/>
            <w:shd w:fill="FFFFFF"/>
            <w:tcMar>
              <w:top w:w="90" w:type="dxa"/>
              <w:start w:w="110" w:type="dxa"/>
              <w:bottom w:w="90" w:type="dxa"/>
              <w:end w:w="110" w:type="dxa"/>
            </w:tcMar>
            <w:vAlign w:val="center"/>
          </w:tcPr>
          <w:p>
            <w:pPr>
              <w:spacing w:after="0"/>
              <w:jc w:val="left"/>
            </w:pPr>
            <w:r>
              <w:rPr>
                <w:rFonts w:ascii="Helvetica Neue" w:hAnsi="Helvetica Neue"/>
                <w:sz w:val="16"/>
              </w:rPr>
              <w:t>Identité, famille et mécanismes documentés</w:t>
            </w:r>
          </w:p>
        </w:tc>
        <w:tc>
          <w:tcPr>
            <w:tcW w:type="dxa" w:w="3231"/>
            <w:shd w:fill="FFFFFF"/>
            <w:tcMar>
              <w:top w:w="90" w:type="dxa"/>
              <w:start w:w="110" w:type="dxa"/>
              <w:bottom w:w="90" w:type="dxa"/>
              <w:end w:w="110" w:type="dxa"/>
            </w:tcMar>
            <w:vAlign w:val="center"/>
          </w:tcPr>
          <w:p>
            <w:pPr>
              <w:spacing w:after="0"/>
              <w:jc w:val="left"/>
            </w:pPr>
            <w:r>
              <w:rPr>
                <w:rFonts w:ascii="Helvetica Neue" w:hAnsi="Helvetica Neue"/>
                <w:sz w:val="16"/>
              </w:rPr>
              <w:t>Aucune vitesse de vieillissement</w:t>
            </w:r>
          </w:p>
        </w:tc>
      </w:tr>
      <w:tr>
        <w:tc>
          <w:tcPr>
            <w:tcW w:type="dxa" w:w="2381"/>
            <w:shd w:fill="F5F8FC"/>
            <w:tcMar>
              <w:top w:w="90" w:type="dxa"/>
              <w:start w:w="110" w:type="dxa"/>
              <w:bottom w:w="90" w:type="dxa"/>
              <w:end w:w="110" w:type="dxa"/>
            </w:tcMar>
            <w:vAlign w:val="center"/>
          </w:tcPr>
          <w:p>
            <w:pPr>
              <w:spacing w:after="0"/>
              <w:jc w:val="left"/>
            </w:pPr>
            <w:r>
              <w:rPr>
                <w:rFonts w:ascii="Helvetica Neue" w:hAnsi="Helvetica Neue"/>
                <w:sz w:val="16"/>
              </w:rPr>
              <w:t>Fiche technique recoupée</w:t>
            </w:r>
          </w:p>
        </w:tc>
        <w:tc>
          <w:tcPr>
            <w:tcW w:type="dxa" w:w="3402"/>
            <w:shd w:fill="F5F8FC"/>
            <w:tcMar>
              <w:top w:w="90" w:type="dxa"/>
              <w:start w:w="110" w:type="dxa"/>
              <w:bottom w:w="90" w:type="dxa"/>
              <w:end w:w="110" w:type="dxa"/>
            </w:tcMar>
            <w:vAlign w:val="center"/>
          </w:tcPr>
          <w:p>
            <w:pPr>
              <w:spacing w:after="0"/>
              <w:jc w:val="left"/>
            </w:pPr>
            <w:r>
              <w:rPr>
                <w:rFonts w:ascii="Helvetica Neue" w:hAnsi="Helvetica Neue"/>
                <w:sz w:val="16"/>
              </w:rPr>
              <w:t>Module initial contrôlé entre deux sources officielles</w:t>
            </w:r>
          </w:p>
        </w:tc>
        <w:tc>
          <w:tcPr>
            <w:tcW w:type="dxa" w:w="3231"/>
            <w:shd w:fill="F5F8FC"/>
            <w:tcMar>
              <w:top w:w="90" w:type="dxa"/>
              <w:start w:w="110" w:type="dxa"/>
              <w:bottom w:w="90" w:type="dxa"/>
              <w:end w:w="110" w:type="dxa"/>
            </w:tcMar>
            <w:vAlign w:val="center"/>
          </w:tcPr>
          <w:p>
            <w:pPr>
              <w:spacing w:after="0"/>
              <w:jc w:val="left"/>
            </w:pPr>
            <w:r>
              <w:rPr>
                <w:rFonts w:ascii="Helvetica Neue" w:hAnsi="Helvetica Neue"/>
                <w:sz w:val="16"/>
              </w:rPr>
              <w:t>La cinétique du grade réel</w:t>
            </w:r>
          </w:p>
        </w:tc>
      </w:tr>
      <w:tr>
        <w:tc>
          <w:tcPr>
            <w:tcW w:type="dxa" w:w="2381"/>
            <w:shd w:fill="FFFFFF"/>
            <w:tcMar>
              <w:top w:w="90" w:type="dxa"/>
              <w:start w:w="110" w:type="dxa"/>
              <w:bottom w:w="90" w:type="dxa"/>
              <w:end w:w="110" w:type="dxa"/>
            </w:tcMar>
            <w:vAlign w:val="center"/>
          </w:tcPr>
          <w:p>
            <w:pPr>
              <w:spacing w:after="0"/>
              <w:jc w:val="left"/>
            </w:pPr>
            <w:r>
              <w:rPr>
                <w:rFonts w:ascii="Helvetica Neue" w:hAnsi="Helvetica Neue"/>
                <w:sz w:val="16"/>
              </w:rPr>
              <w:t>Mesures publiées vérifiées</w:t>
            </w:r>
          </w:p>
        </w:tc>
        <w:tc>
          <w:tcPr>
            <w:tcW w:type="dxa" w:w="3402"/>
            <w:shd w:fill="FFFFFF"/>
            <w:tcMar>
              <w:top w:w="90" w:type="dxa"/>
              <w:start w:w="110" w:type="dxa"/>
              <w:bottom w:w="90" w:type="dxa"/>
              <w:end w:w="110" w:type="dxa"/>
            </w:tcMar>
            <w:vAlign w:val="center"/>
          </w:tcPr>
          <w:p>
            <w:pPr>
              <w:spacing w:after="0"/>
              <w:jc w:val="left"/>
            </w:pPr>
            <w:r>
              <w:rPr>
                <w:rFonts w:ascii="Helvetica Neue" w:hAnsi="Helvetica Neue"/>
                <w:sz w:val="16"/>
              </w:rPr>
              <w:t>Valeurs temporelles dans le domaine observé</w:t>
            </w:r>
          </w:p>
        </w:tc>
        <w:tc>
          <w:tcPr>
            <w:tcW w:type="dxa" w:w="3231"/>
            <w:shd w:fill="FFFFFF"/>
            <w:tcMar>
              <w:top w:w="90" w:type="dxa"/>
              <w:start w:w="110" w:type="dxa"/>
              <w:bottom w:w="90" w:type="dxa"/>
              <w:end w:w="110" w:type="dxa"/>
            </w:tcMar>
            <w:vAlign w:val="center"/>
          </w:tcPr>
          <w:p>
            <w:pPr>
              <w:spacing w:after="0"/>
              <w:jc w:val="left"/>
            </w:pPr>
            <w:r>
              <w:rPr>
                <w:rFonts w:ascii="Helvetica Neue" w:hAnsi="Helvetica Neue"/>
                <w:sz w:val="16"/>
              </w:rPr>
              <w:t>Une extrapolation au-delà du dernier temps</w:t>
            </w:r>
          </w:p>
        </w:tc>
      </w:tr>
      <w:tr>
        <w:tc>
          <w:tcPr>
            <w:tcW w:type="dxa" w:w="2381"/>
            <w:shd w:fill="F5F8FC"/>
            <w:tcMar>
              <w:top w:w="90" w:type="dxa"/>
              <w:start w:w="110" w:type="dxa"/>
              <w:bottom w:w="90" w:type="dxa"/>
              <w:end w:w="110" w:type="dxa"/>
            </w:tcMar>
            <w:vAlign w:val="center"/>
          </w:tcPr>
          <w:p>
            <w:pPr>
              <w:spacing w:after="0"/>
              <w:jc w:val="left"/>
            </w:pPr>
            <w:r>
              <w:rPr>
                <w:rFonts w:ascii="Helvetica Neue" w:hAnsi="Helvetica Neue"/>
                <w:sz w:val="16"/>
              </w:rPr>
              <w:t>Corpus accepté limité</w:t>
            </w:r>
          </w:p>
        </w:tc>
        <w:tc>
          <w:tcPr>
            <w:tcW w:type="dxa" w:w="3402"/>
            <w:shd w:fill="F5F8FC"/>
            <w:tcMar>
              <w:top w:w="90" w:type="dxa"/>
              <w:start w:w="110" w:type="dxa"/>
              <w:bottom w:w="90" w:type="dxa"/>
              <w:end w:w="110" w:type="dxa"/>
            </w:tcMar>
            <w:vAlign w:val="center"/>
          </w:tcPr>
          <w:p>
            <w:pPr>
              <w:spacing w:after="0"/>
              <w:jc w:val="left"/>
            </w:pPr>
            <w:r>
              <w:rPr>
                <w:rFonts w:ascii="Helvetica Neue" w:hAnsi="Helvetica Neue"/>
                <w:sz w:val="16"/>
              </w:rPr>
              <w:t>Données utilisables pour interpolation ou analyse interne</w:t>
            </w:r>
          </w:p>
        </w:tc>
        <w:tc>
          <w:tcPr>
            <w:tcW w:type="dxa" w:w="3231"/>
            <w:shd w:fill="F5F8FC"/>
            <w:tcMar>
              <w:top w:w="90" w:type="dxa"/>
              <w:start w:w="110" w:type="dxa"/>
              <w:bottom w:w="90" w:type="dxa"/>
              <w:end w:w="110" w:type="dxa"/>
            </w:tcMar>
            <w:vAlign w:val="center"/>
          </w:tcPr>
          <w:p>
            <w:pPr>
              <w:spacing w:after="0"/>
              <w:jc w:val="left"/>
            </w:pPr>
            <w:r>
              <w:rPr>
                <w:rFonts w:ascii="Helvetica Neue" w:hAnsi="Helvetica Neue"/>
                <w:sz w:val="16"/>
              </w:rPr>
              <w:t>Une validation générale du matériau</w:t>
            </w:r>
          </w:p>
        </w:tc>
      </w:tr>
    </w:tbl>
    <w:p>
      <w:pPr>
        <w:spacing w:after="20"/>
      </w:pPr>
    </w:p>
    <w:p>
      <w:pPr>
        <w:spacing w:before="100" w:after="100"/>
      </w:pPr>
      <w:r>
        <w:rPr>
          <w:b/>
          <w:color w:val="16315C"/>
        </w:rPr>
        <w:t xml:space="preserve">Module initial. </w:t>
      </w:r>
      <w:r>
        <w:t>La valeur E0 fixe le point de départ de la courbe. Elle ne détermine pas, à elle seule, la vitesse de vieillissement.</w:t>
      </w:r>
    </w:p>
    <w:p>
      <w:r>
        <w:rPr>
          <w:i w:val="0"/>
        </w:rPr>
        <w:t>Pour un polypropylène, une valeur de 604,1 MPa peut être correcte si elle décrit une formulation recyclée chargée et une moyenne de sept éprouvettes. Elle ne doit pas être comparée directement à la plage 1 à 1,8 GPa d'un PP vierge générique sans vérifier grade, charges, procédé et norme.</w:t>
      </w:r>
    </w:p>
    <w:p>
      <w:pPr>
        <w:pStyle w:val="Heading2"/>
      </w:pPr>
      <w:r>
        <w:t>Contrôles avant de quitter la fiche</w:t>
      </w:r>
    </w:p>
    <w:p>
      <w:pPr>
        <w:spacing w:after="60"/>
        <w:ind w:left="312" w:hanging="142"/>
      </w:pPr>
      <w:r>
        <w:rPr>
          <w:b/>
          <w:color w:val="285FC5"/>
        </w:rPr>
        <w:t xml:space="preserve">- </w:t>
      </w:r>
      <w:r>
        <w:t>Ouvrir les sources et vérifier qu'elles décrivent la propriété recherchée.</w:t>
      </w:r>
    </w:p>
    <w:p>
      <w:pPr>
        <w:spacing w:after="60"/>
        <w:ind w:left="312" w:hanging="142"/>
      </w:pPr>
      <w:r>
        <w:rPr>
          <w:b/>
          <w:color w:val="285FC5"/>
        </w:rPr>
        <w:t xml:space="preserve">- </w:t>
      </w:r>
      <w:r>
        <w:t>Contrôler le grade, le procédé, le conditionnement et la température d'essai.</w:t>
      </w:r>
    </w:p>
    <w:p>
      <w:pPr>
        <w:spacing w:after="60"/>
        <w:ind w:left="312" w:hanging="142"/>
      </w:pPr>
      <w:r>
        <w:rPr>
          <w:b/>
          <w:color w:val="285FC5"/>
        </w:rPr>
        <w:t xml:space="preserve">- </w:t>
      </w:r>
      <w:r>
        <w:t>Distinguer une valeur unique de grade d'une plage documentaire de famille.</w:t>
      </w:r>
    </w:p>
    <w:p>
      <w:r>
        <w:br w:type="page"/>
      </w:r>
    </w:p>
    <w:p>
      <w:pPr>
        <w:pStyle w:val="Smalllabel"/>
        <w:spacing w:before="0"/>
      </w:pPr>
      <w:r>
        <w:t>PARTIE 4</w:t>
      </w:r>
    </w:p>
    <w:p>
      <w:pPr>
        <w:pStyle w:val="Heading1"/>
        <w:spacing w:before="0"/>
      </w:pPr>
      <w:r>
        <w:t>Choisir le bon parcours de simulation</w:t>
      </w:r>
    </w:p>
    <w:p>
      <w:pPr>
        <w:spacing w:after="200"/>
        <w:keepLines/>
      </w:pPr>
      <w:r>
        <w:rPr>
          <w:color w:val="60708B"/>
          <w:sz w:val="21"/>
        </w:rPr>
        <w:t>Le type de source détermine ce que le logiciel est autorisé à calculer.</w:t>
      </w:r>
    </w:p>
    <w:p>
      <w:pPr>
        <w:spacing w:after="0"/>
        <w:jc w:val="center"/>
        <w:keepNext/>
        <w:keepLines/>
      </w:pPr>
      <w:r>
        <w:drawing>
          <wp:inline xmlns:a="http://schemas.openxmlformats.org/drawingml/2006/main" xmlns:pic="http://schemas.openxmlformats.org/drawingml/2006/picture">
            <wp:extent cx="5806440" cy="5241925"/>
            <wp:docPr id="3" name="Picture 3" title="Figure 3" descr="Écran de choix entre projection depuis une fiche et mesures publiées."/>
            <wp:cNvGraphicFramePr>
              <a:graphicFrameLocks noChangeAspect="1"/>
            </wp:cNvGraphicFramePr>
            <a:graphic>
              <a:graphicData uri="http://schemas.openxmlformats.org/drawingml/2006/picture">
                <pic:pic>
                  <pic:nvPicPr>
                    <pic:cNvPr id="0" name="simulate.png"/>
                    <pic:cNvPicPr/>
                  </pic:nvPicPr>
                  <pic:blipFill>
                    <a:blip r:embed="rId16"/>
                    <a:stretch>
                      <a:fillRect/>
                    </a:stretch>
                  </pic:blipFill>
                  <pic:spPr>
                    <a:xfrm>
                      <a:off x="0" y="0"/>
                      <a:ext cx="5806440" cy="5241925"/>
                    </a:xfrm>
                    <a:prstGeom prst="rect"/>
                  </pic:spPr>
                </pic:pic>
              </a:graphicData>
            </a:graphic>
          </wp:inline>
        </w:drawing>
      </w:r>
    </w:p>
    <w:p>
      <w:pPr>
        <w:pStyle w:val="Figurecaption"/>
        <w:keepLines/>
      </w:pPr>
      <w:r>
        <w:t>Figure 3. Écran de choix entre projection depuis une fiche et mesures publiées.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328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Votre situation</w:t>
            </w:r>
          </w:p>
        </w:tc>
        <w:tc>
          <w:tcPr>
            <w:tcW w:type="dxa" w:w="2041"/>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Parcours</w:t>
            </w:r>
          </w:p>
        </w:tc>
        <w:tc>
          <w:tcPr>
            <w:tcW w:type="dxa" w:w="3685"/>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Résultat obtenu</w:t>
            </w:r>
          </w:p>
        </w:tc>
      </w:tr>
      <w:tr>
        <w:tc>
          <w:tcPr>
            <w:tcW w:type="dxa" w:w="3288"/>
            <w:shd w:fill="FFFFFF"/>
            <w:tcMar>
              <w:top w:w="90" w:type="dxa"/>
              <w:start w:w="110" w:type="dxa"/>
              <w:bottom w:w="90" w:type="dxa"/>
              <w:end w:w="110" w:type="dxa"/>
            </w:tcMar>
            <w:vAlign w:val="center"/>
          </w:tcPr>
          <w:p>
            <w:pPr>
              <w:spacing w:after="0"/>
              <w:jc w:val="left"/>
            </w:pPr>
            <w:r>
              <w:rPr>
                <w:rFonts w:ascii="Helvetica Neue" w:hAnsi="Helvetica Neue"/>
                <w:sz w:val="16"/>
              </w:rPr>
              <w:t>Vous possédez une fiche technique et des conditions de service</w:t>
            </w:r>
          </w:p>
        </w:tc>
        <w:tc>
          <w:tcPr>
            <w:tcW w:type="dxa" w:w="2041"/>
            <w:shd w:fill="FFFFFF"/>
            <w:tcMar>
              <w:top w:w="90" w:type="dxa"/>
              <w:start w:w="110" w:type="dxa"/>
              <w:bottom w:w="90" w:type="dxa"/>
              <w:end w:w="110" w:type="dxa"/>
            </w:tcMar>
            <w:vAlign w:val="center"/>
          </w:tcPr>
          <w:p>
            <w:pPr>
              <w:spacing w:after="0"/>
              <w:jc w:val="center"/>
            </w:pPr>
            <w:r>
              <w:rPr>
                <w:rFonts w:ascii="Helvetica Neue" w:hAnsi="Helvetica Neue"/>
                <w:sz w:val="16"/>
              </w:rPr>
              <w:t>Fiche matériau</w:t>
            </w:r>
          </w:p>
        </w:tc>
        <w:tc>
          <w:tcPr>
            <w:tcW w:type="dxa" w:w="3685"/>
            <w:shd w:fill="FFFFFF"/>
            <w:tcMar>
              <w:top w:w="90" w:type="dxa"/>
              <w:start w:w="110" w:type="dxa"/>
              <w:bottom w:w="90" w:type="dxa"/>
              <w:end w:w="110" w:type="dxa"/>
            </w:tcMar>
            <w:vAlign w:val="center"/>
          </w:tcPr>
          <w:p>
            <w:pPr>
              <w:spacing w:after="0"/>
              <w:jc w:val="left"/>
            </w:pPr>
            <w:r>
              <w:rPr>
                <w:rFonts w:ascii="Helvetica Neue" w:hAnsi="Helvetica Neue"/>
                <w:sz w:val="16"/>
              </w:rPr>
              <w:t>Estimation centrale et plage de sensibilité</w:t>
            </w:r>
          </w:p>
        </w:tc>
      </w:tr>
      <w:tr>
        <w:tc>
          <w:tcPr>
            <w:tcW w:type="dxa" w:w="3288"/>
            <w:shd w:fill="F5F8FC"/>
            <w:tcMar>
              <w:top w:w="90" w:type="dxa"/>
              <w:start w:w="110" w:type="dxa"/>
              <w:bottom w:w="90" w:type="dxa"/>
              <w:end w:w="110" w:type="dxa"/>
            </w:tcMar>
            <w:vAlign w:val="center"/>
          </w:tcPr>
          <w:p>
            <w:pPr>
              <w:spacing w:after="0"/>
              <w:jc w:val="left"/>
            </w:pPr>
            <w:r>
              <w:rPr>
                <w:rFonts w:ascii="Helvetica Neue" w:hAnsi="Helvetica Neue"/>
                <w:sz w:val="16"/>
              </w:rPr>
              <w:t>Vous voulez relire une publication déjà intégrée</w:t>
            </w:r>
          </w:p>
        </w:tc>
        <w:tc>
          <w:tcPr>
            <w:tcW w:type="dxa" w:w="2041"/>
            <w:shd w:fill="F5F8FC"/>
            <w:tcMar>
              <w:top w:w="90" w:type="dxa"/>
              <w:start w:w="110" w:type="dxa"/>
              <w:bottom w:w="90" w:type="dxa"/>
              <w:end w:w="110" w:type="dxa"/>
            </w:tcMar>
            <w:vAlign w:val="center"/>
          </w:tcPr>
          <w:p>
            <w:pPr>
              <w:spacing w:after="0"/>
              <w:jc w:val="center"/>
            </w:pPr>
            <w:r>
              <w:rPr>
                <w:rFonts w:ascii="Helvetica Neue" w:hAnsi="Helvetica Neue"/>
                <w:sz w:val="16"/>
              </w:rPr>
              <w:t>Mesures publiées</w:t>
            </w:r>
          </w:p>
        </w:tc>
        <w:tc>
          <w:tcPr>
            <w:tcW w:type="dxa" w:w="3685"/>
            <w:shd w:fill="F5F8FC"/>
            <w:tcMar>
              <w:top w:w="90" w:type="dxa"/>
              <w:start w:w="110" w:type="dxa"/>
              <w:bottom w:w="90" w:type="dxa"/>
              <w:end w:w="110" w:type="dxa"/>
            </w:tcMar>
            <w:vAlign w:val="center"/>
          </w:tcPr>
          <w:p>
            <w:pPr>
              <w:spacing w:after="0"/>
              <w:jc w:val="left"/>
            </w:pPr>
            <w:r>
              <w:rPr>
                <w:rFonts w:ascii="Helvetica Neue" w:hAnsi="Helvetica Neue"/>
                <w:sz w:val="16"/>
              </w:rPr>
              <w:t>Points, interpolation et dispersion dans la fenêtre observée</w:t>
            </w:r>
          </w:p>
        </w:tc>
      </w:tr>
      <w:tr>
        <w:tc>
          <w:tcPr>
            <w:tcW w:type="dxa" w:w="3288"/>
            <w:shd w:fill="FFFFFF"/>
            <w:tcMar>
              <w:top w:w="90" w:type="dxa"/>
              <w:start w:w="110" w:type="dxa"/>
              <w:bottom w:w="90" w:type="dxa"/>
              <w:end w:w="110" w:type="dxa"/>
            </w:tcMar>
            <w:vAlign w:val="center"/>
          </w:tcPr>
          <w:p>
            <w:pPr>
              <w:spacing w:after="0"/>
              <w:jc w:val="left"/>
            </w:pPr>
            <w:r>
              <w:rPr>
                <w:rFonts w:ascii="Helvetica Neue" w:hAnsi="Helvetica Neue"/>
                <w:sz w:val="16"/>
              </w:rPr>
              <w:t>Vous voulez comparer plusieurs options</w:t>
            </w:r>
          </w:p>
        </w:tc>
        <w:tc>
          <w:tcPr>
            <w:tcW w:type="dxa" w:w="2041"/>
            <w:shd w:fill="FFFFFF"/>
            <w:tcMar>
              <w:top w:w="90" w:type="dxa"/>
              <w:start w:w="110" w:type="dxa"/>
              <w:bottom w:w="90" w:type="dxa"/>
              <w:end w:w="110" w:type="dxa"/>
            </w:tcMar>
            <w:vAlign w:val="center"/>
          </w:tcPr>
          <w:p>
            <w:pPr>
              <w:spacing w:after="0"/>
              <w:jc w:val="center"/>
            </w:pPr>
            <w:r>
              <w:rPr>
                <w:rFonts w:ascii="Helvetica Neue" w:hAnsi="Helvetica Neue"/>
                <w:sz w:val="16"/>
              </w:rPr>
              <w:t>Comparer</w:t>
            </w:r>
          </w:p>
        </w:tc>
        <w:tc>
          <w:tcPr>
            <w:tcW w:type="dxa" w:w="3685"/>
            <w:shd w:fill="FFFFFF"/>
            <w:tcMar>
              <w:top w:w="90" w:type="dxa"/>
              <w:start w:w="110" w:type="dxa"/>
              <w:bottom w:w="90" w:type="dxa"/>
              <w:end w:w="110" w:type="dxa"/>
            </w:tcMar>
            <w:vAlign w:val="center"/>
          </w:tcPr>
          <w:p>
            <w:pPr>
              <w:spacing w:after="0"/>
              <w:jc w:val="left"/>
            </w:pPr>
            <w:r>
              <w:rPr>
                <w:rFonts w:ascii="Helvetica Neue" w:hAnsi="Helvetica Neue"/>
                <w:sz w:val="16"/>
              </w:rPr>
              <w:t>Courbes sur des axes et conditions communs</w:t>
            </w:r>
          </w:p>
        </w:tc>
      </w:tr>
      <w:tr>
        <w:tc>
          <w:tcPr>
            <w:tcW w:type="dxa" w:w="3288"/>
            <w:shd w:fill="F5F8FC"/>
            <w:tcMar>
              <w:top w:w="90" w:type="dxa"/>
              <w:start w:w="110" w:type="dxa"/>
              <w:bottom w:w="90" w:type="dxa"/>
              <w:end w:w="110" w:type="dxa"/>
            </w:tcMar>
            <w:vAlign w:val="center"/>
          </w:tcPr>
          <w:p>
            <w:pPr>
              <w:spacing w:after="0"/>
              <w:jc w:val="left"/>
            </w:pPr>
            <w:r>
              <w:rPr>
                <w:rFonts w:ascii="Helvetica Neue" w:hAnsi="Helvetica Neue"/>
                <w:sz w:val="16"/>
              </w:rPr>
              <w:t>Vous disposez de vos propres essais</w:t>
            </w:r>
          </w:p>
        </w:tc>
        <w:tc>
          <w:tcPr>
            <w:tcW w:type="dxa" w:w="2041"/>
            <w:shd w:fill="F5F8FC"/>
            <w:tcMar>
              <w:top w:w="90" w:type="dxa"/>
              <w:start w:w="110" w:type="dxa"/>
              <w:bottom w:w="90" w:type="dxa"/>
              <w:end w:w="110" w:type="dxa"/>
            </w:tcMar>
            <w:vAlign w:val="center"/>
          </w:tcPr>
          <w:p>
            <w:pPr>
              <w:spacing w:after="0"/>
              <w:jc w:val="center"/>
            </w:pPr>
            <w:r>
              <w:rPr>
                <w:rFonts w:ascii="Helvetica Neue" w:hAnsi="Helvetica Neue"/>
                <w:sz w:val="16"/>
              </w:rPr>
              <w:t>Données et modèles</w:t>
            </w:r>
          </w:p>
        </w:tc>
        <w:tc>
          <w:tcPr>
            <w:tcW w:type="dxa" w:w="3685"/>
            <w:shd w:fill="F5F8FC"/>
            <w:tcMar>
              <w:top w:w="90" w:type="dxa"/>
              <w:start w:w="110" w:type="dxa"/>
              <w:bottom w:w="90" w:type="dxa"/>
              <w:end w:w="110" w:type="dxa"/>
            </w:tcMar>
            <w:vAlign w:val="center"/>
          </w:tcPr>
          <w:p>
            <w:pPr>
              <w:spacing w:after="0"/>
              <w:jc w:val="left"/>
            </w:pPr>
            <w:r>
              <w:rPr>
                <w:rFonts w:ascii="Helvetica Neue" w:hAnsi="Helvetica Neue"/>
                <w:sz w:val="16"/>
              </w:rPr>
              <w:t>Import en attente de revue, puis analyse du corpus accepté</w:t>
            </w:r>
          </w:p>
        </w:tc>
      </w:tr>
    </w:tbl>
    <w:p>
      <w:pPr>
        <w:spacing w:after="20"/>
      </w:pPr>
    </w:p>
    <w:p>
      <w:pPr>
        <w:spacing w:before="100" w:after="100"/>
      </w:pPr>
      <w:r>
        <w:rPr>
          <w:b/>
          <w:color w:val="16315C"/>
        </w:rPr>
        <w:t xml:space="preserve">Ne mélangez pas les deux parcours. </w:t>
      </w:r>
      <w:r>
        <w:t>Une mesure publiée est une observation. Une courbe issue d'une fiche reste une estimation, même lorsqu'elle utilise des publications comparables.</w:t>
      </w:r>
    </w:p>
    <w:p>
      <w:pPr>
        <w:pStyle w:val="Smalllabel"/>
        <w:spacing w:before="0"/>
      </w:pPr>
      <w:r>
        <w:t>PARTIE 5</w:t>
      </w:r>
    </w:p>
    <w:p>
      <w:pPr>
        <w:pStyle w:val="Heading1"/>
        <w:spacing w:before="0"/>
      </w:pPr>
      <w:r>
        <w:t>Créer une projection depuis une fiche matériau</w:t>
      </w:r>
    </w:p>
    <w:p>
      <w:pPr>
        <w:spacing w:after="200"/>
        <w:keepLines/>
      </w:pPr>
      <w:r>
        <w:rPr>
          <w:color w:val="60708B"/>
          <w:sz w:val="21"/>
        </w:rPr>
        <w:t>La qualité du résultat dépend de la qualité des entrées. Chaque champ doit décrire le même grade, la même géométrie et les mêmes conditions.</w:t>
      </w:r>
    </w:p>
    <w:p>
      <w:pPr>
        <w:spacing w:after="0"/>
        <w:jc w:val="center"/>
        <w:keepNext/>
        <w:keepLines/>
      </w:pPr>
      <w:r>
        <w:drawing>
          <wp:inline xmlns:a="http://schemas.openxmlformats.org/drawingml/2006/main" xmlns:pic="http://schemas.openxmlformats.org/drawingml/2006/picture">
            <wp:extent cx="1920240" cy="5887329"/>
            <wp:docPr id="4" name="Picture 4" title="Figure 4" descr="Panneau des entrées : matériau, module initial, milieu, horizon et seuil."/>
            <wp:cNvGraphicFramePr>
              <a:graphicFrameLocks noChangeAspect="1"/>
            </wp:cNvGraphicFramePr>
            <a:graphic>
              <a:graphicData uri="http://schemas.openxmlformats.org/drawingml/2006/picture">
                <pic:pic>
                  <pic:nvPicPr>
                    <pic:cNvPr id="0" name="estimation_controls.png"/>
                    <pic:cNvPicPr/>
                  </pic:nvPicPr>
                  <pic:blipFill>
                    <a:blip r:embed="rId17"/>
                    <a:stretch>
                      <a:fillRect/>
                    </a:stretch>
                  </pic:blipFill>
                  <pic:spPr>
                    <a:xfrm>
                      <a:off x="0" y="0"/>
                      <a:ext cx="1920240" cy="5887329"/>
                    </a:xfrm>
                    <a:prstGeom prst="rect"/>
                  </pic:spPr>
                </pic:pic>
              </a:graphicData>
            </a:graphic>
          </wp:inline>
        </w:drawing>
      </w:r>
    </w:p>
    <w:p>
      <w:pPr>
        <w:pStyle w:val="Figurecaption"/>
        <w:keepLines/>
      </w:pPr>
      <w:r>
        <w:t>Figure 4. Panneau des entrées : matériau, module initial, milieu, horizon et seuil.</w:t>
      </w:r>
    </w:p>
    <w:p>
      <w:pPr>
        <w:pStyle w:val="Heading2"/>
      </w:pPr>
      <w:r>
        <w:t>1 Matériau et état initial</w:t>
      </w:r>
    </w:p>
    <w:p>
      <w:pPr>
        <w:spacing w:after="60"/>
        <w:ind w:left="312" w:hanging="142"/>
      </w:pPr>
      <w:r>
        <w:rPr>
          <w:b/>
          <w:color w:val="285FC5"/>
        </w:rPr>
        <w:t xml:space="preserve">- </w:t>
      </w:r>
      <w:r>
        <w:t>Choisir le matériau exact ou la famille la plus proche.</w:t>
      </w:r>
    </w:p>
    <w:p>
      <w:pPr>
        <w:spacing w:after="60"/>
        <w:ind w:left="312" w:hanging="142"/>
      </w:pPr>
      <w:r>
        <w:rPr>
          <w:b/>
          <w:color w:val="285FC5"/>
        </w:rPr>
        <w:t xml:space="preserve">- </w:t>
      </w:r>
      <w:r>
        <w:t>Remplacer E0 par le module de la fiche du grade choisi lorsque cette valeur est disponible.</w:t>
      </w:r>
    </w:p>
    <w:p>
      <w:pPr>
        <w:spacing w:after="60"/>
        <w:ind w:left="312" w:hanging="142"/>
      </w:pPr>
      <w:r>
        <w:rPr>
          <w:b/>
          <w:color w:val="285FC5"/>
        </w:rPr>
        <w:t xml:space="preserve">- </w:t>
      </w:r>
      <w:r>
        <w:t>Déplier le grade et le procédé pour contrôler la norme, le conditionnement, l'état sec ou humide et la plage officielle.</w:t>
      </w:r>
    </w:p>
    <w:p>
      <w:pPr>
        <w:pStyle w:val="Heading2"/>
      </w:pPr>
      <w:r>
        <w:t>2 Conditions de service</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757"/>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Entrée</w:t>
            </w:r>
          </w:p>
        </w:tc>
        <w:tc>
          <w:tcPr>
            <w:tcW w:type="dxa" w:w="345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Interprétation</w:t>
            </w:r>
          </w:p>
        </w:tc>
        <w:tc>
          <w:tcPr>
            <w:tcW w:type="dxa" w:w="379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Erreur fréquente</w:t>
            </w:r>
          </w:p>
        </w:tc>
      </w:tr>
      <w:tr>
        <w:tc>
          <w:tcPr>
            <w:tcW w:type="dxa" w:w="1757"/>
            <w:shd w:fill="FFFFFF"/>
            <w:tcMar>
              <w:top w:w="90" w:type="dxa"/>
              <w:start w:w="110" w:type="dxa"/>
              <w:bottom w:w="90" w:type="dxa"/>
              <w:end w:w="110" w:type="dxa"/>
            </w:tcMar>
            <w:vAlign w:val="center"/>
          </w:tcPr>
          <w:p>
            <w:pPr>
              <w:spacing w:after="0"/>
              <w:jc w:val="left"/>
            </w:pPr>
            <w:r>
              <w:rPr>
                <w:rFonts w:ascii="Helvetica Neue" w:hAnsi="Helvetica Neue"/>
                <w:sz w:val="16"/>
              </w:rPr>
              <w:t>Température</w:t>
            </w:r>
          </w:p>
        </w:tc>
        <w:tc>
          <w:tcPr>
            <w:tcW w:type="dxa" w:w="3458"/>
            <w:shd w:fill="FFFFFF"/>
            <w:tcMar>
              <w:top w:w="90" w:type="dxa"/>
              <w:start w:w="110" w:type="dxa"/>
              <w:bottom w:w="90" w:type="dxa"/>
              <w:end w:w="110" w:type="dxa"/>
            </w:tcMar>
            <w:vAlign w:val="center"/>
          </w:tcPr>
          <w:p>
            <w:pPr>
              <w:spacing w:after="0"/>
              <w:jc w:val="left"/>
            </w:pPr>
            <w:r>
              <w:rPr>
                <w:rFonts w:ascii="Helvetica Neue" w:hAnsi="Helvetica Neue"/>
                <w:sz w:val="16"/>
              </w:rPr>
              <w:t>Température du vieillissement</w:t>
            </w:r>
          </w:p>
        </w:tc>
        <w:tc>
          <w:tcPr>
            <w:tcW w:type="dxa" w:w="3798"/>
            <w:shd w:fill="FFFFFF"/>
            <w:tcMar>
              <w:top w:w="90" w:type="dxa"/>
              <w:start w:w="110" w:type="dxa"/>
              <w:bottom w:w="90" w:type="dxa"/>
              <w:end w:w="110" w:type="dxa"/>
            </w:tcMar>
            <w:vAlign w:val="center"/>
          </w:tcPr>
          <w:p>
            <w:pPr>
              <w:spacing w:after="0"/>
              <w:jc w:val="left"/>
            </w:pPr>
            <w:r>
              <w:rPr>
                <w:rFonts w:ascii="Helvetica Neue" w:hAnsi="Helvetica Neue"/>
                <w:sz w:val="16"/>
              </w:rPr>
              <w:t>Utiliser la température d'essai mécanique</w:t>
            </w:r>
          </w:p>
        </w:tc>
      </w:tr>
      <w:tr>
        <w:tc>
          <w:tcPr>
            <w:tcW w:type="dxa" w:w="1757"/>
            <w:shd w:fill="F5F8FC"/>
            <w:tcMar>
              <w:top w:w="90" w:type="dxa"/>
              <w:start w:w="110" w:type="dxa"/>
              <w:bottom w:w="90" w:type="dxa"/>
              <w:end w:w="110" w:type="dxa"/>
            </w:tcMar>
            <w:vAlign w:val="center"/>
          </w:tcPr>
          <w:p>
            <w:pPr>
              <w:spacing w:after="0"/>
              <w:jc w:val="left"/>
            </w:pPr>
            <w:r>
              <w:rPr>
                <w:rFonts w:ascii="Helvetica Neue" w:hAnsi="Helvetica Neue"/>
                <w:sz w:val="16"/>
              </w:rPr>
              <w:t>Humidité relative</w:t>
            </w:r>
          </w:p>
        </w:tc>
        <w:tc>
          <w:tcPr>
            <w:tcW w:type="dxa" w:w="3458"/>
            <w:shd w:fill="F5F8FC"/>
            <w:tcMar>
              <w:top w:w="90" w:type="dxa"/>
              <w:start w:w="110" w:type="dxa"/>
              <w:bottom w:w="90" w:type="dxa"/>
              <w:end w:w="110" w:type="dxa"/>
            </w:tcMar>
            <w:vAlign w:val="center"/>
          </w:tcPr>
          <w:p>
            <w:pPr>
              <w:spacing w:after="0"/>
              <w:jc w:val="left"/>
            </w:pPr>
            <w:r>
              <w:rPr>
                <w:rFonts w:ascii="Helvetica Neue" w:hAnsi="Helvetica Neue"/>
                <w:sz w:val="16"/>
              </w:rPr>
              <w:t>Humidité de l'air entre 0 et 100 %</w:t>
            </w:r>
          </w:p>
        </w:tc>
        <w:tc>
          <w:tcPr>
            <w:tcW w:type="dxa" w:w="3798"/>
            <w:shd w:fill="F5F8FC"/>
            <w:tcMar>
              <w:top w:w="90" w:type="dxa"/>
              <w:start w:w="110" w:type="dxa"/>
              <w:bottom w:w="90" w:type="dxa"/>
              <w:end w:w="110" w:type="dxa"/>
            </w:tcMar>
            <w:vAlign w:val="center"/>
          </w:tcPr>
          <w:p>
            <w:pPr>
              <w:spacing w:after="0"/>
              <w:jc w:val="left"/>
            </w:pPr>
            <w:r>
              <w:rPr>
                <w:rFonts w:ascii="Helvetica Neue" w:hAnsi="Helvetica Neue"/>
                <w:sz w:val="16"/>
              </w:rPr>
              <w:t>La renseigner en immersion, où elle est ignorée</w:t>
            </w:r>
          </w:p>
        </w:tc>
      </w:tr>
      <w:tr>
        <w:tc>
          <w:tcPr>
            <w:tcW w:type="dxa" w:w="1757"/>
            <w:shd w:fill="FFFFFF"/>
            <w:tcMar>
              <w:top w:w="90" w:type="dxa"/>
              <w:start w:w="110" w:type="dxa"/>
              <w:bottom w:w="90" w:type="dxa"/>
              <w:end w:w="110" w:type="dxa"/>
            </w:tcMar>
            <w:vAlign w:val="center"/>
          </w:tcPr>
          <w:p>
            <w:pPr>
              <w:spacing w:after="0"/>
              <w:jc w:val="left"/>
            </w:pPr>
            <w:r>
              <w:rPr>
                <w:rFonts w:ascii="Helvetica Neue" w:hAnsi="Helvetica Neue"/>
                <w:sz w:val="16"/>
              </w:rPr>
              <w:t>Épaisseur</w:t>
            </w:r>
          </w:p>
        </w:tc>
        <w:tc>
          <w:tcPr>
            <w:tcW w:type="dxa" w:w="3458"/>
            <w:shd w:fill="FFFFFF"/>
            <w:tcMar>
              <w:top w:w="90" w:type="dxa"/>
              <w:start w:w="110" w:type="dxa"/>
              <w:bottom w:w="90" w:type="dxa"/>
              <w:end w:w="110" w:type="dxa"/>
            </w:tcMar>
            <w:vAlign w:val="center"/>
          </w:tcPr>
          <w:p>
            <w:pPr>
              <w:spacing w:after="0"/>
              <w:jc w:val="left"/>
            </w:pPr>
            <w:r>
              <w:rPr>
                <w:rFonts w:ascii="Helvetica Neue" w:hAnsi="Helvetica Neue"/>
                <w:sz w:val="16"/>
              </w:rPr>
              <w:t>Épaisseur exposée ou de l'éprouvette</w:t>
            </w:r>
          </w:p>
        </w:tc>
        <w:tc>
          <w:tcPr>
            <w:tcW w:type="dxa" w:w="3798"/>
            <w:shd w:fill="FFFFFF"/>
            <w:tcMar>
              <w:top w:w="90" w:type="dxa"/>
              <w:start w:w="110" w:type="dxa"/>
              <w:bottom w:w="90" w:type="dxa"/>
              <w:end w:w="110" w:type="dxa"/>
            </w:tcMar>
            <w:vAlign w:val="center"/>
          </w:tcPr>
          <w:p>
            <w:pPr>
              <w:spacing w:after="0"/>
              <w:jc w:val="left"/>
            </w:pPr>
            <w:r>
              <w:rPr>
                <w:rFonts w:ascii="Helvetica Neue" w:hAnsi="Helvetica Neue"/>
                <w:sz w:val="16"/>
              </w:rPr>
              <w:t>Mélanger mm et micromètres</w:t>
            </w:r>
          </w:p>
        </w:tc>
      </w:tr>
      <w:tr>
        <w:tc>
          <w:tcPr>
            <w:tcW w:type="dxa" w:w="1757"/>
            <w:shd w:fill="F5F8FC"/>
            <w:tcMar>
              <w:top w:w="90" w:type="dxa"/>
              <w:start w:w="110" w:type="dxa"/>
              <w:bottom w:w="90" w:type="dxa"/>
              <w:end w:w="110" w:type="dxa"/>
            </w:tcMar>
            <w:vAlign w:val="center"/>
          </w:tcPr>
          <w:p>
            <w:pPr>
              <w:spacing w:after="0"/>
              <w:jc w:val="left"/>
            </w:pPr>
            <w:r>
              <w:rPr>
                <w:rFonts w:ascii="Helvetica Neue" w:hAnsi="Helvetica Neue"/>
                <w:sz w:val="16"/>
              </w:rPr>
              <w:t>Milieu</w:t>
            </w:r>
          </w:p>
        </w:tc>
        <w:tc>
          <w:tcPr>
            <w:tcW w:type="dxa" w:w="3458"/>
            <w:shd w:fill="F5F8FC"/>
            <w:tcMar>
              <w:top w:w="90" w:type="dxa"/>
              <w:start w:w="110" w:type="dxa"/>
              <w:bottom w:w="90" w:type="dxa"/>
              <w:end w:w="110" w:type="dxa"/>
            </w:tcMar>
            <w:vAlign w:val="center"/>
          </w:tcPr>
          <w:p>
            <w:pPr>
              <w:spacing w:after="0"/>
              <w:jc w:val="left"/>
            </w:pPr>
            <w:r>
              <w:rPr>
                <w:rFonts w:ascii="Helvetica Neue" w:hAnsi="Helvetica Neue"/>
                <w:sz w:val="16"/>
              </w:rPr>
              <w:t>Air intérieur, extérieur UV ou immersion</w:t>
            </w:r>
          </w:p>
        </w:tc>
        <w:tc>
          <w:tcPr>
            <w:tcW w:type="dxa" w:w="3798"/>
            <w:shd w:fill="F5F8FC"/>
            <w:tcMar>
              <w:top w:w="90" w:type="dxa"/>
              <w:start w:w="110" w:type="dxa"/>
              <w:bottom w:w="90" w:type="dxa"/>
              <w:end w:w="110" w:type="dxa"/>
            </w:tcMar>
            <w:vAlign w:val="center"/>
          </w:tcPr>
          <w:p>
            <w:pPr>
              <w:spacing w:after="0"/>
              <w:jc w:val="left"/>
            </w:pPr>
            <w:r>
              <w:rPr>
                <w:rFonts w:ascii="Helvetica Neue" w:hAnsi="Helvetica Neue"/>
                <w:sz w:val="16"/>
              </w:rPr>
              <w:t>Choisir extérieur sans exposition UV réelle</w:t>
            </w:r>
          </w:p>
        </w:tc>
      </w:tr>
      <w:tr>
        <w:tc>
          <w:tcPr>
            <w:tcW w:type="dxa" w:w="1757"/>
            <w:shd w:fill="FFFFFF"/>
            <w:tcMar>
              <w:top w:w="90" w:type="dxa"/>
              <w:start w:w="110" w:type="dxa"/>
              <w:bottom w:w="90" w:type="dxa"/>
              <w:end w:w="110" w:type="dxa"/>
            </w:tcMar>
            <w:vAlign w:val="center"/>
          </w:tcPr>
          <w:p>
            <w:pPr>
              <w:spacing w:after="0"/>
              <w:jc w:val="left"/>
            </w:pPr>
            <w:r>
              <w:rPr>
                <w:rFonts w:ascii="Helvetica Neue" w:hAnsi="Helvetica Neue"/>
                <w:sz w:val="16"/>
              </w:rPr>
              <w:t>Liquide</w:t>
            </w:r>
          </w:p>
        </w:tc>
        <w:tc>
          <w:tcPr>
            <w:tcW w:type="dxa" w:w="3458"/>
            <w:shd w:fill="FFFFFF"/>
            <w:tcMar>
              <w:top w:w="90" w:type="dxa"/>
              <w:start w:w="110" w:type="dxa"/>
              <w:bottom w:w="90" w:type="dxa"/>
              <w:end w:w="110" w:type="dxa"/>
            </w:tcMar>
            <w:vAlign w:val="center"/>
          </w:tcPr>
          <w:p>
            <w:pPr>
              <w:spacing w:after="0"/>
              <w:jc w:val="left"/>
            </w:pPr>
            <w:r>
              <w:rPr>
                <w:rFonts w:ascii="Helvetica Neue" w:hAnsi="Helvetica Neue"/>
                <w:sz w:val="16"/>
              </w:rPr>
              <w:t>Nature du bain en immersion</w:t>
            </w:r>
          </w:p>
        </w:tc>
        <w:tc>
          <w:tcPr>
            <w:tcW w:type="dxa" w:w="3798"/>
            <w:shd w:fill="FFFFFF"/>
            <w:tcMar>
              <w:top w:w="90" w:type="dxa"/>
              <w:start w:w="110" w:type="dxa"/>
              <w:bottom w:w="90" w:type="dxa"/>
              <w:end w:w="110" w:type="dxa"/>
            </w:tcMar>
            <w:vAlign w:val="center"/>
          </w:tcPr>
          <w:p>
            <w:pPr>
              <w:spacing w:after="0"/>
              <w:jc w:val="left"/>
            </w:pPr>
            <w:r>
              <w:rPr>
                <w:rFonts w:ascii="Helvetica Neue" w:hAnsi="Helvetica Neue"/>
                <w:sz w:val="16"/>
              </w:rPr>
              <w:t>Assimiler tous les liquides à l'eau</w:t>
            </w:r>
          </w:p>
        </w:tc>
      </w:tr>
    </w:tbl>
    <w:p>
      <w:pPr>
        <w:spacing w:after="20"/>
      </w:pPr>
    </w:p>
    <w:p>
      <w:pPr>
        <w:pStyle w:val="Heading2"/>
      </w:pPr>
      <w:r>
        <w:t>3 Objectif de lecture</w:t>
      </w:r>
    </w:p>
    <w:p>
      <w:pPr>
        <w:spacing w:after="60"/>
        <w:ind w:left="312" w:hanging="142"/>
      </w:pPr>
      <w:r>
        <w:rPr>
          <w:b/>
          <w:color w:val="285FC5"/>
        </w:rPr>
        <w:t xml:space="preserve">- </w:t>
      </w:r>
      <w:r>
        <w:t>Horizon : durée affichée en jours, mois ou années.</w:t>
      </w:r>
    </w:p>
    <w:p>
      <w:pPr>
        <w:spacing w:after="60"/>
        <w:ind w:left="312" w:hanging="142"/>
      </w:pPr>
      <w:r>
        <w:rPr>
          <w:b/>
          <w:color w:val="285FC5"/>
        </w:rPr>
        <w:t xml:space="preserve">- </w:t>
      </w:r>
      <w:r>
        <w:t>Seuil conservé : pourcentage du module initial considéré comme limite de lecture.</w:t>
      </w:r>
    </w:p>
    <w:p>
      <w:pPr>
        <w:spacing w:after="60"/>
        <w:ind w:left="312" w:hanging="142"/>
      </w:pPr>
      <w:r>
        <w:rPr>
          <w:b/>
          <w:color w:val="285FC5"/>
        </w:rPr>
        <w:t xml:space="preserve">- </w:t>
      </w:r>
      <w:r>
        <w:t>Exemple : un seuil de 80 % avec E0 = 1 500 MPa correspond à une ligne de 1 200 MPa.</w:t>
      </w:r>
    </w:p>
    <w:p>
      <w:pPr>
        <w:spacing w:before="100" w:after="100"/>
      </w:pPr>
      <w:r>
        <w:rPr>
          <w:b/>
          <w:color w:val="16315C"/>
        </w:rPr>
        <w:t xml:space="preserve">Avant de calculer. </w:t>
      </w:r>
      <w:r>
        <w:t>Ouvrez Vérifier les entrées. Si le score de préparation est faible, complétez le grade, le procédé, le milieu et la source du module initial.</w:t>
      </w:r>
    </w:p>
    <w:p>
      <w:r>
        <w:br w:type="page"/>
      </w:r>
    </w:p>
    <w:p>
      <w:pPr>
        <w:pStyle w:val="Smalllabel"/>
        <w:spacing w:before="0"/>
      </w:pPr>
      <w:r>
        <w:t>PARTIE 6</w:t>
      </w:r>
    </w:p>
    <w:p>
      <w:pPr>
        <w:pStyle w:val="Heading1"/>
        <w:spacing w:before="0"/>
      </w:pPr>
      <w:r>
        <w:t>Interpréter le résultat de la projection</w:t>
      </w:r>
    </w:p>
    <w:p>
      <w:pPr>
        <w:spacing w:after="200"/>
        <w:keepLines/>
      </w:pPr>
      <w:r>
        <w:rPr>
          <w:color w:val="60708B"/>
          <w:sz w:val="21"/>
        </w:rPr>
        <w:t>Lisez les cartes de gauche à droite, puis la courbe, puis la méthode et les limites.</w:t>
      </w:r>
    </w:p>
    <w:p>
      <w:pPr>
        <w:spacing w:after="0"/>
        <w:jc w:val="center"/>
        <w:keepNext/>
        <w:keepLines/>
      </w:pPr>
      <w:r>
        <w:drawing>
          <wp:inline xmlns:a="http://schemas.openxmlformats.org/drawingml/2006/main" xmlns:pic="http://schemas.openxmlformats.org/drawingml/2006/picture">
            <wp:extent cx="3840480" cy="6987540"/>
            <wp:docPr id="5" name="Picture 5" title="Figure 5" descr="Aperçu instantané du résultat et actions d'export."/>
            <wp:cNvGraphicFramePr>
              <a:graphicFrameLocks noChangeAspect="1"/>
            </wp:cNvGraphicFramePr>
            <a:graphic>
              <a:graphicData uri="http://schemas.openxmlformats.org/drawingml/2006/picture">
                <pic:pic>
                  <pic:nvPicPr>
                    <pic:cNvPr id="0" name="estimation_result.png"/>
                    <pic:cNvPicPr/>
                  </pic:nvPicPr>
                  <pic:blipFill>
                    <a:blip r:embed="rId18"/>
                    <a:stretch>
                      <a:fillRect/>
                    </a:stretch>
                  </pic:blipFill>
                  <pic:spPr>
                    <a:xfrm>
                      <a:off x="0" y="0"/>
                      <a:ext cx="3840480" cy="6987540"/>
                    </a:xfrm>
                    <a:prstGeom prst="rect"/>
                  </pic:spPr>
                </pic:pic>
              </a:graphicData>
            </a:graphic>
          </wp:inline>
        </w:drawing>
      </w:r>
    </w:p>
    <w:p>
      <w:pPr>
        <w:pStyle w:val="Figurecaption"/>
        <w:keepLines/>
      </w:pPr>
      <w:r>
        <w:t>Figure 5. Aperçu instantané du résultat et actions d'export.</w:t>
      </w:r>
    </w:p>
    <w:p>
      <w:pPr>
        <w:pStyle w:val="Heading2"/>
      </w:pPr>
      <w:r>
        <w:t>La première carte donne la valeur de travail</w:t>
      </w:r>
    </w:p>
    <w:p>
      <w:r>
        <w:rPr>
          <w:i w:val="0"/>
        </w:rPr>
        <w:t>La prévision P50 est la courbe centrale recommandée pour comparer les scénarios et figer une hypothèse avant essais. À l'horizon demandé, elle indique le module prévu et le pourcentage de module conservé.</w:t>
      </w:r>
    </w:p>
    <w:p>
      <w:pPr>
        <w:pStyle w:val="Heading2"/>
      </w:pPr>
      <w:r>
        <w:t>La deuxième carte donne les bornes</w:t>
      </w:r>
    </w:p>
    <w:p>
      <w:r>
        <w:rPr>
          <w:i w:val="0"/>
        </w:rPr>
        <w:t>Les bornes n'ont pas toujours la même nature. L'interface indique s'il s'agit d'un intervalle prédictif pilote P10-P90 ou d'une plage indicative de transfert. Une plage non statistique ne doit jamais être lue comme une probabilité de 80 %.</w:t>
      </w:r>
    </w:p>
    <w:p>
      <w:pPr>
        <w:pStyle w:val="Heading2"/>
      </w:pPr>
      <w:r>
        <w:t>La troisième carte donne le temps au seuil</w:t>
      </w:r>
    </w:p>
    <w:p>
      <w:r>
        <w:rPr>
          <w:i w:val="0"/>
        </w:rPr>
        <w:t>Le temps central au seuil est le moment où la ligne P50 croise la limite choisie. Si ce temps dépasse la fenêtre de preuve publiée, il s'agit d'une extrapolation documentaire, même si une valeur numérique est affichée.</w:t>
      </w:r>
    </w:p>
    <w:p>
      <w:pPr>
        <w:pStyle w:val="Heading2"/>
      </w:pPr>
      <w:r>
        <w:t>Exemple commenté de l'écran</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3061"/>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Valeur affichée</w:t>
            </w:r>
          </w:p>
        </w:tc>
        <w:tc>
          <w:tcPr>
            <w:tcW w:type="dxa" w:w="5953"/>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Lecture correcte</w:t>
            </w:r>
          </w:p>
        </w:tc>
      </w:tr>
      <w:tr>
        <w:tc>
          <w:tcPr>
            <w:tcW w:type="dxa" w:w="3061"/>
            <w:shd w:fill="FFFFFF"/>
            <w:tcMar>
              <w:top w:w="90" w:type="dxa"/>
              <w:start w:w="110" w:type="dxa"/>
              <w:bottom w:w="90" w:type="dxa"/>
              <w:end w:w="110" w:type="dxa"/>
            </w:tcMar>
            <w:vAlign w:val="center"/>
          </w:tcPr>
          <w:p>
            <w:pPr>
              <w:spacing w:after="0"/>
              <w:jc w:val="left"/>
            </w:pPr>
            <w:r>
              <w:rPr>
                <w:rFonts w:ascii="Helvetica Neue" w:hAnsi="Helvetica Neue"/>
                <w:sz w:val="16"/>
              </w:rPr>
              <w:t>P50 à 120 jours : 1 350 MPa</w:t>
            </w:r>
          </w:p>
        </w:tc>
        <w:tc>
          <w:tcPr>
            <w:tcW w:type="dxa" w:w="5953"/>
            <w:shd w:fill="FFFFFF"/>
            <w:tcMar>
              <w:top w:w="90" w:type="dxa"/>
              <w:start w:w="110" w:type="dxa"/>
              <w:bottom w:w="90" w:type="dxa"/>
              <w:end w:w="110" w:type="dxa"/>
            </w:tcMar>
            <w:vAlign w:val="center"/>
          </w:tcPr>
          <w:p>
            <w:pPr>
              <w:spacing w:after="0"/>
              <w:jc w:val="left"/>
            </w:pPr>
            <w:r>
              <w:rPr>
                <w:rFonts w:ascii="Helvetica Neue" w:hAnsi="Helvetica Neue"/>
                <w:sz w:val="16"/>
              </w:rPr>
              <w:t>Valeur centrale à l'horizon, soit 90 % de E0</w:t>
            </w:r>
          </w:p>
        </w:tc>
      </w:tr>
      <w:tr>
        <w:tc>
          <w:tcPr>
            <w:tcW w:type="dxa" w:w="3061"/>
            <w:shd w:fill="F5F8FC"/>
            <w:tcMar>
              <w:top w:w="90" w:type="dxa"/>
              <w:start w:w="110" w:type="dxa"/>
              <w:bottom w:w="90" w:type="dxa"/>
              <w:end w:w="110" w:type="dxa"/>
            </w:tcMar>
            <w:vAlign w:val="center"/>
          </w:tcPr>
          <w:p>
            <w:pPr>
              <w:spacing w:after="0"/>
              <w:jc w:val="left"/>
            </w:pPr>
            <w:r>
              <w:rPr>
                <w:rFonts w:ascii="Helvetica Neue" w:hAnsi="Helvetica Neue"/>
                <w:sz w:val="16"/>
              </w:rPr>
              <w:t>Bornes : 710 à 2 048 MPa</w:t>
            </w:r>
          </w:p>
        </w:tc>
        <w:tc>
          <w:tcPr>
            <w:tcW w:type="dxa" w:w="5953"/>
            <w:shd w:fill="F5F8FC"/>
            <w:tcMar>
              <w:top w:w="90" w:type="dxa"/>
              <w:start w:w="110" w:type="dxa"/>
              <w:bottom w:w="90" w:type="dxa"/>
              <w:end w:w="110" w:type="dxa"/>
            </w:tcMar>
            <w:vAlign w:val="center"/>
          </w:tcPr>
          <w:p>
            <w:pPr>
              <w:spacing w:after="0"/>
              <w:jc w:val="left"/>
            </w:pPr>
            <w:r>
              <w:rPr>
                <w:rFonts w:ascii="Helvetica Neue" w:hAnsi="Helvetica Neue"/>
                <w:sz w:val="16"/>
              </w:rPr>
              <w:t>P10-P90 pilote dans la fenêtre annoncée</w:t>
            </w:r>
          </w:p>
        </w:tc>
      </w:tr>
      <w:tr>
        <w:tc>
          <w:tcPr>
            <w:tcW w:type="dxa" w:w="3061"/>
            <w:shd w:fill="FFFFFF"/>
            <w:tcMar>
              <w:top w:w="90" w:type="dxa"/>
              <w:start w:w="110" w:type="dxa"/>
              <w:bottom w:w="90" w:type="dxa"/>
              <w:end w:w="110" w:type="dxa"/>
            </w:tcMar>
            <w:vAlign w:val="center"/>
          </w:tcPr>
          <w:p>
            <w:pPr>
              <w:spacing w:after="0"/>
              <w:jc w:val="left"/>
            </w:pPr>
            <w:r>
              <w:rPr>
                <w:rFonts w:ascii="Helvetica Neue" w:hAnsi="Helvetica Neue"/>
                <w:sz w:val="16"/>
              </w:rPr>
              <w:t>Seuil : 80 %</w:t>
            </w:r>
          </w:p>
        </w:tc>
        <w:tc>
          <w:tcPr>
            <w:tcW w:type="dxa" w:w="5953"/>
            <w:shd w:fill="FFFFFF"/>
            <w:tcMar>
              <w:top w:w="90" w:type="dxa"/>
              <w:start w:w="110" w:type="dxa"/>
              <w:bottom w:w="90" w:type="dxa"/>
              <w:end w:w="110" w:type="dxa"/>
            </w:tcMar>
            <w:vAlign w:val="center"/>
          </w:tcPr>
          <w:p>
            <w:pPr>
              <w:spacing w:after="0"/>
              <w:jc w:val="left"/>
            </w:pPr>
            <w:r>
              <w:rPr>
                <w:rFonts w:ascii="Helvetica Neue" w:hAnsi="Helvetica Neue"/>
                <w:sz w:val="16"/>
              </w:rPr>
              <w:t>Limite horizontale à 1 200 MPa pour E0 = 1 500 MPa</w:t>
            </w:r>
          </w:p>
        </w:tc>
      </w:tr>
      <w:tr>
        <w:tc>
          <w:tcPr>
            <w:tcW w:type="dxa" w:w="3061"/>
            <w:shd w:fill="F5F8FC"/>
            <w:tcMar>
              <w:top w:w="90" w:type="dxa"/>
              <w:start w:w="110" w:type="dxa"/>
              <w:bottom w:w="90" w:type="dxa"/>
              <w:end w:w="110" w:type="dxa"/>
            </w:tcMar>
            <w:vAlign w:val="center"/>
          </w:tcPr>
          <w:p>
            <w:pPr>
              <w:spacing w:after="0"/>
              <w:jc w:val="left"/>
            </w:pPr>
            <w:r>
              <w:rPr>
                <w:rFonts w:ascii="Helvetica Neue" w:hAnsi="Helvetica Neue"/>
                <w:sz w:val="16"/>
              </w:rPr>
              <w:t>Temps central : 8 mois</w:t>
            </w:r>
          </w:p>
        </w:tc>
        <w:tc>
          <w:tcPr>
            <w:tcW w:type="dxa" w:w="5953"/>
            <w:shd w:fill="F5F8FC"/>
            <w:tcMar>
              <w:top w:w="90" w:type="dxa"/>
              <w:start w:w="110" w:type="dxa"/>
              <w:bottom w:w="90" w:type="dxa"/>
              <w:end w:w="110" w:type="dxa"/>
            </w:tcMar>
            <w:vAlign w:val="center"/>
          </w:tcPr>
          <w:p>
            <w:pPr>
              <w:spacing w:after="0"/>
              <w:jc w:val="left"/>
            </w:pPr>
            <w:r>
              <w:rPr>
                <w:rFonts w:ascii="Helvetica Neue" w:hAnsi="Helvetica Neue"/>
                <w:sz w:val="16"/>
              </w:rPr>
              <w:t>Extrapolation au-delà des 120 jours observés</w:t>
            </w:r>
          </w:p>
        </w:tc>
      </w:tr>
    </w:tbl>
    <w:p>
      <w:pPr>
        <w:spacing w:after="20"/>
      </w:pPr>
    </w:p>
    <w:p>
      <w:r>
        <w:br w:type="page"/>
      </w:r>
    </w:p>
    <w:p>
      <w:pPr>
        <w:pStyle w:val="Heading1"/>
      </w:pPr>
      <w:r>
        <w:t>Lire la courbe</w:t>
      </w:r>
    </w:p>
    <w:p>
      <w:pPr>
        <w:spacing w:after="0"/>
        <w:jc w:val="center"/>
        <w:keepNext/>
        <w:keepLines/>
      </w:pPr>
      <w:r>
        <w:drawing>
          <wp:inline xmlns:a="http://schemas.openxmlformats.org/drawingml/2006/main" xmlns:pic="http://schemas.openxmlformats.org/drawingml/2006/picture">
            <wp:extent cx="5715000" cy="5052391"/>
            <wp:docPr id="6" name="Picture 6" title="Figure 6" descr="Courbe centrale, bande d'incertitude, seuil et fin des observations comparables."/>
            <wp:cNvGraphicFramePr>
              <a:graphicFrameLocks noChangeAspect="1"/>
            </wp:cNvGraphicFramePr>
            <a:graphic>
              <a:graphicData uri="http://schemas.openxmlformats.org/drawingml/2006/picture">
                <pic:pic>
                  <pic:nvPicPr>
                    <pic:cNvPr id="0" name="estimation_curve.png"/>
                    <pic:cNvPicPr/>
                  </pic:nvPicPr>
                  <pic:blipFill>
                    <a:blip r:embed="rId19"/>
                    <a:stretch>
                      <a:fillRect/>
                    </a:stretch>
                  </pic:blipFill>
                  <pic:spPr>
                    <a:xfrm>
                      <a:off x="0" y="0"/>
                      <a:ext cx="5715000" cy="5052391"/>
                    </a:xfrm>
                    <a:prstGeom prst="rect"/>
                  </pic:spPr>
                </pic:pic>
              </a:graphicData>
            </a:graphic>
          </wp:inline>
        </w:drawing>
      </w:r>
    </w:p>
    <w:p>
      <w:pPr>
        <w:pStyle w:val="Figurecaption"/>
        <w:keepLines/>
      </w:pPr>
      <w:r>
        <w:t>Figure 6. Courbe centrale, bande d'incertitude, seuil et fin des observations comparables.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814"/>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Élément graphique</w:t>
            </w:r>
          </w:p>
        </w:tc>
        <w:tc>
          <w:tcPr>
            <w:tcW w:type="dxa" w:w="3969"/>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Signification</w:t>
            </w:r>
          </w:p>
        </w:tc>
        <w:tc>
          <w:tcPr>
            <w:tcW w:type="dxa" w:w="3231"/>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Décision</w:t>
            </w:r>
          </w:p>
        </w:tc>
      </w:tr>
      <w:tr>
        <w:tc>
          <w:tcPr>
            <w:tcW w:type="dxa" w:w="1814"/>
            <w:shd w:fill="FFFFFF"/>
            <w:tcMar>
              <w:top w:w="90" w:type="dxa"/>
              <w:start w:w="110" w:type="dxa"/>
              <w:bottom w:w="90" w:type="dxa"/>
              <w:end w:w="110" w:type="dxa"/>
            </w:tcMar>
            <w:vAlign w:val="center"/>
          </w:tcPr>
          <w:p>
            <w:pPr>
              <w:spacing w:after="0"/>
              <w:jc w:val="left"/>
            </w:pPr>
            <w:r>
              <w:rPr>
                <w:rFonts w:ascii="Helvetica Neue" w:hAnsi="Helvetica Neue"/>
                <w:sz w:val="16"/>
              </w:rPr>
              <w:t>Ligne bleue</w:t>
            </w:r>
          </w:p>
        </w:tc>
        <w:tc>
          <w:tcPr>
            <w:tcW w:type="dxa" w:w="3969"/>
            <w:shd w:fill="FFFFFF"/>
            <w:tcMar>
              <w:top w:w="90" w:type="dxa"/>
              <w:start w:w="110" w:type="dxa"/>
              <w:bottom w:w="90" w:type="dxa"/>
              <w:end w:w="110" w:type="dxa"/>
            </w:tcMar>
            <w:vAlign w:val="center"/>
          </w:tcPr>
          <w:p>
            <w:pPr>
              <w:spacing w:after="0"/>
              <w:jc w:val="left"/>
            </w:pPr>
            <w:r>
              <w:rPr>
                <w:rFonts w:ascii="Helvetica Neue" w:hAnsi="Helvetica Neue"/>
                <w:sz w:val="16"/>
              </w:rPr>
              <w:t>P50 ou meilleure estimation centrale</w:t>
            </w:r>
          </w:p>
        </w:tc>
        <w:tc>
          <w:tcPr>
            <w:tcW w:type="dxa" w:w="3231"/>
            <w:shd w:fill="FFFFFF"/>
            <w:tcMar>
              <w:top w:w="90" w:type="dxa"/>
              <w:start w:w="110" w:type="dxa"/>
              <w:bottom w:w="90" w:type="dxa"/>
              <w:end w:w="110" w:type="dxa"/>
            </w:tcMar>
            <w:vAlign w:val="center"/>
          </w:tcPr>
          <w:p>
            <w:pPr>
              <w:spacing w:after="0"/>
              <w:jc w:val="left"/>
            </w:pPr>
            <w:r>
              <w:rPr>
                <w:rFonts w:ascii="Helvetica Neue" w:hAnsi="Helvetica Neue"/>
                <w:sz w:val="16"/>
              </w:rPr>
              <w:t>Valeur à figer pour une comparaison aveugle</w:t>
            </w:r>
          </w:p>
        </w:tc>
      </w:tr>
      <w:tr>
        <w:tc>
          <w:tcPr>
            <w:tcW w:type="dxa" w:w="1814"/>
            <w:shd w:fill="F5F8FC"/>
            <w:tcMar>
              <w:top w:w="90" w:type="dxa"/>
              <w:start w:w="110" w:type="dxa"/>
              <w:bottom w:w="90" w:type="dxa"/>
              <w:end w:w="110" w:type="dxa"/>
            </w:tcMar>
            <w:vAlign w:val="center"/>
          </w:tcPr>
          <w:p>
            <w:pPr>
              <w:spacing w:after="0"/>
              <w:jc w:val="left"/>
            </w:pPr>
            <w:r>
              <w:rPr>
                <w:rFonts w:ascii="Helvetica Neue" w:hAnsi="Helvetica Neue"/>
                <w:sz w:val="16"/>
              </w:rPr>
              <w:t>Zone bleue</w:t>
            </w:r>
          </w:p>
        </w:tc>
        <w:tc>
          <w:tcPr>
            <w:tcW w:type="dxa" w:w="3969"/>
            <w:shd w:fill="F5F8FC"/>
            <w:tcMar>
              <w:top w:w="90" w:type="dxa"/>
              <w:start w:w="110" w:type="dxa"/>
              <w:bottom w:w="90" w:type="dxa"/>
              <w:end w:w="110" w:type="dxa"/>
            </w:tcMar>
            <w:vAlign w:val="center"/>
          </w:tcPr>
          <w:p>
            <w:pPr>
              <w:spacing w:after="0"/>
              <w:jc w:val="left"/>
            </w:pPr>
            <w:r>
              <w:rPr>
                <w:rFonts w:ascii="Helvetica Neue" w:hAnsi="Helvetica Neue"/>
                <w:sz w:val="16"/>
              </w:rPr>
              <w:t>P10-P90 pilote ou sensibilité documentaire</w:t>
            </w:r>
          </w:p>
        </w:tc>
        <w:tc>
          <w:tcPr>
            <w:tcW w:type="dxa" w:w="3231"/>
            <w:shd w:fill="F5F8FC"/>
            <w:tcMar>
              <w:top w:w="90" w:type="dxa"/>
              <w:start w:w="110" w:type="dxa"/>
              <w:bottom w:w="90" w:type="dxa"/>
              <w:end w:w="110" w:type="dxa"/>
            </w:tcMar>
            <w:vAlign w:val="center"/>
          </w:tcPr>
          <w:p>
            <w:pPr>
              <w:spacing w:after="0"/>
              <w:jc w:val="left"/>
            </w:pPr>
            <w:r>
              <w:rPr>
                <w:rFonts w:ascii="Helvetica Neue" w:hAnsi="Helvetica Neue"/>
                <w:sz w:val="16"/>
              </w:rPr>
              <w:t>Lire sa nature dans la légende et la méthode</w:t>
            </w:r>
          </w:p>
        </w:tc>
      </w:tr>
      <w:tr>
        <w:tc>
          <w:tcPr>
            <w:tcW w:type="dxa" w:w="1814"/>
            <w:shd w:fill="FFFFFF"/>
            <w:tcMar>
              <w:top w:w="90" w:type="dxa"/>
              <w:start w:w="110" w:type="dxa"/>
              <w:bottom w:w="90" w:type="dxa"/>
              <w:end w:w="110" w:type="dxa"/>
            </w:tcMar>
            <w:vAlign w:val="center"/>
          </w:tcPr>
          <w:p>
            <w:pPr>
              <w:spacing w:after="0"/>
              <w:jc w:val="left"/>
            </w:pPr>
            <w:r>
              <w:rPr>
                <w:rFonts w:ascii="Helvetica Neue" w:hAnsi="Helvetica Neue"/>
                <w:sz w:val="16"/>
              </w:rPr>
              <w:t>Ligne orange</w:t>
            </w:r>
          </w:p>
        </w:tc>
        <w:tc>
          <w:tcPr>
            <w:tcW w:type="dxa" w:w="3969"/>
            <w:shd w:fill="FFFFFF"/>
            <w:tcMar>
              <w:top w:w="90" w:type="dxa"/>
              <w:start w:w="110" w:type="dxa"/>
              <w:bottom w:w="90" w:type="dxa"/>
              <w:end w:w="110" w:type="dxa"/>
            </w:tcMar>
            <w:vAlign w:val="center"/>
          </w:tcPr>
          <w:p>
            <w:pPr>
              <w:spacing w:after="0"/>
              <w:jc w:val="left"/>
            </w:pPr>
            <w:r>
              <w:rPr>
                <w:rFonts w:ascii="Helvetica Neue" w:hAnsi="Helvetica Neue"/>
                <w:sz w:val="16"/>
              </w:rPr>
              <w:t>Seuil choisi en pourcentage de E0</w:t>
            </w:r>
          </w:p>
        </w:tc>
        <w:tc>
          <w:tcPr>
            <w:tcW w:type="dxa" w:w="3231"/>
            <w:shd w:fill="FFFFFF"/>
            <w:tcMar>
              <w:top w:w="90" w:type="dxa"/>
              <w:start w:w="110" w:type="dxa"/>
              <w:bottom w:w="90" w:type="dxa"/>
              <w:end w:w="110" w:type="dxa"/>
            </w:tcMar>
            <w:vAlign w:val="center"/>
          </w:tcPr>
          <w:p>
            <w:pPr>
              <w:spacing w:after="0"/>
              <w:jc w:val="left"/>
            </w:pPr>
            <w:r>
              <w:rPr>
                <w:rFonts w:ascii="Helvetica Neue" w:hAnsi="Helvetica Neue"/>
                <w:sz w:val="16"/>
              </w:rPr>
              <w:t>Repère de franchissement</w:t>
            </w:r>
          </w:p>
        </w:tc>
      </w:tr>
      <w:tr>
        <w:tc>
          <w:tcPr>
            <w:tcW w:type="dxa" w:w="1814"/>
            <w:shd w:fill="F5F8FC"/>
            <w:tcMar>
              <w:top w:w="90" w:type="dxa"/>
              <w:start w:w="110" w:type="dxa"/>
              <w:bottom w:w="90" w:type="dxa"/>
              <w:end w:w="110" w:type="dxa"/>
            </w:tcMar>
            <w:vAlign w:val="center"/>
          </w:tcPr>
          <w:p>
            <w:pPr>
              <w:spacing w:after="0"/>
              <w:jc w:val="left"/>
            </w:pPr>
            <w:r>
              <w:rPr>
                <w:rFonts w:ascii="Helvetica Neue" w:hAnsi="Helvetica Neue"/>
                <w:sz w:val="16"/>
              </w:rPr>
              <w:t>Trait vertical</w:t>
            </w:r>
          </w:p>
        </w:tc>
        <w:tc>
          <w:tcPr>
            <w:tcW w:type="dxa" w:w="3969"/>
            <w:shd w:fill="F5F8FC"/>
            <w:tcMar>
              <w:top w:w="90" w:type="dxa"/>
              <w:start w:w="110" w:type="dxa"/>
              <w:bottom w:w="90" w:type="dxa"/>
              <w:end w:w="110" w:type="dxa"/>
            </w:tcMar>
            <w:vAlign w:val="center"/>
          </w:tcPr>
          <w:p>
            <w:pPr>
              <w:spacing w:after="0"/>
              <w:jc w:val="left"/>
            </w:pPr>
            <w:r>
              <w:rPr>
                <w:rFonts w:ascii="Helvetica Neue" w:hAnsi="Helvetica Neue"/>
                <w:sz w:val="16"/>
              </w:rPr>
              <w:t>Fin des observations comparables</w:t>
            </w:r>
          </w:p>
        </w:tc>
        <w:tc>
          <w:tcPr>
            <w:tcW w:type="dxa" w:w="3231"/>
            <w:shd w:fill="F5F8FC"/>
            <w:tcMar>
              <w:top w:w="90" w:type="dxa"/>
              <w:start w:w="110" w:type="dxa"/>
              <w:bottom w:w="90" w:type="dxa"/>
              <w:end w:w="110" w:type="dxa"/>
            </w:tcMar>
            <w:vAlign w:val="center"/>
          </w:tcPr>
          <w:p>
            <w:pPr>
              <w:spacing w:after="0"/>
              <w:jc w:val="left"/>
            </w:pPr>
            <w:r>
              <w:rPr>
                <w:rFonts w:ascii="Helvetica Neue" w:hAnsi="Helvetica Neue"/>
                <w:sz w:val="16"/>
              </w:rPr>
              <w:t>Tout ce qui suit est extrapolé</w:t>
            </w:r>
          </w:p>
        </w:tc>
      </w:tr>
      <w:tr>
        <w:tc>
          <w:tcPr>
            <w:tcW w:type="dxa" w:w="1814"/>
            <w:shd w:fill="FFFFFF"/>
            <w:tcMar>
              <w:top w:w="90" w:type="dxa"/>
              <w:start w:w="110" w:type="dxa"/>
              <w:bottom w:w="90" w:type="dxa"/>
              <w:end w:w="110" w:type="dxa"/>
            </w:tcMar>
            <w:vAlign w:val="center"/>
          </w:tcPr>
          <w:p>
            <w:pPr>
              <w:spacing w:after="0"/>
              <w:jc w:val="left"/>
            </w:pPr>
            <w:r>
              <w:rPr>
                <w:rFonts w:ascii="Helvetica Neue" w:hAnsi="Helvetica Neue"/>
                <w:sz w:val="16"/>
              </w:rPr>
              <w:t>Fond après le trait</w:t>
            </w:r>
          </w:p>
        </w:tc>
        <w:tc>
          <w:tcPr>
            <w:tcW w:type="dxa" w:w="3969"/>
            <w:shd w:fill="FFFFFF"/>
            <w:tcMar>
              <w:top w:w="90" w:type="dxa"/>
              <w:start w:w="110" w:type="dxa"/>
              <w:bottom w:w="90" w:type="dxa"/>
              <w:end w:w="110" w:type="dxa"/>
            </w:tcMar>
            <w:vAlign w:val="center"/>
          </w:tcPr>
          <w:p>
            <w:pPr>
              <w:spacing w:after="0"/>
              <w:jc w:val="left"/>
            </w:pPr>
            <w:r>
              <w:rPr>
                <w:rFonts w:ascii="Helvetica Neue" w:hAnsi="Helvetica Neue"/>
                <w:sz w:val="16"/>
              </w:rPr>
              <w:t>Zone hors fenêtre publiée</w:t>
            </w:r>
          </w:p>
        </w:tc>
        <w:tc>
          <w:tcPr>
            <w:tcW w:type="dxa" w:w="3231"/>
            <w:shd w:fill="FFFFFF"/>
            <w:tcMar>
              <w:top w:w="90" w:type="dxa"/>
              <w:start w:w="110" w:type="dxa"/>
              <w:bottom w:w="90" w:type="dxa"/>
              <w:end w:w="110" w:type="dxa"/>
            </w:tcMar>
            <w:vAlign w:val="center"/>
          </w:tcPr>
          <w:p>
            <w:pPr>
              <w:spacing w:after="0"/>
              <w:jc w:val="left"/>
            </w:pPr>
            <w:r>
              <w:rPr>
                <w:rFonts w:ascii="Helvetica Neue" w:hAnsi="Helvetica Neue"/>
                <w:sz w:val="16"/>
              </w:rPr>
              <w:t>Ne pas la présenter comme mesure</w:t>
            </w:r>
          </w:p>
        </w:tc>
      </w:tr>
    </w:tbl>
    <w:p>
      <w:pPr>
        <w:spacing w:after="20"/>
      </w:pPr>
    </w:p>
    <w:p>
      <w:pPr>
        <w:pStyle w:val="Heading2"/>
      </w:pPr>
      <w:r>
        <w:t>Quelle valeur utiliser</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701"/>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Valeur</w:t>
            </w:r>
          </w:p>
        </w:tc>
        <w:tc>
          <w:tcPr>
            <w:tcW w:type="dxa" w:w="3969"/>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Usage autorisé</w:t>
            </w:r>
          </w:p>
        </w:tc>
        <w:tc>
          <w:tcPr>
            <w:tcW w:type="dxa" w:w="3345"/>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Usage à éviter</w:t>
            </w:r>
          </w:p>
        </w:tc>
      </w:tr>
      <w:tr>
        <w:tc>
          <w:tcPr>
            <w:tcW w:type="dxa" w:w="1701"/>
            <w:shd w:fill="FFFFFF"/>
            <w:tcMar>
              <w:top w:w="90" w:type="dxa"/>
              <w:start w:w="110" w:type="dxa"/>
              <w:bottom w:w="90" w:type="dxa"/>
              <w:end w:w="110" w:type="dxa"/>
            </w:tcMar>
            <w:vAlign w:val="center"/>
          </w:tcPr>
          <w:p>
            <w:pPr>
              <w:spacing w:after="0"/>
              <w:jc w:val="left"/>
            </w:pPr>
            <w:r>
              <w:rPr>
                <w:rFonts w:ascii="Helvetica Neue" w:hAnsi="Helvetica Neue"/>
                <w:sz w:val="16"/>
              </w:rPr>
              <w:t>P50</w:t>
            </w:r>
          </w:p>
        </w:tc>
        <w:tc>
          <w:tcPr>
            <w:tcW w:type="dxa" w:w="3969"/>
            <w:shd w:fill="FFFFFF"/>
            <w:tcMar>
              <w:top w:w="90" w:type="dxa"/>
              <w:start w:w="110" w:type="dxa"/>
              <w:bottom w:w="90" w:type="dxa"/>
              <w:end w:w="110" w:type="dxa"/>
            </w:tcMar>
            <w:vAlign w:val="center"/>
          </w:tcPr>
          <w:p>
            <w:pPr>
              <w:spacing w:after="0"/>
              <w:jc w:val="left"/>
            </w:pPr>
            <w:r>
              <w:rPr>
                <w:rFonts w:ascii="Helvetica Neue" w:hAnsi="Helvetica Neue"/>
                <w:sz w:val="16"/>
              </w:rPr>
              <w:t>Comparaison, hypothèse de travail, prédiction figée avant essai</w:t>
            </w:r>
          </w:p>
        </w:tc>
        <w:tc>
          <w:tcPr>
            <w:tcW w:type="dxa" w:w="3345"/>
            <w:shd w:fill="FFFFFF"/>
            <w:tcMar>
              <w:top w:w="90" w:type="dxa"/>
              <w:start w:w="110" w:type="dxa"/>
              <w:bottom w:w="90" w:type="dxa"/>
              <w:end w:w="110" w:type="dxa"/>
            </w:tcMar>
            <w:vAlign w:val="center"/>
          </w:tcPr>
          <w:p>
            <w:pPr>
              <w:spacing w:after="0"/>
              <w:jc w:val="left"/>
            </w:pPr>
            <w:r>
              <w:rPr>
                <w:rFonts w:ascii="Helvetica Neue" w:hAnsi="Helvetica Neue"/>
                <w:sz w:val="16"/>
              </w:rPr>
              <w:t>Garantie ou certification</w:t>
            </w:r>
          </w:p>
        </w:tc>
      </w:tr>
      <w:tr>
        <w:tc>
          <w:tcPr>
            <w:tcW w:type="dxa" w:w="1701"/>
            <w:shd w:fill="F5F8FC"/>
            <w:tcMar>
              <w:top w:w="90" w:type="dxa"/>
              <w:start w:w="110" w:type="dxa"/>
              <w:bottom w:w="90" w:type="dxa"/>
              <w:end w:w="110" w:type="dxa"/>
            </w:tcMar>
            <w:vAlign w:val="center"/>
          </w:tcPr>
          <w:p>
            <w:pPr>
              <w:spacing w:after="0"/>
              <w:jc w:val="left"/>
            </w:pPr>
            <w:r>
              <w:rPr>
                <w:rFonts w:ascii="Helvetica Neue" w:hAnsi="Helvetica Neue"/>
                <w:sz w:val="16"/>
              </w:rPr>
              <w:t>P10 du temps de seuil</w:t>
            </w:r>
          </w:p>
        </w:tc>
        <w:tc>
          <w:tcPr>
            <w:tcW w:type="dxa" w:w="3969"/>
            <w:shd w:fill="F5F8FC"/>
            <w:tcMar>
              <w:top w:w="90" w:type="dxa"/>
              <w:start w:w="110" w:type="dxa"/>
              <w:bottom w:w="90" w:type="dxa"/>
              <w:end w:w="110" w:type="dxa"/>
            </w:tcMar>
            <w:vAlign w:val="center"/>
          </w:tcPr>
          <w:p>
            <w:pPr>
              <w:spacing w:after="0"/>
              <w:jc w:val="left"/>
            </w:pPr>
            <w:r>
              <w:rPr>
                <w:rFonts w:ascii="Helvetica Neue" w:hAnsi="Helvetica Neue"/>
                <w:sz w:val="16"/>
              </w:rPr>
              <w:t>Scénario prudent si la couverture est calibrée</w:t>
            </w:r>
          </w:p>
        </w:tc>
        <w:tc>
          <w:tcPr>
            <w:tcW w:type="dxa" w:w="3345"/>
            <w:shd w:fill="F5F8FC"/>
            <w:tcMar>
              <w:top w:w="90" w:type="dxa"/>
              <w:start w:w="110" w:type="dxa"/>
              <w:bottom w:w="90" w:type="dxa"/>
              <w:end w:w="110" w:type="dxa"/>
            </w:tcMar>
            <w:vAlign w:val="center"/>
          </w:tcPr>
          <w:p>
            <w:pPr>
              <w:spacing w:after="0"/>
              <w:jc w:val="left"/>
            </w:pPr>
            <w:r>
              <w:rPr>
                <w:rFonts w:ascii="Helvetica Neue" w:hAnsi="Helvetica Neue"/>
                <w:sz w:val="16"/>
              </w:rPr>
              <w:t>Valeur prudente universelle</w:t>
            </w:r>
          </w:p>
        </w:tc>
      </w:tr>
      <w:tr>
        <w:tc>
          <w:tcPr>
            <w:tcW w:type="dxa" w:w="1701"/>
            <w:shd w:fill="FFFFFF"/>
            <w:tcMar>
              <w:top w:w="90" w:type="dxa"/>
              <w:start w:w="110" w:type="dxa"/>
              <w:bottom w:w="90" w:type="dxa"/>
              <w:end w:w="110" w:type="dxa"/>
            </w:tcMar>
            <w:vAlign w:val="center"/>
          </w:tcPr>
          <w:p>
            <w:pPr>
              <w:spacing w:after="0"/>
              <w:jc w:val="left"/>
            </w:pPr>
            <w:r>
              <w:rPr>
                <w:rFonts w:ascii="Helvetica Neue" w:hAnsi="Helvetica Neue"/>
                <w:sz w:val="16"/>
              </w:rPr>
              <w:t>P90</w:t>
            </w:r>
          </w:p>
        </w:tc>
        <w:tc>
          <w:tcPr>
            <w:tcW w:type="dxa" w:w="3969"/>
            <w:shd w:fill="FFFFFF"/>
            <w:tcMar>
              <w:top w:w="90" w:type="dxa"/>
              <w:start w:w="110" w:type="dxa"/>
              <w:bottom w:w="90" w:type="dxa"/>
              <w:end w:w="110" w:type="dxa"/>
            </w:tcMar>
            <w:vAlign w:val="center"/>
          </w:tcPr>
          <w:p>
            <w:pPr>
              <w:spacing w:after="0"/>
              <w:jc w:val="left"/>
            </w:pPr>
            <w:r>
              <w:rPr>
                <w:rFonts w:ascii="Helvetica Neue" w:hAnsi="Helvetica Neue"/>
                <w:sz w:val="16"/>
              </w:rPr>
              <w:t>Scénario favorable et exploration</w:t>
            </w:r>
          </w:p>
        </w:tc>
        <w:tc>
          <w:tcPr>
            <w:tcW w:type="dxa" w:w="3345"/>
            <w:shd w:fill="FFFFFF"/>
            <w:tcMar>
              <w:top w:w="90" w:type="dxa"/>
              <w:start w:w="110" w:type="dxa"/>
              <w:bottom w:w="90" w:type="dxa"/>
              <w:end w:w="110" w:type="dxa"/>
            </w:tcMar>
            <w:vAlign w:val="center"/>
          </w:tcPr>
          <w:p>
            <w:pPr>
              <w:spacing w:after="0"/>
              <w:jc w:val="center"/>
            </w:pPr>
            <w:r>
              <w:rPr>
                <w:rFonts w:ascii="Helvetica Neue" w:hAnsi="Helvetica Neue"/>
                <w:sz w:val="16"/>
              </w:rPr>
              <w:t>Dimensionnement</w:t>
            </w:r>
          </w:p>
        </w:tc>
      </w:tr>
      <w:tr>
        <w:tc>
          <w:tcPr>
            <w:tcW w:type="dxa" w:w="1701"/>
            <w:shd w:fill="F5F8FC"/>
            <w:tcMar>
              <w:top w:w="90" w:type="dxa"/>
              <w:start w:w="110" w:type="dxa"/>
              <w:bottom w:w="90" w:type="dxa"/>
              <w:end w:w="110" w:type="dxa"/>
            </w:tcMar>
            <w:vAlign w:val="center"/>
          </w:tcPr>
          <w:p>
            <w:pPr>
              <w:spacing w:after="0"/>
              <w:jc w:val="left"/>
            </w:pPr>
            <w:r>
              <w:rPr>
                <w:rFonts w:ascii="Helvetica Neue" w:hAnsi="Helvetica Neue"/>
                <w:sz w:val="16"/>
              </w:rPr>
              <w:t>P10-P90</w:t>
            </w:r>
          </w:p>
        </w:tc>
        <w:tc>
          <w:tcPr>
            <w:tcW w:type="dxa" w:w="3969"/>
            <w:shd w:fill="F5F8FC"/>
            <w:tcMar>
              <w:top w:w="90" w:type="dxa"/>
              <w:start w:w="110" w:type="dxa"/>
              <w:bottom w:w="90" w:type="dxa"/>
              <w:end w:w="110" w:type="dxa"/>
            </w:tcMar>
            <w:vAlign w:val="center"/>
          </w:tcPr>
          <w:p>
            <w:pPr>
              <w:spacing w:after="0"/>
              <w:jc w:val="left"/>
            </w:pPr>
            <w:r>
              <w:rPr>
                <w:rFonts w:ascii="Helvetica Neue" w:hAnsi="Helvetica Neue"/>
                <w:sz w:val="16"/>
              </w:rPr>
              <w:t>Représentation de l'incertitude annoncée</w:t>
            </w:r>
          </w:p>
        </w:tc>
        <w:tc>
          <w:tcPr>
            <w:tcW w:type="dxa" w:w="3345"/>
            <w:shd w:fill="F5F8FC"/>
            <w:tcMar>
              <w:top w:w="90" w:type="dxa"/>
              <w:start w:w="110" w:type="dxa"/>
              <w:bottom w:w="90" w:type="dxa"/>
              <w:end w:w="110" w:type="dxa"/>
            </w:tcMar>
            <w:vAlign w:val="center"/>
          </w:tcPr>
          <w:p>
            <w:pPr>
              <w:spacing w:after="0"/>
              <w:jc w:val="left"/>
            </w:pPr>
            <w:r>
              <w:rPr>
                <w:rFonts w:ascii="Helvetica Neue" w:hAnsi="Helvetica Neue"/>
                <w:sz w:val="16"/>
              </w:rPr>
              <w:t>Confondre avec la dispersion des éprouvettes</w:t>
            </w:r>
          </w:p>
        </w:tc>
      </w:tr>
      <w:tr>
        <w:tc>
          <w:tcPr>
            <w:tcW w:type="dxa" w:w="1701"/>
            <w:shd w:fill="FFFFFF"/>
            <w:tcMar>
              <w:top w:w="90" w:type="dxa"/>
              <w:start w:w="110" w:type="dxa"/>
              <w:bottom w:w="90" w:type="dxa"/>
              <w:end w:w="110" w:type="dxa"/>
            </w:tcMar>
            <w:vAlign w:val="center"/>
          </w:tcPr>
          <w:p>
            <w:pPr>
              <w:spacing w:after="0"/>
              <w:jc w:val="left"/>
            </w:pPr>
            <w:r>
              <w:rPr>
                <w:rFonts w:ascii="Helvetica Neue" w:hAnsi="Helvetica Neue"/>
                <w:sz w:val="16"/>
              </w:rPr>
              <w:t>Min-max documentaire</w:t>
            </w:r>
          </w:p>
        </w:tc>
        <w:tc>
          <w:tcPr>
            <w:tcW w:type="dxa" w:w="3969"/>
            <w:shd w:fill="FFFFFF"/>
            <w:tcMar>
              <w:top w:w="90" w:type="dxa"/>
              <w:start w:w="110" w:type="dxa"/>
              <w:bottom w:w="90" w:type="dxa"/>
              <w:end w:w="110" w:type="dxa"/>
            </w:tcMar>
            <w:vAlign w:val="center"/>
          </w:tcPr>
          <w:p>
            <w:pPr>
              <w:spacing w:after="0"/>
              <w:jc w:val="left"/>
            </w:pPr>
            <w:r>
              <w:rPr>
                <w:rFonts w:ascii="Helvetica Neue" w:hAnsi="Helvetica Neue"/>
                <w:sz w:val="16"/>
              </w:rPr>
              <w:t>Montrer l'hétérogénéité des sources</w:t>
            </w:r>
          </w:p>
        </w:tc>
        <w:tc>
          <w:tcPr>
            <w:tcW w:type="dxa" w:w="3345"/>
            <w:shd w:fill="FFFFFF"/>
            <w:tcMar>
              <w:top w:w="90" w:type="dxa"/>
              <w:start w:w="110" w:type="dxa"/>
              <w:bottom w:w="90" w:type="dxa"/>
              <w:end w:w="110" w:type="dxa"/>
            </w:tcMar>
            <w:vAlign w:val="center"/>
          </w:tcPr>
          <w:p>
            <w:pPr>
              <w:spacing w:after="0"/>
              <w:jc w:val="center"/>
            </w:pPr>
            <w:r>
              <w:rPr>
                <w:rFonts w:ascii="Helvetica Neue" w:hAnsi="Helvetica Neue"/>
                <w:sz w:val="16"/>
              </w:rPr>
              <w:t>Probabilité</w:t>
            </w:r>
          </w:p>
        </w:tc>
      </w:tr>
    </w:tbl>
    <w:p>
      <w:pPr>
        <w:spacing w:after="20"/>
      </w:pPr>
    </w:p>
    <w:p>
      <w:pPr>
        <w:pStyle w:val="Heading2"/>
      </w:pPr>
      <w:r>
        <w:t>Niveaux de preuve</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361"/>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Niveau</w:t>
            </w:r>
          </w:p>
        </w:tc>
        <w:tc>
          <w:tcPr>
            <w:tcW w:type="dxa" w:w="379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Statut dans Materia 0.38</w:t>
            </w:r>
          </w:p>
        </w:tc>
        <w:tc>
          <w:tcPr>
            <w:tcW w:type="dxa" w:w="3855"/>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Interprétation</w:t>
            </w:r>
          </w:p>
        </w:tc>
      </w:tr>
      <w:tr>
        <w:tc>
          <w:tcPr>
            <w:tcW w:type="dxa" w:w="1361"/>
            <w:shd w:fill="FFFFFF"/>
            <w:tcMar>
              <w:top w:w="90" w:type="dxa"/>
              <w:start w:w="110" w:type="dxa"/>
              <w:bottom w:w="90" w:type="dxa"/>
              <w:end w:w="110" w:type="dxa"/>
            </w:tcMar>
            <w:vAlign w:val="center"/>
          </w:tcPr>
          <w:p>
            <w:pPr>
              <w:spacing w:after="0"/>
              <w:jc w:val="left"/>
            </w:pPr>
            <w:r>
              <w:rPr>
                <w:rFonts w:ascii="Helvetica Neue" w:hAnsi="Helvetica Neue"/>
                <w:sz w:val="16"/>
              </w:rPr>
              <w:t>1 sur 4</w:t>
            </w:r>
          </w:p>
        </w:tc>
        <w:tc>
          <w:tcPr>
            <w:tcW w:type="dxa" w:w="3798"/>
            <w:shd w:fill="FFFFFF"/>
            <w:tcMar>
              <w:top w:w="90" w:type="dxa"/>
              <w:start w:w="110" w:type="dxa"/>
              <w:bottom w:w="90" w:type="dxa"/>
              <w:end w:w="110" w:type="dxa"/>
            </w:tcMar>
            <w:vAlign w:val="center"/>
          </w:tcPr>
          <w:p>
            <w:pPr>
              <w:spacing w:after="0"/>
              <w:jc w:val="left"/>
            </w:pPr>
            <w:r>
              <w:rPr>
                <w:rFonts w:ascii="Helvetica Neue" w:hAnsi="Helvetica Neue"/>
                <w:sz w:val="16"/>
              </w:rPr>
              <w:t>Estimation familiale ou hors fenêtre</w:t>
            </w:r>
          </w:p>
        </w:tc>
        <w:tc>
          <w:tcPr>
            <w:tcW w:type="dxa" w:w="3855"/>
            <w:shd w:fill="FFFFFF"/>
            <w:tcMar>
              <w:top w:w="90" w:type="dxa"/>
              <w:start w:w="110" w:type="dxa"/>
              <w:bottom w:w="90" w:type="dxa"/>
              <w:end w:w="110" w:type="dxa"/>
            </w:tcMar>
            <w:vAlign w:val="center"/>
          </w:tcPr>
          <w:p>
            <w:pPr>
              <w:spacing w:after="0"/>
              <w:jc w:val="left"/>
            </w:pPr>
            <w:r>
              <w:rPr>
                <w:rFonts w:ascii="Helvetica Neue" w:hAnsi="Helvetica Neue"/>
                <w:sz w:val="16"/>
              </w:rPr>
              <w:t>Présélection et préparation d'essais</w:t>
            </w:r>
          </w:p>
        </w:tc>
      </w:tr>
      <w:tr>
        <w:tc>
          <w:tcPr>
            <w:tcW w:type="dxa" w:w="1361"/>
            <w:shd w:fill="F5F8FC"/>
            <w:tcMar>
              <w:top w:w="90" w:type="dxa"/>
              <w:start w:w="110" w:type="dxa"/>
              <w:bottom w:w="90" w:type="dxa"/>
              <w:end w:w="110" w:type="dxa"/>
            </w:tcMar>
            <w:vAlign w:val="center"/>
          </w:tcPr>
          <w:p>
            <w:pPr>
              <w:spacing w:after="0"/>
              <w:jc w:val="left"/>
            </w:pPr>
            <w:r>
              <w:rPr>
                <w:rFonts w:ascii="Helvetica Neue" w:hAnsi="Helvetica Neue"/>
                <w:sz w:val="16"/>
              </w:rPr>
              <w:t>2 sur 4</w:t>
            </w:r>
          </w:p>
        </w:tc>
        <w:tc>
          <w:tcPr>
            <w:tcW w:type="dxa" w:w="3798"/>
            <w:shd w:fill="F5F8FC"/>
            <w:tcMar>
              <w:top w:w="90" w:type="dxa"/>
              <w:start w:w="110" w:type="dxa"/>
              <w:bottom w:w="90" w:type="dxa"/>
              <w:end w:w="110" w:type="dxa"/>
            </w:tcMar>
            <w:vAlign w:val="center"/>
          </w:tcPr>
          <w:p>
            <w:pPr>
              <w:spacing w:after="0"/>
              <w:jc w:val="left"/>
            </w:pPr>
            <w:r>
              <w:rPr>
                <w:rFonts w:ascii="Helvetica Neue" w:hAnsi="Helvetica Neue"/>
                <w:sz w:val="16"/>
              </w:rPr>
              <w:t>Profil publié ou pilote calibré hors étude</w:t>
            </w:r>
          </w:p>
        </w:tc>
        <w:tc>
          <w:tcPr>
            <w:tcW w:type="dxa" w:w="3855"/>
            <w:shd w:fill="F5F8FC"/>
            <w:tcMar>
              <w:top w:w="90" w:type="dxa"/>
              <w:start w:w="110" w:type="dxa"/>
              <w:bottom w:w="90" w:type="dxa"/>
              <w:end w:w="110" w:type="dxa"/>
            </w:tcMar>
            <w:vAlign w:val="center"/>
          </w:tcPr>
          <w:p>
            <w:pPr>
              <w:spacing w:after="0"/>
              <w:jc w:val="left"/>
            </w:pPr>
            <w:r>
              <w:rPr>
                <w:rFonts w:ascii="Helvetica Neue" w:hAnsi="Helvetica Neue"/>
                <w:sz w:val="16"/>
              </w:rPr>
              <w:t>Hypothèse documentée, validation prospective encore requise</w:t>
            </w:r>
          </w:p>
        </w:tc>
      </w:tr>
      <w:tr>
        <w:tc>
          <w:tcPr>
            <w:tcW w:type="dxa" w:w="1361"/>
            <w:shd w:fill="FFFFFF"/>
            <w:tcMar>
              <w:top w:w="90" w:type="dxa"/>
              <w:start w:w="110" w:type="dxa"/>
              <w:bottom w:w="90" w:type="dxa"/>
              <w:end w:w="110" w:type="dxa"/>
            </w:tcMar>
            <w:vAlign w:val="center"/>
          </w:tcPr>
          <w:p>
            <w:pPr>
              <w:spacing w:after="0"/>
              <w:jc w:val="left"/>
            </w:pPr>
            <w:r>
              <w:rPr>
                <w:rFonts w:ascii="Helvetica Neue" w:hAnsi="Helvetica Neue"/>
                <w:sz w:val="16"/>
              </w:rPr>
              <w:t>3 sur 4</w:t>
            </w:r>
          </w:p>
        </w:tc>
        <w:tc>
          <w:tcPr>
            <w:tcW w:type="dxa" w:w="3798"/>
            <w:shd w:fill="FFFFFF"/>
            <w:tcMar>
              <w:top w:w="90" w:type="dxa"/>
              <w:start w:w="110" w:type="dxa"/>
              <w:bottom w:w="90" w:type="dxa"/>
              <w:end w:w="110" w:type="dxa"/>
            </w:tcMar>
            <w:vAlign w:val="center"/>
          </w:tcPr>
          <w:p>
            <w:pPr>
              <w:spacing w:after="0"/>
              <w:jc w:val="center"/>
            </w:pPr>
            <w:r>
              <w:rPr>
                <w:rFonts w:ascii="Helvetica Neue" w:hAnsi="Helvetica Neue"/>
                <w:sz w:val="16"/>
              </w:rPr>
              <w:t>Cible future</w:t>
            </w:r>
          </w:p>
        </w:tc>
        <w:tc>
          <w:tcPr>
            <w:tcW w:type="dxa" w:w="3855"/>
            <w:shd w:fill="FFFFFF"/>
            <w:tcMar>
              <w:top w:w="90" w:type="dxa"/>
              <w:start w:w="110" w:type="dxa"/>
              <w:bottom w:w="90" w:type="dxa"/>
              <w:end w:w="110" w:type="dxa"/>
            </w:tcMar>
            <w:vAlign w:val="center"/>
          </w:tcPr>
          <w:p>
            <w:pPr>
              <w:spacing w:after="0"/>
              <w:jc w:val="left"/>
            </w:pPr>
            <w:r>
              <w:rPr>
                <w:rFonts w:ascii="Helvetica Neue" w:hAnsi="Helvetica Neue"/>
                <w:sz w:val="16"/>
              </w:rPr>
              <w:t>Validation prospective indépendante à établir</w:t>
            </w:r>
          </w:p>
        </w:tc>
      </w:tr>
      <w:tr>
        <w:tc>
          <w:tcPr>
            <w:tcW w:type="dxa" w:w="1361"/>
            <w:shd w:fill="F5F8FC"/>
            <w:tcMar>
              <w:top w:w="90" w:type="dxa"/>
              <w:start w:w="110" w:type="dxa"/>
              <w:bottom w:w="90" w:type="dxa"/>
              <w:end w:w="110" w:type="dxa"/>
            </w:tcMar>
            <w:vAlign w:val="center"/>
          </w:tcPr>
          <w:p>
            <w:pPr>
              <w:spacing w:after="0"/>
              <w:jc w:val="left"/>
            </w:pPr>
            <w:r>
              <w:rPr>
                <w:rFonts w:ascii="Helvetica Neue" w:hAnsi="Helvetica Neue"/>
                <w:sz w:val="16"/>
              </w:rPr>
              <w:t>4 sur 4</w:t>
            </w:r>
          </w:p>
        </w:tc>
        <w:tc>
          <w:tcPr>
            <w:tcW w:type="dxa" w:w="3798"/>
            <w:shd w:fill="F5F8FC"/>
            <w:tcMar>
              <w:top w:w="90" w:type="dxa"/>
              <w:start w:w="110" w:type="dxa"/>
              <w:bottom w:w="90" w:type="dxa"/>
              <w:end w:w="110" w:type="dxa"/>
            </w:tcMar>
            <w:vAlign w:val="center"/>
          </w:tcPr>
          <w:p>
            <w:pPr>
              <w:spacing w:after="0"/>
              <w:jc w:val="center"/>
            </w:pPr>
            <w:r>
              <w:rPr>
                <w:rFonts w:ascii="Helvetica Neue" w:hAnsi="Helvetica Neue"/>
                <w:sz w:val="16"/>
              </w:rPr>
              <w:t>Cible future</w:t>
            </w:r>
          </w:p>
        </w:tc>
        <w:tc>
          <w:tcPr>
            <w:tcW w:type="dxa" w:w="3855"/>
            <w:shd w:fill="F5F8FC"/>
            <w:tcMar>
              <w:top w:w="90" w:type="dxa"/>
              <w:start w:w="110" w:type="dxa"/>
              <w:bottom w:w="90" w:type="dxa"/>
              <w:end w:w="110" w:type="dxa"/>
            </w:tcMar>
            <w:vAlign w:val="center"/>
          </w:tcPr>
          <w:p>
            <w:pPr>
              <w:spacing w:after="0"/>
              <w:jc w:val="left"/>
            </w:pPr>
            <w:r>
              <w:rPr>
                <w:rFonts w:ascii="Helvetica Neue" w:hAnsi="Helvetica Neue"/>
                <w:sz w:val="16"/>
              </w:rPr>
              <w:t>Validation robuste multi-campagnes à établir</w:t>
            </w:r>
          </w:p>
        </w:tc>
      </w:tr>
    </w:tbl>
    <w:p>
      <w:pPr>
        <w:spacing w:after="20"/>
      </w:pPr>
    </w:p>
    <w:p>
      <w:pPr>
        <w:spacing w:before="100" w:after="100"/>
      </w:pPr>
      <w:r>
        <w:rPr>
          <w:b/>
          <w:color w:val="16315C"/>
        </w:rPr>
        <w:t xml:space="preserve">Règle simple. </w:t>
      </w:r>
      <w:r>
        <w:t>Plus l'horizon dépasse la dernière observation, plus la valeur numérique doit être traitée comme une hypothèse et non comme une preuve.</w:t>
      </w:r>
    </w:p>
    <w:p>
      <w:pPr>
        <w:pStyle w:val="Heading2"/>
      </w:pPr>
      <w:r>
        <w:t>Pourquoi l'enveloppe peut être large</w:t>
      </w:r>
    </w:p>
    <w:p>
      <w:pPr>
        <w:spacing w:after="60"/>
        <w:ind w:left="312" w:hanging="142"/>
      </w:pPr>
      <w:r>
        <w:rPr>
          <w:b/>
          <w:color w:val="285FC5"/>
        </w:rPr>
        <w:t xml:space="preserve">- </w:t>
      </w:r>
      <w:r>
        <w:t>Grades, formulations, stabilisants et procédés différents entre les publications.</w:t>
      </w:r>
    </w:p>
    <w:p>
      <w:pPr>
        <w:spacing w:after="60"/>
        <w:ind w:left="312" w:hanging="142"/>
      </w:pPr>
      <w:r>
        <w:rPr>
          <w:b/>
          <w:color w:val="285FC5"/>
        </w:rPr>
        <w:t xml:space="preserve">- </w:t>
      </w:r>
      <w:r>
        <w:t>Climats, UV, humidité et épaisseurs non strictement comparables.</w:t>
      </w:r>
    </w:p>
    <w:p>
      <w:pPr>
        <w:spacing w:after="60"/>
        <w:ind w:left="312" w:hanging="142"/>
      </w:pPr>
      <w:r>
        <w:rPr>
          <w:b/>
          <w:color w:val="285FC5"/>
        </w:rPr>
        <w:t xml:space="preserve">- </w:t>
      </w:r>
      <w:r>
        <w:t>Peu de publications indépendantes ou peu de temps mesurés.</w:t>
      </w:r>
    </w:p>
    <w:p>
      <w:pPr>
        <w:spacing w:after="60"/>
        <w:ind w:left="312" w:hanging="142"/>
      </w:pPr>
      <w:r>
        <w:rPr>
          <w:b/>
          <w:color w:val="285FC5"/>
        </w:rPr>
        <w:t xml:space="preserve">- </w:t>
      </w:r>
      <w:r>
        <w:t>Extrapolation au-delà du dernier temps observé.</w:t>
      </w:r>
    </w:p>
    <w:p>
      <w:pPr>
        <w:spacing w:after="60"/>
        <w:ind w:left="312" w:hanging="142"/>
      </w:pPr>
      <w:r>
        <w:rPr>
          <w:b/>
          <w:color w:val="285FC5"/>
        </w:rPr>
        <w:t xml:space="preserve">- </w:t>
      </w:r>
      <w:r>
        <w:t>Transfert d'une famille documentaire vers un grade réel non mesuré.</w:t>
      </w:r>
    </w:p>
    <w:p>
      <w:r>
        <w:rPr>
          <w:i w:val="0"/>
        </w:rPr>
        <w:t>Materia utilise une plage resserrée de vitesse x0,65 à x1,50 pour les familles sans corpus comparable. Cette zone est volontairement plus lisible que l'ancienne plage divisée ou multipliée par trois, mais elle reste une sensibilité d'ingénierie sans couverture probabiliste.</w:t>
      </w:r>
    </w:p>
    <w:p>
      <w:r>
        <w:br w:type="page"/>
      </w:r>
    </w:p>
    <w:p>
      <w:pPr>
        <w:pStyle w:val="Smalllabel"/>
        <w:spacing w:before="0"/>
      </w:pPr>
      <w:r>
        <w:t>PARTIE 7</w:t>
      </w:r>
    </w:p>
    <w:p>
      <w:pPr>
        <w:pStyle w:val="Heading1"/>
        <w:spacing w:before="0"/>
      </w:pPr>
      <w:r>
        <w:t>Lire les mesures publiées</w:t>
      </w:r>
    </w:p>
    <w:p>
      <w:pPr>
        <w:spacing w:after="200"/>
        <w:keepLines/>
      </w:pPr>
      <w:r>
        <w:rPr>
          <w:color w:val="60708B"/>
          <w:sz w:val="21"/>
        </w:rPr>
        <w:t>Ce parcours montre directement les valeurs extraites d'une publication et bloque l'extrapolation au-delà du domaine observé.</w:t>
      </w:r>
    </w:p>
    <w:p>
      <w:pPr>
        <w:spacing w:after="0"/>
        <w:jc w:val="center"/>
        <w:keepNext/>
        <w:keepLines/>
      </w:pPr>
      <w:r>
        <w:drawing>
          <wp:inline xmlns:a="http://schemas.openxmlformats.org/drawingml/2006/main" xmlns:pic="http://schemas.openxmlformats.org/drawingml/2006/picture">
            <wp:extent cx="5623560" cy="6659479"/>
            <wp:docPr id="7" name="Picture 7" title="Figure 7" descr="Mesures PP publiées : trois temps, moyenne, dispersion et source primaire."/>
            <wp:cNvGraphicFramePr>
              <a:graphicFrameLocks noChangeAspect="1"/>
            </wp:cNvGraphicFramePr>
            <a:graphic>
              <a:graphicData uri="http://schemas.openxmlformats.org/drawingml/2006/picture">
                <pic:pic>
                  <pic:nvPicPr>
                    <pic:cNvPr id="0" name="published_result.png"/>
                    <pic:cNvPicPr/>
                  </pic:nvPicPr>
                  <pic:blipFill>
                    <a:blip r:embed="rId20"/>
                    <a:stretch>
                      <a:fillRect/>
                    </a:stretch>
                  </pic:blipFill>
                  <pic:spPr>
                    <a:xfrm>
                      <a:off x="0" y="0"/>
                      <a:ext cx="5623560" cy="6659479"/>
                    </a:xfrm>
                    <a:prstGeom prst="rect"/>
                  </pic:spPr>
                </pic:pic>
              </a:graphicData>
            </a:graphic>
          </wp:inline>
        </w:drawing>
      </w:r>
    </w:p>
    <w:p>
      <w:pPr>
        <w:pStyle w:val="Figurecaption"/>
        <w:keepLines/>
      </w:pPr>
      <w:r>
        <w:t>Figure 7. Mesures PP publiées : trois temps, moyenne, dispersion et source primaire.</w:t>
      </w:r>
    </w:p>
    <w:p>
      <w:pPr>
        <w:pStyle w:val="Heading2"/>
      </w:pPr>
      <w:r>
        <w:t>Points, ligne et bande</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268"/>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Objet</w:t>
            </w:r>
          </w:p>
        </w:tc>
        <w:tc>
          <w:tcPr>
            <w:tcW w:type="dxa" w:w="6746"/>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Ce qu'il représente</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7"/>
              </w:rPr>
              <w:t>Points verts</w:t>
            </w:r>
          </w:p>
        </w:tc>
        <w:tc>
          <w:tcPr>
            <w:tcW w:type="dxa" w:w="6746"/>
            <w:shd w:fill="FFFFFF"/>
            <w:tcMar>
              <w:top w:w="90" w:type="dxa"/>
              <w:start w:w="110" w:type="dxa"/>
              <w:bottom w:w="90" w:type="dxa"/>
              <w:end w:w="110" w:type="dxa"/>
            </w:tcMar>
            <w:vAlign w:val="center"/>
          </w:tcPr>
          <w:p>
            <w:pPr>
              <w:spacing w:after="0"/>
              <w:jc w:val="left"/>
            </w:pPr>
            <w:r>
              <w:rPr>
                <w:rFonts w:ascii="Helvetica Neue" w:hAnsi="Helvetica Neue"/>
                <w:sz w:val="17"/>
              </w:rPr>
              <w:t>Moyennes publiées à 0, 30 et 120 jours</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7"/>
              </w:rPr>
              <w:t>Ligne bleue</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7"/>
              </w:rPr>
              <w:t>Interpolation visuelle entre les temps mesurés</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7"/>
              </w:rPr>
              <w:t>Bande claire</w:t>
            </w:r>
          </w:p>
        </w:tc>
        <w:tc>
          <w:tcPr>
            <w:tcW w:type="dxa" w:w="6746"/>
            <w:shd w:fill="FFFFFF"/>
            <w:tcMar>
              <w:top w:w="90" w:type="dxa"/>
              <w:start w:w="110" w:type="dxa"/>
              <w:bottom w:w="90" w:type="dxa"/>
              <w:end w:w="110" w:type="dxa"/>
            </w:tcMar>
            <w:vAlign w:val="center"/>
          </w:tcPr>
          <w:p>
            <w:pPr>
              <w:spacing w:after="0"/>
              <w:jc w:val="left"/>
            </w:pPr>
            <w:r>
              <w:rPr>
                <w:rFonts w:ascii="Helvetica Neue" w:hAnsi="Helvetica Neue"/>
                <w:sz w:val="17"/>
              </w:rPr>
              <w:t>Écart-type des éprouvettes ou IC95 % de la moyenne selon le choix</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7"/>
              </w:rPr>
              <w:t>Domaine observé</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7"/>
              </w:rPr>
              <w:t>Fenêtre dans laquelle les données existent</w:t>
            </w:r>
          </w:p>
        </w:tc>
      </w:tr>
    </w:tbl>
    <w:p>
      <w:pPr>
        <w:spacing w:after="20"/>
      </w:pPr>
    </w:p>
    <w:p>
      <w:pPr>
        <w:spacing w:before="100" w:after="100"/>
      </w:pPr>
      <w:r>
        <w:rPr>
          <w:b/>
          <w:color w:val="16315C"/>
        </w:rPr>
        <w:t xml:space="preserve">Écart-type. </w:t>
      </w:r>
      <w:r>
        <w:t>Il décrit la dispersion des éprouvettes mesurées.</w:t>
      </w:r>
    </w:p>
    <w:p>
      <w:pPr>
        <w:spacing w:before="100" w:after="100"/>
      </w:pPr>
      <w:r>
        <w:rPr>
          <w:b/>
          <w:color w:val="16315C"/>
        </w:rPr>
        <w:t xml:space="preserve">IC95 % de la moyenne. </w:t>
      </w:r>
      <w:r>
        <w:t>Il décrit la précision estimée de la moyenne publiée, pas la dispersion d'un futur lot.</w:t>
      </w:r>
    </w:p>
    <w:p>
      <w:pPr>
        <w:spacing w:before="100" w:after="100"/>
      </w:pPr>
      <w:r>
        <w:rPr>
          <w:b/>
          <w:color w:val="16315C"/>
        </w:rPr>
        <w:t xml:space="preserve">Interpolation. </w:t>
      </w:r>
      <w:r>
        <w:t>Une ligne entre deux points facilite la lecture mais ne crée pas une nouvelle mesure.</w:t>
      </w:r>
    </w:p>
    <w:p>
      <w:r>
        <w:rPr>
          <w:i w:val="0"/>
        </w:rPr>
        <w:t>Dans l'exemple PP recyclé 1 cycle, le module moyen passe de 604,1 MPa à 555,8 MPa en 120 jours, soit 92,0 % conservés. Ce résultat concerne la formulation, le grade et le climat de l'article ; il ne représente pas tous les polypropylènes.</w:t>
      </w:r>
    </w:p>
    <w:p>
      <w:pPr>
        <w:pStyle w:val="Smalllabel"/>
        <w:spacing w:before="0"/>
      </w:pPr>
      <w:r>
        <w:t>PARTIE 8</w:t>
      </w:r>
    </w:p>
    <w:p>
      <w:pPr>
        <w:pStyle w:val="Heading1"/>
        <w:spacing w:before="0"/>
      </w:pPr>
      <w:r>
        <w:t>Comparer des matériaux et des conditions</w:t>
      </w:r>
    </w:p>
    <w:p>
      <w:pPr>
        <w:spacing w:after="200"/>
        <w:keepLines/>
      </w:pPr>
      <w:r>
        <w:rPr>
          <w:color w:val="60708B"/>
          <w:sz w:val="21"/>
        </w:rPr>
        <w:t>Une comparaison n'est cohérente que si les scénarios partagent le même horizon, la même unité, le même seuil et des conditions compatibles.</w:t>
      </w:r>
    </w:p>
    <w:p>
      <w:pPr>
        <w:spacing w:after="0"/>
        <w:jc w:val="center"/>
        <w:keepNext/>
        <w:keepLines/>
      </w:pPr>
      <w:r>
        <w:drawing>
          <wp:inline xmlns:a="http://schemas.openxmlformats.org/drawingml/2006/main" xmlns:pic="http://schemas.openxmlformats.org/drawingml/2006/picture">
            <wp:extent cx="5715000" cy="6322979"/>
            <wp:docPr id="8" name="Picture 8" title="Figure 8" descr="Comparateur avec axes communs, courbes superposées et tableau de synthèse."/>
            <wp:cNvGraphicFramePr>
              <a:graphicFrameLocks noChangeAspect="1"/>
            </wp:cNvGraphicFramePr>
            <a:graphic>
              <a:graphicData uri="http://schemas.openxmlformats.org/drawingml/2006/picture">
                <pic:pic>
                  <pic:nvPicPr>
                    <pic:cNvPr id="0" name="compare_result.png"/>
                    <pic:cNvPicPr/>
                  </pic:nvPicPr>
                  <pic:blipFill>
                    <a:blip r:embed="rId21"/>
                    <a:stretch>
                      <a:fillRect/>
                    </a:stretch>
                  </pic:blipFill>
                  <pic:spPr>
                    <a:xfrm>
                      <a:off x="0" y="0"/>
                      <a:ext cx="5715000" cy="6322979"/>
                    </a:xfrm>
                    <a:prstGeom prst="rect"/>
                  </pic:spPr>
                </pic:pic>
              </a:graphicData>
            </a:graphic>
          </wp:inline>
        </w:drawing>
      </w:r>
    </w:p>
    <w:p>
      <w:pPr>
        <w:pStyle w:val="Figurecaption"/>
        <w:keepLines/>
      </w:pPr>
      <w:r>
        <w:t>Figure 8. Comparateur avec axes communs, courbes superposées et tableau de synthèse.</w:t>
      </w:r>
    </w:p>
    <w:p>
      <w:pPr>
        <w:pStyle w:val="Heading2"/>
      </w:pPr>
      <w:r>
        <w:t>Procédure</w:t>
      </w:r>
    </w:p>
    <w:p>
      <w:pPr>
        <w:spacing w:after="80"/>
        <w:ind w:left="369" w:hanging="369"/>
      </w:pPr>
      <w:r>
        <w:rPr>
          <w:b/>
          <w:color w:val="285FC5"/>
        </w:rPr>
        <w:t xml:space="preserve">1. </w:t>
      </w:r>
      <w:r>
        <w:t>Choisir de un à quatre matériaux ou simulations enregistrées.</w:t>
      </w:r>
    </w:p>
    <w:p>
      <w:pPr>
        <w:spacing w:after="80"/>
        <w:ind w:left="369" w:hanging="369"/>
      </w:pPr>
      <w:r>
        <w:rPr>
          <w:b/>
          <w:color w:val="285FC5"/>
        </w:rPr>
        <w:t xml:space="preserve">2. </w:t>
      </w:r>
      <w:r>
        <w:t>Fixer des conditions communes : température, humidité, épaisseur, milieu, horizon et seuil.</w:t>
      </w:r>
    </w:p>
    <w:p>
      <w:pPr>
        <w:spacing w:after="80"/>
        <w:ind w:left="369" w:hanging="369"/>
      </w:pPr>
      <w:r>
        <w:rPr>
          <w:b/>
          <w:color w:val="285FC5"/>
        </w:rPr>
        <w:t xml:space="preserve">3. </w:t>
      </w:r>
      <w:r>
        <w:t>Contrôler l'indicateur de compatibilité affiché au-dessus des courbes.</w:t>
      </w:r>
    </w:p>
    <w:p>
      <w:pPr>
        <w:spacing w:after="80"/>
        <w:ind w:left="369" w:hanging="369"/>
      </w:pPr>
      <w:r>
        <w:rPr>
          <w:b/>
          <w:color w:val="285FC5"/>
        </w:rPr>
        <w:t xml:space="preserve">4. </w:t>
      </w:r>
      <w:r>
        <w:t>Comparer la rétention à l'horizon, le temps au seuil et l'origine du module initial.</w:t>
      </w:r>
    </w:p>
    <w:p>
      <w:pPr>
        <w:spacing w:after="80"/>
        <w:ind w:left="369" w:hanging="369"/>
      </w:pPr>
      <w:r>
        <w:rPr>
          <w:b/>
          <w:color w:val="285FC5"/>
        </w:rPr>
        <w:t xml:space="preserve">5. </w:t>
      </w:r>
      <w:r>
        <w:t>Exporter la comparaison dans Excel pour conserver les paramètres exacts.</w:t>
      </w:r>
    </w:p>
    <w:p>
      <w:pPr>
        <w:spacing w:before="100" w:after="100"/>
      </w:pPr>
      <w:r>
        <w:rPr>
          <w:b/>
          <w:color w:val="16315C"/>
        </w:rPr>
        <w:t xml:space="preserve">Comparaison correcte. </w:t>
      </w:r>
      <w:r>
        <w:t>Comparez les pourcentages E/E0 lorsque les modules initiaux sont très différents ; comparez les MPa lorsque la rigidité absolue est le critère de décision.</w:t>
      </w:r>
    </w:p>
    <w:p>
      <w:pPr>
        <w:spacing w:before="100" w:after="100"/>
      </w:pPr>
      <w:r>
        <w:rPr>
          <w:b/>
          <w:color w:val="16315C"/>
        </w:rPr>
        <w:t xml:space="preserve">Comparaison incorrecte. </w:t>
      </w:r>
      <w:r>
        <w:t>Ne classez pas deux matériaux si l'un repose sur des mesures publiées proches et l'autre sur une simple estimation familiale sans afficher cette différence.</w:t>
      </w:r>
    </w:p>
    <w:p>
      <w:pPr>
        <w:pStyle w:val="Smalllabel"/>
        <w:spacing w:before="0"/>
      </w:pPr>
      <w:r>
        <w:t>PARTIE 9</w:t>
      </w:r>
    </w:p>
    <w:p>
      <w:pPr>
        <w:pStyle w:val="Heading1"/>
        <w:spacing w:before="0"/>
      </w:pPr>
      <w:r>
        <w:t>Contrôler la validité scientifique</w:t>
      </w:r>
    </w:p>
    <w:p>
      <w:pPr>
        <w:spacing w:after="200"/>
        <w:keepLines/>
      </w:pPr>
      <w:r>
        <w:rPr>
          <w:color w:val="60708B"/>
          <w:sz w:val="21"/>
        </w:rPr>
        <w:t>La page Validité regroupe les performances internes, les domaines couverts et les failles encore ouvertes.</w:t>
      </w:r>
    </w:p>
    <w:p>
      <w:pPr>
        <w:spacing w:after="0"/>
        <w:jc w:val="center"/>
        <w:keepNext/>
        <w:keepLines/>
      </w:pPr>
      <w:r>
        <w:drawing>
          <wp:inline xmlns:a="http://schemas.openxmlformats.org/drawingml/2006/main" xmlns:pic="http://schemas.openxmlformats.org/drawingml/2006/picture">
            <wp:extent cx="4572000" cy="5369668"/>
            <wp:docPr id="9" name="Picture 9" title="Figure 9" descr="Centre de validité avec benchmark PP et limites d'utilisation."/>
            <wp:cNvGraphicFramePr>
              <a:graphicFrameLocks noChangeAspect="1"/>
            </wp:cNvGraphicFramePr>
            <a:graphic>
              <a:graphicData uri="http://schemas.openxmlformats.org/drawingml/2006/picture">
                <pic:pic>
                  <pic:nvPicPr>
                    <pic:cNvPr id="0" name="validity_result.png"/>
                    <pic:cNvPicPr/>
                  </pic:nvPicPr>
                  <pic:blipFill>
                    <a:blip r:embed="rId22"/>
                    <a:stretch>
                      <a:fillRect/>
                    </a:stretch>
                  </pic:blipFill>
                  <pic:spPr>
                    <a:xfrm>
                      <a:off x="0" y="0"/>
                      <a:ext cx="4572000" cy="5369668"/>
                    </a:xfrm>
                    <a:prstGeom prst="rect"/>
                  </pic:spPr>
                </pic:pic>
              </a:graphicData>
            </a:graphic>
          </wp:inline>
        </w:drawing>
      </w:r>
    </w:p>
    <w:p>
      <w:pPr>
        <w:pStyle w:val="Figurecaption"/>
        <w:keepLines/>
      </w:pPr>
      <w:r>
        <w:t>Figure 9. Centre de validité avec benchmark PP et limites d'utilisation.</w:t>
      </w:r>
    </w:p>
    <w:p>
      <w:pPr>
        <w:pStyle w:val="Heading2"/>
      </w:pPr>
      <w:r>
        <w:t>Ce que prouvent les tests</w:t>
      </w:r>
    </w:p>
    <w:p>
      <w:pPr>
        <w:spacing w:after="60"/>
        <w:ind w:left="312" w:hanging="142"/>
      </w:pPr>
      <w:r>
        <w:rPr>
          <w:b/>
          <w:color w:val="285FC5"/>
        </w:rPr>
        <w:t xml:space="preserve">- </w:t>
      </w:r>
      <w:r>
        <w:t>Le logiciel reproduit les calculs attendus et protège les domaines d'interpolation.</w:t>
      </w:r>
    </w:p>
    <w:p>
      <w:pPr>
        <w:spacing w:after="60"/>
        <w:ind w:left="312" w:hanging="142"/>
      </w:pPr>
      <w:r>
        <w:rPr>
          <w:b/>
          <w:color w:val="285FC5"/>
        </w:rPr>
        <w:t xml:space="preserve">- </w:t>
      </w:r>
      <w:r>
        <w:t>Le benchmark PP interne atteint une MAE de 3,83 MPa et une MAPE de 0,77 % à 120 jours.</w:t>
      </w:r>
    </w:p>
    <w:p>
      <w:pPr>
        <w:spacing w:after="60"/>
        <w:ind w:left="312" w:hanging="142"/>
      </w:pPr>
      <w:r>
        <w:rPr>
          <w:b/>
          <w:color w:val="285FC5"/>
        </w:rPr>
        <w:t xml:space="preserve">- </w:t>
      </w:r>
      <w:r>
        <w:t>Cette performance provient d'un transfert interne à une même publication et ne constitue pas une validation indépendante.</w:t>
      </w:r>
    </w:p>
    <w:p>
      <w:pPr>
        <w:spacing w:after="60"/>
        <w:ind w:left="312" w:hanging="142"/>
      </w:pPr>
      <w:r>
        <w:rPr>
          <w:b/>
          <w:color w:val="285FC5"/>
        </w:rPr>
        <w:t xml:space="preserve">- </w:t>
      </w:r>
      <w:r>
        <w:t>Le statut scientifique global reste non validé tant qu'une campagne externe prospective n'a pas confirmé le modèle.</w:t>
      </w:r>
    </w:p>
    <w:p>
      <w:pPr>
        <w:pStyle w:val="Heading2"/>
      </w:pPr>
      <w:r>
        <w:t>Validation aveugle</w:t>
      </w:r>
    </w:p>
    <w:p>
      <w:pPr>
        <w:spacing w:after="80"/>
        <w:ind w:left="369" w:hanging="369"/>
      </w:pPr>
      <w:r>
        <w:rPr>
          <w:b/>
          <w:color w:val="285FC5"/>
        </w:rPr>
        <w:t xml:space="preserve">1. </w:t>
      </w:r>
      <w:r>
        <w:t>Produire la projection avant les essais.</w:t>
      </w:r>
    </w:p>
    <w:p>
      <w:pPr>
        <w:spacing w:after="80"/>
        <w:ind w:left="369" w:hanging="369"/>
      </w:pPr>
      <w:r>
        <w:rPr>
          <w:b/>
          <w:color w:val="285FC5"/>
        </w:rPr>
        <w:t xml:space="preserve">2. </w:t>
      </w:r>
      <w:r>
        <w:t>Cliquer sur Figer avant essais et conserver le fichier signé par son empreinte SHA-256.</w:t>
      </w:r>
    </w:p>
    <w:p>
      <w:pPr>
        <w:spacing w:after="80"/>
        <w:ind w:left="369" w:hanging="369"/>
      </w:pPr>
      <w:r>
        <w:rPr>
          <w:b/>
          <w:color w:val="285FC5"/>
        </w:rPr>
        <w:t xml:space="preserve">3. </w:t>
      </w:r>
      <w:r>
        <w:t>Réaliser la campagne sans modifier la courbe.</w:t>
      </w:r>
    </w:p>
    <w:p>
      <w:pPr>
        <w:spacing w:after="80"/>
        <w:ind w:left="369" w:hanging="369"/>
      </w:pPr>
      <w:r>
        <w:rPr>
          <w:b/>
          <w:color w:val="285FC5"/>
        </w:rPr>
        <w:t xml:space="preserve">4. </w:t>
      </w:r>
      <w:r>
        <w:t>Importer les mesures time_days et modulus_mpa, avec replicate_id si possible.</w:t>
      </w:r>
    </w:p>
    <w:p>
      <w:pPr>
        <w:spacing w:after="80"/>
        <w:ind w:left="369" w:hanging="369"/>
      </w:pPr>
      <w:r>
        <w:rPr>
          <w:b/>
          <w:color w:val="285FC5"/>
        </w:rPr>
        <w:t xml:space="preserve">5. </w:t>
      </w:r>
      <w:r>
        <w:t>Comparer MAE, RMSE, MAPE, biais, couverture et erreur sur le temps au seuil.</w:t>
      </w:r>
    </w:p>
    <w:p>
      <w:pPr>
        <w:spacing w:after="80"/>
        <w:ind w:left="369" w:hanging="369"/>
      </w:pPr>
      <w:r>
        <w:rPr>
          <w:b/>
          <w:color w:val="285FC5"/>
        </w:rPr>
        <w:t xml:space="preserve">6. </w:t>
      </w:r>
      <w:r>
        <w:t>Ne réajuster le modèle qu'après le rapport aveugle de la version précédente.</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1814"/>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Indicateur</w:t>
            </w:r>
          </w:p>
        </w:tc>
        <w:tc>
          <w:tcPr>
            <w:tcW w:type="dxa" w:w="7200"/>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Lecture</w:t>
            </w:r>
          </w:p>
        </w:tc>
      </w:tr>
      <w:tr>
        <w:tc>
          <w:tcPr>
            <w:tcW w:type="dxa" w:w="1814"/>
            <w:shd w:fill="FFFFFF"/>
            <w:tcMar>
              <w:top w:w="90" w:type="dxa"/>
              <w:start w:w="110" w:type="dxa"/>
              <w:bottom w:w="90" w:type="dxa"/>
              <w:end w:w="110" w:type="dxa"/>
            </w:tcMar>
            <w:vAlign w:val="center"/>
          </w:tcPr>
          <w:p>
            <w:pPr>
              <w:spacing w:after="0"/>
              <w:jc w:val="left"/>
            </w:pPr>
            <w:r>
              <w:rPr>
                <w:rFonts w:ascii="Helvetica Neue" w:hAnsi="Helvetica Neue"/>
                <w:sz w:val="17"/>
              </w:rPr>
              <w:t>MAE</w:t>
            </w:r>
          </w:p>
        </w:tc>
        <w:tc>
          <w:tcPr>
            <w:tcW w:type="dxa" w:w="7200"/>
            <w:shd w:fill="FFFFFF"/>
            <w:tcMar>
              <w:top w:w="90" w:type="dxa"/>
              <w:start w:w="110" w:type="dxa"/>
              <w:bottom w:w="90" w:type="dxa"/>
              <w:end w:w="110" w:type="dxa"/>
            </w:tcMar>
            <w:vAlign w:val="center"/>
          </w:tcPr>
          <w:p>
            <w:pPr>
              <w:spacing w:after="0"/>
              <w:jc w:val="left"/>
            </w:pPr>
            <w:r>
              <w:rPr>
                <w:rFonts w:ascii="Helvetica Neue" w:hAnsi="Helvetica Neue"/>
                <w:sz w:val="17"/>
              </w:rPr>
              <w:t>Erreur absolue moyenne en MPa</w:t>
            </w:r>
          </w:p>
        </w:tc>
      </w:tr>
      <w:tr>
        <w:tc>
          <w:tcPr>
            <w:tcW w:type="dxa" w:w="1814"/>
            <w:shd w:fill="F5F8FC"/>
            <w:tcMar>
              <w:top w:w="90" w:type="dxa"/>
              <w:start w:w="110" w:type="dxa"/>
              <w:bottom w:w="90" w:type="dxa"/>
              <w:end w:w="110" w:type="dxa"/>
            </w:tcMar>
            <w:vAlign w:val="center"/>
          </w:tcPr>
          <w:p>
            <w:pPr>
              <w:spacing w:after="0"/>
              <w:jc w:val="left"/>
            </w:pPr>
            <w:r>
              <w:rPr>
                <w:rFonts w:ascii="Helvetica Neue" w:hAnsi="Helvetica Neue"/>
                <w:sz w:val="17"/>
              </w:rPr>
              <w:t>RMSE</w:t>
            </w:r>
          </w:p>
        </w:tc>
        <w:tc>
          <w:tcPr>
            <w:tcW w:type="dxa" w:w="7200"/>
            <w:shd w:fill="F5F8FC"/>
            <w:tcMar>
              <w:top w:w="90" w:type="dxa"/>
              <w:start w:w="110" w:type="dxa"/>
              <w:bottom w:w="90" w:type="dxa"/>
              <w:end w:w="110" w:type="dxa"/>
            </w:tcMar>
            <w:vAlign w:val="center"/>
          </w:tcPr>
          <w:p>
            <w:pPr>
              <w:spacing w:after="0"/>
              <w:jc w:val="left"/>
            </w:pPr>
            <w:r>
              <w:rPr>
                <w:rFonts w:ascii="Helvetica Neue" w:hAnsi="Helvetica Neue"/>
                <w:sz w:val="17"/>
              </w:rPr>
              <w:t>Pénalise davantage les grandes erreurs</w:t>
            </w:r>
          </w:p>
        </w:tc>
      </w:tr>
      <w:tr>
        <w:tc>
          <w:tcPr>
            <w:tcW w:type="dxa" w:w="1814"/>
            <w:shd w:fill="FFFFFF"/>
            <w:tcMar>
              <w:top w:w="90" w:type="dxa"/>
              <w:start w:w="110" w:type="dxa"/>
              <w:bottom w:w="90" w:type="dxa"/>
              <w:end w:w="110" w:type="dxa"/>
            </w:tcMar>
            <w:vAlign w:val="center"/>
          </w:tcPr>
          <w:p>
            <w:pPr>
              <w:spacing w:after="0"/>
              <w:jc w:val="left"/>
            </w:pPr>
            <w:r>
              <w:rPr>
                <w:rFonts w:ascii="Helvetica Neue" w:hAnsi="Helvetica Neue"/>
                <w:sz w:val="17"/>
              </w:rPr>
              <w:t>MAPE</w:t>
            </w:r>
          </w:p>
        </w:tc>
        <w:tc>
          <w:tcPr>
            <w:tcW w:type="dxa" w:w="7200"/>
            <w:shd w:fill="FFFFFF"/>
            <w:tcMar>
              <w:top w:w="90" w:type="dxa"/>
              <w:start w:w="110" w:type="dxa"/>
              <w:bottom w:w="90" w:type="dxa"/>
              <w:end w:w="110" w:type="dxa"/>
            </w:tcMar>
            <w:vAlign w:val="center"/>
          </w:tcPr>
          <w:p>
            <w:pPr>
              <w:spacing w:after="0"/>
              <w:jc w:val="left"/>
            </w:pPr>
            <w:r>
              <w:rPr>
                <w:rFonts w:ascii="Helvetica Neue" w:hAnsi="Helvetica Neue"/>
                <w:sz w:val="17"/>
              </w:rPr>
              <w:t>Erreur relative moyenne en pourcentage</w:t>
            </w:r>
          </w:p>
        </w:tc>
      </w:tr>
      <w:tr>
        <w:tc>
          <w:tcPr>
            <w:tcW w:type="dxa" w:w="1814"/>
            <w:shd w:fill="F5F8FC"/>
            <w:tcMar>
              <w:top w:w="90" w:type="dxa"/>
              <w:start w:w="110" w:type="dxa"/>
              <w:bottom w:w="90" w:type="dxa"/>
              <w:end w:w="110" w:type="dxa"/>
            </w:tcMar>
            <w:vAlign w:val="center"/>
          </w:tcPr>
          <w:p>
            <w:pPr>
              <w:spacing w:after="0"/>
              <w:jc w:val="left"/>
            </w:pPr>
            <w:r>
              <w:rPr>
                <w:rFonts w:ascii="Helvetica Neue" w:hAnsi="Helvetica Neue"/>
                <w:sz w:val="17"/>
              </w:rPr>
              <w:t>Biais</w:t>
            </w:r>
          </w:p>
        </w:tc>
        <w:tc>
          <w:tcPr>
            <w:tcW w:type="dxa" w:w="7200"/>
            <w:shd w:fill="F5F8FC"/>
            <w:tcMar>
              <w:top w:w="90" w:type="dxa"/>
              <w:start w:w="110" w:type="dxa"/>
              <w:bottom w:w="90" w:type="dxa"/>
              <w:end w:w="110" w:type="dxa"/>
            </w:tcMar>
            <w:vAlign w:val="center"/>
          </w:tcPr>
          <w:p>
            <w:pPr>
              <w:spacing w:after="0"/>
              <w:jc w:val="left"/>
            </w:pPr>
            <w:r>
              <w:rPr>
                <w:rFonts w:ascii="Helvetica Neue" w:hAnsi="Helvetica Neue"/>
                <w:sz w:val="17"/>
              </w:rPr>
              <w:t>Signe d'une surestimation ou sous-estimation systématique</w:t>
            </w:r>
          </w:p>
        </w:tc>
      </w:tr>
      <w:tr>
        <w:tc>
          <w:tcPr>
            <w:tcW w:type="dxa" w:w="1814"/>
            <w:shd w:fill="FFFFFF"/>
            <w:tcMar>
              <w:top w:w="90" w:type="dxa"/>
              <w:start w:w="110" w:type="dxa"/>
              <w:bottom w:w="90" w:type="dxa"/>
              <w:end w:w="110" w:type="dxa"/>
            </w:tcMar>
            <w:vAlign w:val="center"/>
          </w:tcPr>
          <w:p>
            <w:pPr>
              <w:spacing w:after="0"/>
              <w:jc w:val="left"/>
            </w:pPr>
            <w:r>
              <w:rPr>
                <w:rFonts w:ascii="Helvetica Neue" w:hAnsi="Helvetica Neue"/>
                <w:sz w:val="17"/>
              </w:rPr>
              <w:t>Couverture</w:t>
            </w:r>
          </w:p>
        </w:tc>
        <w:tc>
          <w:tcPr>
            <w:tcW w:type="dxa" w:w="7200"/>
            <w:shd w:fill="FFFFFF"/>
            <w:tcMar>
              <w:top w:w="90" w:type="dxa"/>
              <w:start w:w="110" w:type="dxa"/>
              <w:bottom w:w="90" w:type="dxa"/>
              <w:end w:w="110" w:type="dxa"/>
            </w:tcMar>
            <w:vAlign w:val="center"/>
          </w:tcPr>
          <w:p>
            <w:pPr>
              <w:spacing w:after="0"/>
              <w:jc w:val="left"/>
            </w:pPr>
            <w:r>
              <w:rPr>
                <w:rFonts w:ascii="Helvetica Neue" w:hAnsi="Helvetica Neue"/>
                <w:sz w:val="17"/>
              </w:rPr>
              <w:t>Part des observations dans la bande annoncée</w:t>
            </w:r>
          </w:p>
        </w:tc>
      </w:tr>
    </w:tbl>
    <w:p>
      <w:pPr>
        <w:spacing w:after="20"/>
      </w:pPr>
    </w:p>
    <w:p>
      <w:pPr>
        <w:pStyle w:val="Smalllabel"/>
        <w:spacing w:before="0"/>
      </w:pPr>
      <w:r>
        <w:t>PARTIE 10</w:t>
      </w:r>
    </w:p>
    <w:p>
      <w:pPr>
        <w:pStyle w:val="Heading1"/>
        <w:spacing w:before="0"/>
      </w:pPr>
      <w:r>
        <w:t>Enregistrer et exporter les résultats</w:t>
      </w:r>
    </w:p>
    <w:p>
      <w:pPr>
        <w:spacing w:after="200"/>
        <w:keepLines/>
      </w:pPr>
      <w:r>
        <w:rPr>
          <w:color w:val="60708B"/>
          <w:sz w:val="21"/>
        </w:rPr>
        <w:t>Les exports utilisent les mêmes valeurs que la courbe et conservent les paramètres, la version et l'empreinte du calcul.</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757"/>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Action</w:t>
            </w:r>
          </w:p>
        </w:tc>
        <w:tc>
          <w:tcPr>
            <w:tcW w:type="dxa" w:w="362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Contenu</w:t>
            </w:r>
          </w:p>
        </w:tc>
        <w:tc>
          <w:tcPr>
            <w:tcW w:type="dxa" w:w="362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Usage</w:t>
            </w:r>
          </w:p>
        </w:tc>
      </w:tr>
      <w:tr>
        <w:tc>
          <w:tcPr>
            <w:tcW w:type="dxa" w:w="1757"/>
            <w:shd w:fill="FFFFFF"/>
            <w:tcMar>
              <w:top w:w="90" w:type="dxa"/>
              <w:start w:w="110" w:type="dxa"/>
              <w:bottom w:w="90" w:type="dxa"/>
              <w:end w:w="110" w:type="dxa"/>
            </w:tcMar>
            <w:vAlign w:val="center"/>
          </w:tcPr>
          <w:p>
            <w:pPr>
              <w:spacing w:after="0"/>
              <w:jc w:val="left"/>
            </w:pPr>
            <w:r>
              <w:rPr>
                <w:rFonts w:ascii="Helvetica Neue" w:hAnsi="Helvetica Neue"/>
                <w:sz w:val="16"/>
              </w:rPr>
              <w:t>Enregistrer</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Projet dans la base locale</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Retrouver et comparer plus tard</w:t>
            </w:r>
          </w:p>
        </w:tc>
      </w:tr>
      <w:tr>
        <w:tc>
          <w:tcPr>
            <w:tcW w:type="dxa" w:w="1757"/>
            <w:shd w:fill="F5F8FC"/>
            <w:tcMar>
              <w:top w:w="90" w:type="dxa"/>
              <w:start w:w="110" w:type="dxa"/>
              <w:bottom w:w="90" w:type="dxa"/>
              <w:end w:w="110" w:type="dxa"/>
            </w:tcMar>
            <w:vAlign w:val="center"/>
          </w:tcPr>
          <w:p>
            <w:pPr>
              <w:spacing w:after="0"/>
              <w:jc w:val="left"/>
            </w:pPr>
            <w:r>
              <w:rPr>
                <w:rFonts w:ascii="Helvetica Neue" w:hAnsi="Helvetica Neue"/>
                <w:sz w:val="16"/>
              </w:rPr>
              <w:t>Figer avant essais</w:t>
            </w:r>
          </w:p>
        </w:tc>
        <w:tc>
          <w:tcPr>
            <w:tcW w:type="dxa" w:w="3628"/>
            <w:shd w:fill="F5F8FC"/>
            <w:tcMar>
              <w:top w:w="90" w:type="dxa"/>
              <w:start w:w="110" w:type="dxa"/>
              <w:bottom w:w="90" w:type="dxa"/>
              <w:end w:w="110" w:type="dxa"/>
            </w:tcMar>
            <w:vAlign w:val="center"/>
          </w:tcPr>
          <w:p>
            <w:pPr>
              <w:spacing w:after="0"/>
              <w:jc w:val="left"/>
            </w:pPr>
            <w:r>
              <w:rPr>
                <w:rFonts w:ascii="Helvetica Neue" w:hAnsi="Helvetica Neue"/>
                <w:sz w:val="16"/>
              </w:rPr>
              <w:t>Courbe, paramètres, sources et empreinte</w:t>
            </w:r>
          </w:p>
        </w:tc>
        <w:tc>
          <w:tcPr>
            <w:tcW w:type="dxa" w:w="3628"/>
            <w:shd w:fill="F5F8FC"/>
            <w:tcMar>
              <w:top w:w="90" w:type="dxa"/>
              <w:start w:w="110" w:type="dxa"/>
              <w:bottom w:w="90" w:type="dxa"/>
              <w:end w:w="110" w:type="dxa"/>
            </w:tcMar>
            <w:vAlign w:val="center"/>
          </w:tcPr>
          <w:p>
            <w:pPr>
              <w:spacing w:after="0"/>
              <w:jc w:val="center"/>
            </w:pPr>
            <w:r>
              <w:rPr>
                <w:rFonts w:ascii="Helvetica Neue" w:hAnsi="Helvetica Neue"/>
                <w:sz w:val="16"/>
              </w:rPr>
              <w:t>Validation aveugle</w:t>
            </w:r>
          </w:p>
        </w:tc>
      </w:tr>
      <w:tr>
        <w:tc>
          <w:tcPr>
            <w:tcW w:type="dxa" w:w="1757"/>
            <w:shd w:fill="FFFFFF"/>
            <w:tcMar>
              <w:top w:w="90" w:type="dxa"/>
              <w:start w:w="110" w:type="dxa"/>
              <w:bottom w:w="90" w:type="dxa"/>
              <w:end w:w="110" w:type="dxa"/>
            </w:tcMar>
            <w:vAlign w:val="center"/>
          </w:tcPr>
          <w:p>
            <w:pPr>
              <w:spacing w:after="0"/>
              <w:jc w:val="left"/>
            </w:pPr>
            <w:r>
              <w:rPr>
                <w:rFonts w:ascii="Helvetica Neue" w:hAnsi="Helvetica Neue"/>
                <w:sz w:val="16"/>
              </w:rPr>
              <w:t>Classeur Excel</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Résultats, table de courbe, paramètres et graphique</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Analyse et remise de projet</w:t>
            </w:r>
          </w:p>
        </w:tc>
      </w:tr>
      <w:tr>
        <w:tc>
          <w:tcPr>
            <w:tcW w:type="dxa" w:w="1757"/>
            <w:shd w:fill="F5F8FC"/>
            <w:tcMar>
              <w:top w:w="90" w:type="dxa"/>
              <w:start w:w="110" w:type="dxa"/>
              <w:bottom w:w="90" w:type="dxa"/>
              <w:end w:w="110" w:type="dxa"/>
            </w:tcMar>
            <w:vAlign w:val="center"/>
          </w:tcPr>
          <w:p>
            <w:pPr>
              <w:spacing w:after="0"/>
              <w:jc w:val="left"/>
            </w:pPr>
            <w:r>
              <w:rPr>
                <w:rFonts w:ascii="Helvetica Neue" w:hAnsi="Helvetica Neue"/>
                <w:sz w:val="16"/>
              </w:rPr>
              <w:t>Rapport PDF</w:t>
            </w:r>
          </w:p>
        </w:tc>
        <w:tc>
          <w:tcPr>
            <w:tcW w:type="dxa" w:w="3628"/>
            <w:shd w:fill="F5F8FC"/>
            <w:tcMar>
              <w:top w:w="90" w:type="dxa"/>
              <w:start w:w="110" w:type="dxa"/>
              <w:bottom w:w="90" w:type="dxa"/>
              <w:end w:w="110" w:type="dxa"/>
            </w:tcMar>
            <w:vAlign w:val="center"/>
          </w:tcPr>
          <w:p>
            <w:pPr>
              <w:spacing w:after="0"/>
              <w:jc w:val="left"/>
            </w:pPr>
            <w:r>
              <w:rPr>
                <w:rFonts w:ascii="Helvetica Neue" w:hAnsi="Helvetica Neue"/>
                <w:sz w:val="16"/>
              </w:rPr>
              <w:t>Synthèse lisible et traçable</w:t>
            </w:r>
          </w:p>
        </w:tc>
        <w:tc>
          <w:tcPr>
            <w:tcW w:type="dxa" w:w="3628"/>
            <w:shd w:fill="F5F8FC"/>
            <w:tcMar>
              <w:top w:w="90" w:type="dxa"/>
              <w:start w:w="110" w:type="dxa"/>
              <w:bottom w:w="90" w:type="dxa"/>
              <w:end w:w="110" w:type="dxa"/>
            </w:tcMar>
            <w:vAlign w:val="center"/>
          </w:tcPr>
          <w:p>
            <w:pPr>
              <w:spacing w:after="0"/>
              <w:jc w:val="center"/>
            </w:pPr>
            <w:r>
              <w:rPr>
                <w:rFonts w:ascii="Helvetica Neue" w:hAnsi="Helvetica Neue"/>
                <w:sz w:val="16"/>
              </w:rPr>
              <w:t>Communication</w:t>
            </w:r>
          </w:p>
        </w:tc>
      </w:tr>
      <w:tr>
        <w:tc>
          <w:tcPr>
            <w:tcW w:type="dxa" w:w="1757"/>
            <w:shd w:fill="FFFFFF"/>
            <w:tcMar>
              <w:top w:w="90" w:type="dxa"/>
              <w:start w:w="110" w:type="dxa"/>
              <w:bottom w:w="90" w:type="dxa"/>
              <w:end w:w="110" w:type="dxa"/>
            </w:tcMar>
            <w:vAlign w:val="center"/>
          </w:tcPr>
          <w:p>
            <w:pPr>
              <w:spacing w:after="0"/>
              <w:jc w:val="left"/>
            </w:pPr>
            <w:r>
              <w:rPr>
                <w:rFonts w:ascii="Helvetica Neue" w:hAnsi="Helvetica Neue"/>
                <w:sz w:val="16"/>
              </w:rPr>
              <w:t>Rapport étudiant</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Résultat, méthode et questions de recul</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Compte rendu pédagogique</w:t>
            </w:r>
          </w:p>
        </w:tc>
      </w:tr>
      <w:tr>
        <w:tc>
          <w:tcPr>
            <w:tcW w:type="dxa" w:w="1757"/>
            <w:shd w:fill="F5F8FC"/>
            <w:tcMar>
              <w:top w:w="90" w:type="dxa"/>
              <w:start w:w="110" w:type="dxa"/>
              <w:bottom w:w="90" w:type="dxa"/>
              <w:end w:w="110" w:type="dxa"/>
            </w:tcMar>
            <w:vAlign w:val="center"/>
          </w:tcPr>
          <w:p>
            <w:pPr>
              <w:spacing w:after="0"/>
              <w:jc w:val="left"/>
            </w:pPr>
            <w:r>
              <w:rPr>
                <w:rFonts w:ascii="Helvetica Neue" w:hAnsi="Helvetica Neue"/>
                <w:sz w:val="16"/>
              </w:rPr>
              <w:t>JSON</w:t>
            </w:r>
          </w:p>
        </w:tc>
        <w:tc>
          <w:tcPr>
            <w:tcW w:type="dxa" w:w="3628"/>
            <w:shd w:fill="F5F8FC"/>
            <w:tcMar>
              <w:top w:w="90" w:type="dxa"/>
              <w:start w:w="110" w:type="dxa"/>
              <w:bottom w:w="90" w:type="dxa"/>
              <w:end w:w="110" w:type="dxa"/>
            </w:tcMar>
            <w:vAlign w:val="center"/>
          </w:tcPr>
          <w:p>
            <w:pPr>
              <w:spacing w:after="0"/>
              <w:jc w:val="left"/>
            </w:pPr>
            <w:r>
              <w:rPr>
                <w:rFonts w:ascii="Helvetica Neue" w:hAnsi="Helvetica Neue"/>
                <w:sz w:val="16"/>
              </w:rPr>
              <w:t>Manifeste structuré et empreinte</w:t>
            </w:r>
          </w:p>
        </w:tc>
        <w:tc>
          <w:tcPr>
            <w:tcW w:type="dxa" w:w="3628"/>
            <w:shd w:fill="F5F8FC"/>
            <w:tcMar>
              <w:top w:w="90" w:type="dxa"/>
              <w:start w:w="110" w:type="dxa"/>
              <w:bottom w:w="90" w:type="dxa"/>
              <w:end w:w="110" w:type="dxa"/>
            </w:tcMar>
            <w:vAlign w:val="center"/>
          </w:tcPr>
          <w:p>
            <w:pPr>
              <w:spacing w:after="0"/>
              <w:jc w:val="left"/>
            </w:pPr>
            <w:r>
              <w:rPr>
                <w:rFonts w:ascii="Helvetica Neue" w:hAnsi="Helvetica Neue"/>
                <w:sz w:val="16"/>
              </w:rPr>
              <w:t>Archivage et reproductibilité</w:t>
            </w:r>
          </w:p>
        </w:tc>
      </w:tr>
      <w:tr>
        <w:tc>
          <w:tcPr>
            <w:tcW w:type="dxa" w:w="1757"/>
            <w:shd w:fill="FFFFFF"/>
            <w:tcMar>
              <w:top w:w="90" w:type="dxa"/>
              <w:start w:w="110" w:type="dxa"/>
              <w:bottom w:w="90" w:type="dxa"/>
              <w:end w:w="110" w:type="dxa"/>
            </w:tcMar>
            <w:vAlign w:val="center"/>
          </w:tcPr>
          <w:p>
            <w:pPr>
              <w:spacing w:after="0"/>
              <w:jc w:val="left"/>
            </w:pPr>
            <w:r>
              <w:rPr>
                <w:rFonts w:ascii="Helvetica Neue" w:hAnsi="Helvetica Neue"/>
                <w:sz w:val="16"/>
              </w:rPr>
              <w:t>Carte de preuve</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Niveau, source, domaine et limites</w:t>
            </w:r>
          </w:p>
        </w:tc>
        <w:tc>
          <w:tcPr>
            <w:tcW w:type="dxa" w:w="3628"/>
            <w:shd w:fill="FFFFFF"/>
            <w:tcMar>
              <w:top w:w="90" w:type="dxa"/>
              <w:start w:w="110" w:type="dxa"/>
              <w:bottom w:w="90" w:type="dxa"/>
              <w:end w:w="110" w:type="dxa"/>
            </w:tcMar>
            <w:vAlign w:val="center"/>
          </w:tcPr>
          <w:p>
            <w:pPr>
              <w:spacing w:after="0"/>
              <w:jc w:val="left"/>
            </w:pPr>
            <w:r>
              <w:rPr>
                <w:rFonts w:ascii="Helvetica Neue" w:hAnsi="Helvetica Neue"/>
                <w:sz w:val="16"/>
              </w:rPr>
              <w:t>Justifier la valeur utilisée</w:t>
            </w:r>
          </w:p>
        </w:tc>
      </w:tr>
    </w:tbl>
    <w:p>
      <w:pPr>
        <w:spacing w:after="20"/>
      </w:pPr>
    </w:p>
    <w:p>
      <w:pPr>
        <w:spacing w:after="0"/>
        <w:jc w:val="center"/>
        <w:keepNext/>
        <w:keepLines/>
      </w:pPr>
      <w:r>
        <w:drawing>
          <wp:inline xmlns:a="http://schemas.openxmlformats.org/drawingml/2006/main" xmlns:pic="http://schemas.openxmlformats.org/drawingml/2006/picture">
            <wp:extent cx="5669280" cy="3908185"/>
            <wp:docPr id="10" name="Picture 10" title="Figure 10" descr="Espace Mes projets pour retrouver les résultats enregistrés."/>
            <wp:cNvGraphicFramePr>
              <a:graphicFrameLocks noChangeAspect="1"/>
            </wp:cNvGraphicFramePr>
            <a:graphic>
              <a:graphicData uri="http://schemas.openxmlformats.org/drawingml/2006/picture">
                <pic:pic>
                  <pic:nvPicPr>
                    <pic:cNvPr id="0" name="projects_view.png"/>
                    <pic:cNvPicPr/>
                  </pic:nvPicPr>
                  <pic:blipFill>
                    <a:blip r:embed="rId23"/>
                    <a:stretch>
                      <a:fillRect/>
                    </a:stretch>
                  </pic:blipFill>
                  <pic:spPr>
                    <a:xfrm>
                      <a:off x="0" y="0"/>
                      <a:ext cx="5669280" cy="3908185"/>
                    </a:xfrm>
                    <a:prstGeom prst="rect"/>
                  </pic:spPr>
                </pic:pic>
              </a:graphicData>
            </a:graphic>
          </wp:inline>
        </w:drawing>
      </w:r>
    </w:p>
    <w:p>
      <w:pPr>
        <w:pStyle w:val="Figurecaption"/>
        <w:keepLines/>
      </w:pPr>
      <w:r>
        <w:t>Figure 10. Espace Mes projets pour retrouver les résultats enregistrés.</w:t>
      </w:r>
    </w:p>
    <w:p>
      <w:r>
        <w:rPr>
          <w:i w:val="0"/>
        </w:rPr>
        <w:t>Un projet enregistré contient la version du modèle. Si le logiciel évolue, le résultat historique reste associé à la version qui l'a produit. Conservez l'export avant de comparer une nouvelle version.</w:t>
      </w:r>
    </w:p>
    <w:p>
      <w:r>
        <w:br w:type="page"/>
      </w:r>
    </w:p>
    <w:p>
      <w:pPr>
        <w:pStyle w:val="Smalllabel"/>
        <w:spacing w:before="0"/>
      </w:pPr>
      <w:r>
        <w:t>PARTIE 11</w:t>
      </w:r>
    </w:p>
    <w:p>
      <w:pPr>
        <w:pStyle w:val="Heading1"/>
        <w:spacing w:before="0"/>
      </w:pPr>
      <w:r>
        <w:t>Utiliser l'espace classe</w:t>
      </w:r>
    </w:p>
    <w:p>
      <w:pPr>
        <w:spacing w:after="200"/>
        <w:keepLines/>
      </w:pPr>
      <w:r>
        <w:rPr>
          <w:color w:val="60708B"/>
          <w:sz w:val="21"/>
        </w:rPr>
        <w:t>Les comptes locaux permettent de créer des cours, distribuer des consignes, remettre une simulation et restituer une correction.</w:t>
      </w:r>
    </w:p>
    <w:p>
      <w:pPr>
        <w:spacing w:after="0"/>
        <w:jc w:val="center"/>
        <w:keepNext/>
        <w:keepLines/>
      </w:pPr>
      <w:r>
        <w:drawing>
          <wp:inline xmlns:a="http://schemas.openxmlformats.org/drawingml/2006/main" xmlns:pic="http://schemas.openxmlformats.org/drawingml/2006/picture">
            <wp:extent cx="5166360" cy="3561491"/>
            <wp:docPr id="11" name="Picture 11" title="Figure 11" descr="Accès à l'espace classe depuis une session invitée."/>
            <wp:cNvGraphicFramePr>
              <a:graphicFrameLocks noChangeAspect="1"/>
            </wp:cNvGraphicFramePr>
            <a:graphic>
              <a:graphicData uri="http://schemas.openxmlformats.org/drawingml/2006/picture">
                <pic:pic>
                  <pic:nvPicPr>
                    <pic:cNvPr id="0" name="classroom_access.png"/>
                    <pic:cNvPicPr/>
                  </pic:nvPicPr>
                  <pic:blipFill>
                    <a:blip r:embed="rId24"/>
                    <a:stretch>
                      <a:fillRect/>
                    </a:stretch>
                  </pic:blipFill>
                  <pic:spPr>
                    <a:xfrm>
                      <a:off x="0" y="0"/>
                      <a:ext cx="5166360" cy="3561491"/>
                    </a:xfrm>
                    <a:prstGeom prst="rect"/>
                  </pic:spPr>
                </pic:pic>
              </a:graphicData>
            </a:graphic>
          </wp:inline>
        </w:drawing>
      </w:r>
    </w:p>
    <w:p>
      <w:pPr>
        <w:pStyle w:val="Figurecaption"/>
        <w:keepLines/>
      </w:pPr>
      <w:r>
        <w:t>Figure 11. Accès à l'espace classe depuis une session invitée.</w:t>
      </w:r>
    </w:p>
    <w:p>
      <w:pPr>
        <w:pStyle w:val="Heading2"/>
      </w:pPr>
      <w:r>
        <w:t>Étudiant</w:t>
      </w:r>
    </w:p>
    <w:p>
      <w:pPr>
        <w:spacing w:after="80"/>
        <w:ind w:left="369" w:hanging="369"/>
      </w:pPr>
      <w:r>
        <w:rPr>
          <w:b/>
          <w:color w:val="285FC5"/>
        </w:rPr>
        <w:t xml:space="preserve">1. </w:t>
      </w:r>
      <w:r>
        <w:t>Créer un compte ou se connecter.</w:t>
      </w:r>
    </w:p>
    <w:p>
      <w:pPr>
        <w:spacing w:after="80"/>
        <w:ind w:left="369" w:hanging="369"/>
      </w:pPr>
      <w:r>
        <w:rPr>
          <w:b/>
          <w:color w:val="285FC5"/>
        </w:rPr>
        <w:t xml:space="preserve">2. </w:t>
      </w:r>
      <w:r>
        <w:t>Rejoindre le cours avec le code communiqué par l'enseignant.</w:t>
      </w:r>
    </w:p>
    <w:p>
      <w:pPr>
        <w:spacing w:after="80"/>
        <w:ind w:left="369" w:hanging="369"/>
      </w:pPr>
      <w:r>
        <w:rPr>
          <w:b/>
          <w:color w:val="285FC5"/>
        </w:rPr>
        <w:t xml:space="preserve">3. </w:t>
      </w:r>
      <w:r>
        <w:t>Lire la consigne et le parcours demandé.</w:t>
      </w:r>
    </w:p>
    <w:p>
      <w:pPr>
        <w:spacing w:after="80"/>
        <w:ind w:left="369" w:hanging="369"/>
      </w:pPr>
      <w:r>
        <w:rPr>
          <w:b/>
          <w:color w:val="285FC5"/>
        </w:rPr>
        <w:t xml:space="preserve">4. </w:t>
      </w:r>
      <w:r>
        <w:t>Enregistrer la simulation puis la remettre au travail demandé.</w:t>
      </w:r>
    </w:p>
    <w:p>
      <w:pPr>
        <w:spacing w:after="80"/>
        <w:ind w:left="369" w:hanging="369"/>
      </w:pPr>
      <w:r>
        <w:rPr>
          <w:b/>
          <w:color w:val="285FC5"/>
        </w:rPr>
        <w:t xml:space="preserve">5. </w:t>
      </w:r>
      <w:r>
        <w:t>Consulter la note et le retour après correction.</w:t>
      </w:r>
    </w:p>
    <w:p>
      <w:pPr>
        <w:pStyle w:val="Heading2"/>
      </w:pPr>
      <w:r>
        <w:t>Enseignant</w:t>
      </w:r>
    </w:p>
    <w:p>
      <w:pPr>
        <w:spacing w:after="80"/>
        <w:ind w:left="369" w:hanging="369"/>
      </w:pPr>
      <w:r>
        <w:rPr>
          <w:b/>
          <w:color w:val="285FC5"/>
        </w:rPr>
        <w:t xml:space="preserve">1. </w:t>
      </w:r>
      <w:r>
        <w:t>Créer un compte enseignant avec le code serveur.</w:t>
      </w:r>
    </w:p>
    <w:p>
      <w:pPr>
        <w:spacing w:after="80"/>
        <w:ind w:left="369" w:hanging="369"/>
      </w:pPr>
      <w:r>
        <w:rPr>
          <w:b/>
          <w:color w:val="285FC5"/>
        </w:rPr>
        <w:t xml:space="preserve">2. </w:t>
      </w:r>
      <w:r>
        <w:t>Créer le cours, le travail, la consigne et le parcours attendu.</w:t>
      </w:r>
    </w:p>
    <w:p>
      <w:pPr>
        <w:spacing w:after="80"/>
        <w:ind w:left="369" w:hanging="369"/>
      </w:pPr>
      <w:r>
        <w:rPr>
          <w:b/>
          <w:color w:val="285FC5"/>
        </w:rPr>
        <w:t xml:space="preserve">3. </w:t>
      </w:r>
      <w:r>
        <w:t>Communiquer uniquement le code du cours aux étudiants.</w:t>
      </w:r>
    </w:p>
    <w:p>
      <w:pPr>
        <w:spacing w:after="80"/>
        <w:ind w:left="369" w:hanging="369"/>
      </w:pPr>
      <w:r>
        <w:rPr>
          <w:b/>
          <w:color w:val="285FC5"/>
        </w:rPr>
        <w:t xml:space="preserve">4. </w:t>
      </w:r>
      <w:r>
        <w:t>Corriger les remises, noter sur 20 et fournir un retour.</w:t>
      </w:r>
    </w:p>
    <w:p>
      <w:pPr>
        <w:spacing w:after="80"/>
        <w:ind w:left="369" w:hanging="369"/>
      </w:pPr>
      <w:r>
        <w:rPr>
          <w:b/>
          <w:color w:val="285FC5"/>
        </w:rPr>
        <w:t xml:space="preserve">5. </w:t>
      </w:r>
      <w:r>
        <w:t>Exporter les notes dans Excel.</w:t>
      </w:r>
    </w:p>
    <w:p>
      <w:pPr>
        <w:spacing w:before="100" w:after="100"/>
      </w:pPr>
      <w:r>
        <w:rPr>
          <w:b/>
          <w:color w:val="16315C"/>
        </w:rPr>
        <w:t xml:space="preserve">Déploiement institutionnel. </w:t>
      </w:r>
      <w:r>
        <w:t>Les comptes locaux conviennent au pilote. Une exploitation à l'échelle de l'école doit utiliser HTTPS, sauvegardes, quotas et authentification institutionnelle.</w:t>
      </w:r>
    </w:p>
    <w:p>
      <w:r>
        <w:br w:type="page"/>
      </w:r>
    </w:p>
    <w:p>
      <w:pPr>
        <w:pStyle w:val="Smalllabel"/>
        <w:spacing w:before="0"/>
      </w:pPr>
      <w:r>
        <w:t>PARTIE 12</w:t>
      </w:r>
    </w:p>
    <w:p>
      <w:pPr>
        <w:pStyle w:val="Heading1"/>
        <w:spacing w:before="0"/>
      </w:pPr>
      <w:r>
        <w:t>Importer des données et analyser les modèles</w:t>
      </w:r>
    </w:p>
    <w:p>
      <w:pPr>
        <w:spacing w:after="200"/>
        <w:keepLines/>
      </w:pPr>
      <w:r>
        <w:rPr>
          <w:color w:val="60708B"/>
          <w:sz w:val="21"/>
        </w:rPr>
        <w:t>Les nouvelles mesures arrivent en attente. Elles ne modifient aucun modèle tant que la revue scientifique n'est pas achevée.</w:t>
      </w:r>
    </w:p>
    <w:p>
      <w:pPr>
        <w:spacing w:after="0"/>
        <w:jc w:val="center"/>
        <w:keepNext/>
        <w:keepLines/>
      </w:pPr>
      <w:r>
        <w:drawing>
          <wp:inline xmlns:a="http://schemas.openxmlformats.org/drawingml/2006/main" xmlns:pic="http://schemas.openxmlformats.org/drawingml/2006/picture">
            <wp:extent cx="5623560" cy="4833869"/>
            <wp:docPr id="12" name="Picture 12" title="Figure 12" descr="Zone d'import des mesures hygrothermiques et accès au format CSV."/>
            <wp:cNvGraphicFramePr>
              <a:graphicFrameLocks noChangeAspect="1"/>
            </wp:cNvGraphicFramePr>
            <a:graphic>
              <a:graphicData uri="http://schemas.openxmlformats.org/drawingml/2006/picture">
                <pic:pic>
                  <pic:nvPicPr>
                    <pic:cNvPr id="0" name="data_import.png"/>
                    <pic:cNvPicPr/>
                  </pic:nvPicPr>
                  <pic:blipFill>
                    <a:blip r:embed="rId25"/>
                    <a:stretch>
                      <a:fillRect/>
                    </a:stretch>
                  </pic:blipFill>
                  <pic:spPr>
                    <a:xfrm>
                      <a:off x="0" y="0"/>
                      <a:ext cx="5623560" cy="4833869"/>
                    </a:xfrm>
                    <a:prstGeom prst="rect"/>
                  </pic:spPr>
                </pic:pic>
              </a:graphicData>
            </a:graphic>
          </wp:inline>
        </w:drawing>
      </w:r>
    </w:p>
    <w:p>
      <w:pPr>
        <w:pStyle w:val="Figurecaption"/>
        <w:keepLines/>
      </w:pPr>
      <w:r>
        <w:t>Figure 12. Zone d'import des mesures hygrothermiques et accès au format CSV.</w:t>
      </w:r>
    </w:p>
    <w:p>
      <w:pPr>
        <w:pStyle w:val="Heading2"/>
      </w:pPr>
      <w:r>
        <w:t>Colonnes obligatoires</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324"/>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Groupe</w:t>
            </w:r>
          </w:p>
        </w:tc>
        <w:tc>
          <w:tcPr>
            <w:tcW w:type="dxa" w:w="6690"/>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Champs</w:t>
            </w:r>
          </w:p>
        </w:tc>
      </w:tr>
      <w:tr>
        <w:tc>
          <w:tcPr>
            <w:tcW w:type="dxa" w:w="2324"/>
            <w:shd w:fill="FFFFFF"/>
            <w:tcMar>
              <w:top w:w="90" w:type="dxa"/>
              <w:start w:w="110" w:type="dxa"/>
              <w:bottom w:w="90" w:type="dxa"/>
              <w:end w:w="110" w:type="dxa"/>
            </w:tcMar>
            <w:vAlign w:val="center"/>
          </w:tcPr>
          <w:p>
            <w:pPr>
              <w:spacing w:after="0"/>
              <w:jc w:val="left"/>
            </w:pPr>
            <w:r>
              <w:rPr>
                <w:rFonts w:ascii="Helvetica Neue" w:hAnsi="Helvetica Neue"/>
                <w:sz w:val="17"/>
              </w:rPr>
              <w:t>Identification</w:t>
            </w:r>
          </w:p>
        </w:tc>
        <w:tc>
          <w:tcPr>
            <w:tcW w:type="dxa" w:w="6690"/>
            <w:shd w:fill="FFFFFF"/>
            <w:tcMar>
              <w:top w:w="90" w:type="dxa"/>
              <w:start w:w="110" w:type="dxa"/>
              <w:bottom w:w="90" w:type="dxa"/>
              <w:end w:w="110" w:type="dxa"/>
            </w:tcMar>
            <w:vAlign w:val="center"/>
          </w:tcPr>
          <w:p>
            <w:pPr>
              <w:spacing w:after="0"/>
              <w:jc w:val="left"/>
            </w:pPr>
            <w:r>
              <w:rPr>
                <w:rFonts w:ascii="Helvetica Neue" w:hAnsi="Helvetica Neue"/>
                <w:sz w:val="17"/>
              </w:rPr>
              <w:t>experiment_id, material, source, location</w:t>
            </w:r>
          </w:p>
        </w:tc>
      </w:tr>
      <w:tr>
        <w:tc>
          <w:tcPr>
            <w:tcW w:type="dxa" w:w="2324"/>
            <w:shd w:fill="F5F8FC"/>
            <w:tcMar>
              <w:top w:w="90" w:type="dxa"/>
              <w:start w:w="110" w:type="dxa"/>
              <w:bottom w:w="90" w:type="dxa"/>
              <w:end w:w="110" w:type="dxa"/>
            </w:tcMar>
            <w:vAlign w:val="center"/>
          </w:tcPr>
          <w:p>
            <w:pPr>
              <w:spacing w:after="0"/>
              <w:jc w:val="left"/>
            </w:pPr>
            <w:r>
              <w:rPr>
                <w:rFonts w:ascii="Helvetica Neue" w:hAnsi="Helvetica Neue"/>
                <w:sz w:val="17"/>
              </w:rPr>
              <w:t>Temps et module</w:t>
            </w:r>
          </w:p>
        </w:tc>
        <w:tc>
          <w:tcPr>
            <w:tcW w:type="dxa" w:w="6690"/>
            <w:shd w:fill="F5F8FC"/>
            <w:tcMar>
              <w:top w:w="90" w:type="dxa"/>
              <w:start w:w="110" w:type="dxa"/>
              <w:bottom w:w="90" w:type="dxa"/>
              <w:end w:w="110" w:type="dxa"/>
            </w:tcMar>
            <w:vAlign w:val="center"/>
          </w:tcPr>
          <w:p>
            <w:pPr>
              <w:spacing w:after="0"/>
              <w:jc w:val="left"/>
            </w:pPr>
            <w:r>
              <w:rPr>
                <w:rFonts w:ascii="Helvetica Neue" w:hAnsi="Helvetica Neue"/>
                <w:sz w:val="17"/>
              </w:rPr>
              <w:t>time, time_unit, modulus, modulus_unit</w:t>
            </w:r>
          </w:p>
        </w:tc>
      </w:tr>
      <w:tr>
        <w:tc>
          <w:tcPr>
            <w:tcW w:type="dxa" w:w="2324"/>
            <w:shd w:fill="FFFFFF"/>
            <w:tcMar>
              <w:top w:w="90" w:type="dxa"/>
              <w:start w:w="110" w:type="dxa"/>
              <w:bottom w:w="90" w:type="dxa"/>
              <w:end w:w="110" w:type="dxa"/>
            </w:tcMar>
            <w:vAlign w:val="center"/>
          </w:tcPr>
          <w:p>
            <w:pPr>
              <w:spacing w:after="0"/>
              <w:jc w:val="left"/>
            </w:pPr>
            <w:r>
              <w:rPr>
                <w:rFonts w:ascii="Helvetica Neue" w:hAnsi="Helvetica Neue"/>
                <w:sz w:val="17"/>
              </w:rPr>
              <w:t>Référence</w:t>
            </w:r>
          </w:p>
        </w:tc>
        <w:tc>
          <w:tcPr>
            <w:tcW w:type="dxa" w:w="6690"/>
            <w:shd w:fill="FFFFFF"/>
            <w:tcMar>
              <w:top w:w="90" w:type="dxa"/>
              <w:start w:w="110" w:type="dxa"/>
              <w:bottom w:w="90" w:type="dxa"/>
              <w:end w:w="110" w:type="dxa"/>
            </w:tcMar>
            <w:vAlign w:val="center"/>
          </w:tcPr>
          <w:p>
            <w:pPr>
              <w:spacing w:after="0"/>
              <w:jc w:val="left"/>
            </w:pPr>
            <w:r>
              <w:rPr>
                <w:rFonts w:ascii="Helvetica Neue" w:hAnsi="Helvetica Neue"/>
                <w:sz w:val="17"/>
              </w:rPr>
              <w:t>initial_modulus, initial_modulus_unit</w:t>
            </w:r>
          </w:p>
        </w:tc>
      </w:tr>
      <w:tr>
        <w:tc>
          <w:tcPr>
            <w:tcW w:type="dxa" w:w="2324"/>
            <w:shd w:fill="F5F8FC"/>
            <w:tcMar>
              <w:top w:w="90" w:type="dxa"/>
              <w:start w:w="110" w:type="dxa"/>
              <w:bottom w:w="90" w:type="dxa"/>
              <w:end w:w="110" w:type="dxa"/>
            </w:tcMar>
            <w:vAlign w:val="center"/>
          </w:tcPr>
          <w:p>
            <w:pPr>
              <w:spacing w:after="0"/>
              <w:jc w:val="left"/>
            </w:pPr>
            <w:r>
              <w:rPr>
                <w:rFonts w:ascii="Helvetica Neue" w:hAnsi="Helvetica Neue"/>
                <w:sz w:val="17"/>
              </w:rPr>
              <w:t>Conditions</w:t>
            </w:r>
          </w:p>
        </w:tc>
        <w:tc>
          <w:tcPr>
            <w:tcW w:type="dxa" w:w="6690"/>
            <w:shd w:fill="F5F8FC"/>
            <w:tcMar>
              <w:top w:w="90" w:type="dxa"/>
              <w:start w:w="110" w:type="dxa"/>
              <w:bottom w:w="90" w:type="dxa"/>
              <w:end w:w="110" w:type="dxa"/>
            </w:tcMar>
            <w:vAlign w:val="center"/>
          </w:tcPr>
          <w:p>
            <w:pPr>
              <w:spacing w:after="0"/>
              <w:jc w:val="left"/>
            </w:pPr>
            <w:r>
              <w:rPr>
                <w:rFonts w:ascii="Helvetica Neue" w:hAnsi="Helvetica Neue"/>
                <w:sz w:val="17"/>
              </w:rPr>
              <w:t>temperature_C, humidity_RH, thickness_mm</w:t>
            </w:r>
          </w:p>
        </w:tc>
      </w:tr>
      <w:tr>
        <w:tc>
          <w:tcPr>
            <w:tcW w:type="dxa" w:w="2324"/>
            <w:shd w:fill="FFFFFF"/>
            <w:tcMar>
              <w:top w:w="90" w:type="dxa"/>
              <w:start w:w="110" w:type="dxa"/>
              <w:bottom w:w="90" w:type="dxa"/>
              <w:end w:w="110" w:type="dxa"/>
            </w:tcMar>
            <w:vAlign w:val="center"/>
          </w:tcPr>
          <w:p>
            <w:pPr>
              <w:spacing w:after="0"/>
              <w:jc w:val="left"/>
            </w:pPr>
            <w:r>
              <w:rPr>
                <w:rFonts w:ascii="Helvetica Neue" w:hAnsi="Helvetica Neue"/>
                <w:sz w:val="17"/>
              </w:rPr>
              <w:t>Mesure</w:t>
            </w:r>
          </w:p>
        </w:tc>
        <w:tc>
          <w:tcPr>
            <w:tcW w:type="dxa" w:w="6690"/>
            <w:shd w:fill="FFFFFF"/>
            <w:tcMar>
              <w:top w:w="90" w:type="dxa"/>
              <w:start w:w="110" w:type="dxa"/>
              <w:bottom w:w="90" w:type="dxa"/>
              <w:end w:w="110" w:type="dxa"/>
            </w:tcMar>
            <w:vAlign w:val="center"/>
          </w:tcPr>
          <w:p>
            <w:pPr>
              <w:spacing w:after="0"/>
              <w:jc w:val="left"/>
            </w:pPr>
            <w:r>
              <w:rPr>
                <w:rFonts w:ascii="Helvetica Neue" w:hAnsi="Helvetica Neue"/>
                <w:sz w:val="17"/>
              </w:rPr>
              <w:t>measurement_temperature_C, protocol</w:t>
            </w:r>
          </w:p>
        </w:tc>
      </w:tr>
    </w:tbl>
    <w:p>
      <w:pPr>
        <w:spacing w:after="20"/>
      </w:pPr>
    </w:p>
    <w:p>
      <w:r>
        <w:rPr>
          <w:i w:val="0"/>
        </w:rPr>
        <w:t>Materia normalise le temps, les unités et E/E0. Les doublons expérience-temps sont rejetés. Une information inconnue ne doit pas être inventée pour contourner un champ obligatoire.</w:t>
      </w:r>
    </w:p>
    <w:p>
      <w:pPr>
        <w:pStyle w:val="Heading2"/>
      </w:pPr>
      <w:r>
        <w:t>Revue scientifique</w:t>
      </w:r>
    </w:p>
    <w:p>
      <w:pPr>
        <w:spacing w:after="60"/>
        <w:ind w:left="312" w:hanging="142"/>
      </w:pPr>
      <w:r>
        <w:rPr>
          <w:b/>
          <w:color w:val="285FC5"/>
        </w:rPr>
        <w:t xml:space="preserve">- </w:t>
      </w:r>
      <w:r>
        <w:t>Source primaire consultée.</w:t>
      </w:r>
    </w:p>
    <w:p>
      <w:pPr>
        <w:spacing w:after="60"/>
        <w:ind w:left="312" w:hanging="142"/>
      </w:pPr>
      <w:r>
        <w:rPr>
          <w:b/>
          <w:color w:val="285FC5"/>
        </w:rPr>
        <w:t xml:space="preserve">- </w:t>
      </w:r>
      <w:r>
        <w:t>Conditions vérifiées.</w:t>
      </w:r>
    </w:p>
    <w:p>
      <w:pPr>
        <w:spacing w:after="60"/>
        <w:ind w:left="312" w:hanging="142"/>
      </w:pPr>
      <w:r>
        <w:rPr>
          <w:b/>
          <w:color w:val="285FC5"/>
        </w:rPr>
        <w:t xml:space="preserve">- </w:t>
      </w:r>
      <w:r>
        <w:t>Unités vérifiées.</w:t>
      </w:r>
    </w:p>
    <w:p>
      <w:pPr>
        <w:spacing w:after="60"/>
        <w:ind w:left="312" w:hanging="142"/>
      </w:pPr>
      <w:r>
        <w:rPr>
          <w:b/>
          <w:color w:val="285FC5"/>
        </w:rPr>
        <w:t xml:space="preserve">- </w:t>
      </w:r>
      <w:r>
        <w:t>Extraction comparée au tableau ou à la figure d'origine.</w:t>
      </w:r>
    </w:p>
    <w:p>
      <w:pPr>
        <w:spacing w:after="60"/>
        <w:ind w:left="312" w:hanging="142"/>
      </w:pPr>
      <w:r>
        <w:rPr>
          <w:b/>
          <w:color w:val="285FC5"/>
        </w:rPr>
        <w:t xml:space="preserve">- </w:t>
      </w:r>
      <w:r>
        <w:t>Au moins trois temps dans le lot.</w:t>
      </w:r>
    </w:p>
    <w:p>
      <w:r>
        <w:rPr>
          <w:i w:val="0"/>
        </w:rPr>
        <w:t>La comparaison Machine Learning exige au moins 12 observations acceptées provenant de trois expériences indépendantes. Elle compare Ridge, Random Forest et boosting avec des plis séparés par experiment_id. Cette validation interne ne remplace pas une validation externe.</w:t>
      </w:r>
    </w:p>
    <w:p>
      <w:pPr>
        <w:pStyle w:val="Smalllabel"/>
        <w:spacing w:before="0"/>
      </w:pPr>
      <w:r>
        <w:t>PARTIE 13</w:t>
      </w:r>
    </w:p>
    <w:p>
      <w:pPr>
        <w:pStyle w:val="Heading1"/>
        <w:spacing w:before="0"/>
      </w:pPr>
      <w:r>
        <w:t>Comprendre les notions et gérer les documents</w:t>
      </w:r>
    </w:p>
    <w:p>
      <w:pPr>
        <w:spacing w:after="200"/>
        <w:keepLines/>
      </w:pPr>
      <w:r>
        <w:rPr>
          <w:color w:val="60708B"/>
          <w:sz w:val="21"/>
        </w:rPr>
        <w:t>Materia contient un espace pédagogique et une bibliothèque locale pour relier chaque valeur à une page, un tableau ou une figure.</w:t>
      </w:r>
    </w:p>
    <w:p>
      <w:pPr>
        <w:spacing w:after="0"/>
        <w:jc w:val="center"/>
        <w:keepNext/>
        <w:keepLines/>
      </w:pPr>
      <w:r>
        <w:drawing>
          <wp:inline xmlns:a="http://schemas.openxmlformats.org/drawingml/2006/main" xmlns:pic="http://schemas.openxmlformats.org/drawingml/2006/picture">
            <wp:extent cx="4297680" cy="4974336"/>
            <wp:docPr id="13" name="Picture 13" title="Figure 13" descr="Fiches pédagogiques sur le vieillissement, le module et l'incertitude."/>
            <wp:cNvGraphicFramePr>
              <a:graphicFrameLocks noChangeAspect="1"/>
            </wp:cNvGraphicFramePr>
            <a:graphic>
              <a:graphicData uri="http://schemas.openxmlformats.org/drawingml/2006/picture">
                <pic:pic>
                  <pic:nvPicPr>
                    <pic:cNvPr id="0" name="understand_view.png"/>
                    <pic:cNvPicPr/>
                  </pic:nvPicPr>
                  <pic:blipFill>
                    <a:blip r:embed="rId26"/>
                    <a:stretch>
                      <a:fillRect/>
                    </a:stretch>
                  </pic:blipFill>
                  <pic:spPr>
                    <a:xfrm>
                      <a:off x="0" y="0"/>
                      <a:ext cx="4297680" cy="4974336"/>
                    </a:xfrm>
                    <a:prstGeom prst="rect"/>
                  </pic:spPr>
                </pic:pic>
              </a:graphicData>
            </a:graphic>
          </wp:inline>
        </w:drawing>
      </w:r>
    </w:p>
    <w:p>
      <w:pPr>
        <w:pStyle w:val="Figurecaption"/>
        <w:keepLines/>
      </w:pPr>
      <w:r>
        <w:t>Figure 13. Fiches pédagogiques sur le vieillissement, le module et l'incertitude.</w:t>
      </w:r>
    </w:p>
    <w:p>
      <w:pPr>
        <w:spacing w:after="0"/>
        <w:jc w:val="center"/>
        <w:keepNext/>
        <w:keepLines/>
      </w:pPr>
      <w:r>
        <w:drawing>
          <wp:inline xmlns:a="http://schemas.openxmlformats.org/drawingml/2006/main" xmlns:pic="http://schemas.openxmlformats.org/drawingml/2006/picture">
            <wp:extent cx="4937760" cy="4244373"/>
            <wp:docPr id="14" name="Picture 14" title="Figure 14" descr="Bibliothèque de documents et recherche de preuves locales."/>
            <wp:cNvGraphicFramePr>
              <a:graphicFrameLocks noChangeAspect="1"/>
            </wp:cNvGraphicFramePr>
            <a:graphic>
              <a:graphicData uri="http://schemas.openxmlformats.org/drawingml/2006/picture">
                <pic:pic>
                  <pic:nvPicPr>
                    <pic:cNvPr id="0" name="documents_view.png"/>
                    <pic:cNvPicPr/>
                  </pic:nvPicPr>
                  <pic:blipFill>
                    <a:blip r:embed="rId27"/>
                    <a:stretch>
                      <a:fillRect/>
                    </a:stretch>
                  </pic:blipFill>
                  <pic:spPr>
                    <a:xfrm>
                      <a:off x="0" y="0"/>
                      <a:ext cx="4937760" cy="4244373"/>
                    </a:xfrm>
                    <a:prstGeom prst="rect"/>
                  </pic:spPr>
                </pic:pic>
              </a:graphicData>
            </a:graphic>
          </wp:inline>
        </w:drawing>
      </w:r>
    </w:p>
    <w:p>
      <w:pPr>
        <w:pStyle w:val="Figurecaption"/>
        <w:keepLines/>
      </w:pPr>
      <w:r>
        <w:t>Figure 14. Bibliothèque de documents et recherche de preuves locales.</w:t>
      </w:r>
    </w:p>
    <w:p>
      <w:pPr>
        <w:pStyle w:val="Heading2"/>
      </w:pPr>
      <w:r>
        <w:t>Documents PDF</w:t>
      </w:r>
    </w:p>
    <w:p>
      <w:pPr>
        <w:spacing w:after="60"/>
        <w:ind w:left="312" w:hanging="142"/>
      </w:pPr>
      <w:r>
        <w:rPr>
          <w:b/>
          <w:color w:val="285FC5"/>
        </w:rPr>
        <w:t xml:space="preserve">- </w:t>
      </w:r>
      <w:r>
        <w:t>Taille maximale : 8 Mo et 100 pages.</w:t>
      </w:r>
    </w:p>
    <w:p>
      <w:pPr>
        <w:spacing w:after="60"/>
        <w:ind w:left="312" w:hanging="142"/>
      </w:pPr>
      <w:r>
        <w:rPr>
          <w:b/>
          <w:color w:val="285FC5"/>
        </w:rPr>
        <w:t xml:space="preserve">- </w:t>
      </w:r>
      <w:r>
        <w:t>Les PDF texte sont extraits page par page.</w:t>
      </w:r>
    </w:p>
    <w:p>
      <w:pPr>
        <w:spacing w:after="60"/>
        <w:ind w:left="312" w:hanging="142"/>
      </w:pPr>
      <w:r>
        <w:rPr>
          <w:b/>
          <w:color w:val="285FC5"/>
        </w:rPr>
        <w:t xml:space="preserve">- </w:t>
      </w:r>
      <w:r>
        <w:t>Les scans nécessitent un OCR externe ou une transcription.</w:t>
      </w:r>
    </w:p>
    <w:p>
      <w:pPr>
        <w:spacing w:after="60"/>
        <w:ind w:left="312" w:hanging="142"/>
      </w:pPr>
      <w:r>
        <w:rPr>
          <w:b/>
          <w:color w:val="285FC5"/>
        </w:rPr>
        <w:t xml:space="preserve">- </w:t>
      </w:r>
      <w:r>
        <w:t>La recherche locale est insensible aux accents.</w:t>
      </w:r>
    </w:p>
    <w:p>
      <w:pPr>
        <w:spacing w:after="60"/>
        <w:ind w:left="312" w:hanging="142"/>
      </w:pPr>
      <w:r>
        <w:rPr>
          <w:b/>
          <w:color w:val="285FC5"/>
        </w:rPr>
        <w:t xml:space="preserve">- </w:t>
      </w:r>
      <w:r>
        <w:t>Une note doit conserver la page et l'emplacement exact de la preuve.</w:t>
      </w:r>
    </w:p>
    <w:p>
      <w:pPr>
        <w:spacing w:before="100" w:after="100"/>
      </w:pPr>
      <w:r>
        <w:rPr>
          <w:b/>
          <w:color w:val="16315C"/>
        </w:rPr>
        <w:t xml:space="preserve">Attention. </w:t>
      </w:r>
      <w:r>
        <w:t>L'extraction de texte et la recherche par mots-clés ne constituent ni une extraction IA des mesures ni une validation scientifique.</w:t>
      </w:r>
    </w:p>
    <w:p>
      <w:r>
        <w:br w:type="page"/>
      </w:r>
    </w:p>
    <w:p>
      <w:pPr>
        <w:pStyle w:val="Smalllabel"/>
        <w:spacing w:before="0"/>
      </w:pPr>
      <w:r>
        <w:t>PARTIE 14</w:t>
      </w:r>
    </w:p>
    <w:p>
      <w:pPr>
        <w:pStyle w:val="Heading1"/>
        <w:spacing w:before="0"/>
      </w:pPr>
      <w:r>
        <w:t>Résoudre les problèmes courants</w:t>
      </w:r>
    </w:p>
    <w:p>
      <w:pPr>
        <w:spacing w:after="200"/>
        <w:keepLines/>
      </w:pPr>
      <w:r>
        <w:rPr>
          <w:color w:val="60708B"/>
          <w:sz w:val="21"/>
        </w:rPr>
        <w:t>La plupart des difficultés viennent de Python, du premier téléchargement, du port local ou d'une entrée scientifique incohérente.</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2268"/>
            <w:shd w:fill="16315C"/>
            <w:tcMar>
              <w:top w:w="90" w:type="dxa"/>
              <w:start w:w="110" w:type="dxa"/>
              <w:bottom w:w="90" w:type="dxa"/>
              <w:end w:w="110" w:type="dxa"/>
            </w:tcMar>
            <w:vAlign w:val="center"/>
          </w:tcPr>
          <w:p>
            <w:pPr>
              <w:spacing w:after="0"/>
              <w:jc w:val="center"/>
            </w:pPr>
            <w:r>
              <w:rPr>
                <w:rFonts w:ascii="Helvetica Neue" w:hAnsi="Helvetica Neue"/>
                <w:b/>
                <w:color w:val="FFFFFF"/>
                <w:sz w:val="15"/>
              </w:rPr>
              <w:t>Problème</w:t>
            </w:r>
          </w:p>
        </w:tc>
        <w:tc>
          <w:tcPr>
            <w:tcW w:type="dxa" w:w="3175"/>
            <w:shd w:fill="16315C"/>
            <w:tcMar>
              <w:top w:w="90" w:type="dxa"/>
              <w:start w:w="110" w:type="dxa"/>
              <w:bottom w:w="90" w:type="dxa"/>
              <w:end w:w="110" w:type="dxa"/>
            </w:tcMar>
            <w:vAlign w:val="center"/>
          </w:tcPr>
          <w:p>
            <w:pPr>
              <w:spacing w:after="0"/>
              <w:jc w:val="center"/>
            </w:pPr>
            <w:r>
              <w:rPr>
                <w:rFonts w:ascii="Helvetica Neue" w:hAnsi="Helvetica Neue"/>
                <w:b/>
                <w:color w:val="FFFFFF"/>
                <w:sz w:val="15"/>
              </w:rPr>
              <w:t>Cause probable</w:t>
            </w:r>
          </w:p>
        </w:tc>
        <w:tc>
          <w:tcPr>
            <w:tcW w:type="dxa" w:w="3572"/>
            <w:shd w:fill="16315C"/>
            <w:tcMar>
              <w:top w:w="90" w:type="dxa"/>
              <w:start w:w="110" w:type="dxa"/>
              <w:bottom w:w="90" w:type="dxa"/>
              <w:end w:w="110" w:type="dxa"/>
            </w:tcMar>
            <w:vAlign w:val="center"/>
          </w:tcPr>
          <w:p>
            <w:pPr>
              <w:spacing w:after="0"/>
              <w:jc w:val="center"/>
            </w:pPr>
            <w:r>
              <w:rPr>
                <w:rFonts w:ascii="Helvetica Neue" w:hAnsi="Helvetica Neue"/>
                <w:b/>
                <w:color w:val="FFFFFF"/>
                <w:sz w:val="15"/>
              </w:rPr>
              <w:t>Solution</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5"/>
              </w:rPr>
              <w:t>Le lanceur ne démarre pas</w:t>
            </w:r>
          </w:p>
        </w:tc>
        <w:tc>
          <w:tcPr>
            <w:tcW w:type="dxa" w:w="3175"/>
            <w:shd w:fill="FFFFFF"/>
            <w:tcMar>
              <w:top w:w="90" w:type="dxa"/>
              <w:start w:w="110" w:type="dxa"/>
              <w:bottom w:w="90" w:type="dxa"/>
              <w:end w:w="110" w:type="dxa"/>
            </w:tcMar>
            <w:vAlign w:val="center"/>
          </w:tcPr>
          <w:p>
            <w:pPr>
              <w:spacing w:after="0"/>
              <w:jc w:val="left"/>
            </w:pPr>
            <w:r>
              <w:rPr>
                <w:rFonts w:ascii="Helvetica Neue" w:hAnsi="Helvetica Neue"/>
                <w:sz w:val="15"/>
              </w:rPr>
              <w:t>Python absent ou version non prise en charge</w:t>
            </w:r>
          </w:p>
        </w:tc>
        <w:tc>
          <w:tcPr>
            <w:tcW w:type="dxa" w:w="3572"/>
            <w:shd w:fill="FFFFFF"/>
            <w:tcMar>
              <w:top w:w="90" w:type="dxa"/>
              <w:start w:w="110" w:type="dxa"/>
              <w:bottom w:w="90" w:type="dxa"/>
              <w:end w:w="110" w:type="dxa"/>
            </w:tcMar>
            <w:vAlign w:val="center"/>
          </w:tcPr>
          <w:p>
            <w:pPr>
              <w:spacing w:after="0"/>
              <w:jc w:val="left"/>
            </w:pPr>
            <w:r>
              <w:rPr>
                <w:rFonts w:ascii="Helvetica Neue" w:hAnsi="Helvetica Neue"/>
                <w:sz w:val="15"/>
              </w:rPr>
              <w:t>Installer Python 3.11 à 3.13 puis relancer</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5"/>
              </w:rPr>
              <w:t>Premier lancement très long</w:t>
            </w:r>
          </w:p>
        </w:tc>
        <w:tc>
          <w:tcPr>
            <w:tcW w:type="dxa" w:w="3175"/>
            <w:shd w:fill="F5F8FC"/>
            <w:tcMar>
              <w:top w:w="90" w:type="dxa"/>
              <w:start w:w="110" w:type="dxa"/>
              <w:bottom w:w="90" w:type="dxa"/>
              <w:end w:w="110" w:type="dxa"/>
            </w:tcMar>
            <w:vAlign w:val="center"/>
          </w:tcPr>
          <w:p>
            <w:pPr>
              <w:spacing w:after="0"/>
              <w:jc w:val="left"/>
            </w:pPr>
            <w:r>
              <w:rPr>
                <w:rFonts w:ascii="Helvetica Neue" w:hAnsi="Helvetica Neue"/>
                <w:sz w:val="15"/>
              </w:rPr>
              <w:t>Téléchargement des bibliothèques scientifiques</w:t>
            </w:r>
          </w:p>
        </w:tc>
        <w:tc>
          <w:tcPr>
            <w:tcW w:type="dxa" w:w="3572"/>
            <w:shd w:fill="F5F8FC"/>
            <w:tcMar>
              <w:top w:w="90" w:type="dxa"/>
              <w:start w:w="110" w:type="dxa"/>
              <w:bottom w:w="90" w:type="dxa"/>
              <w:end w:w="110" w:type="dxa"/>
            </w:tcMar>
            <w:vAlign w:val="center"/>
          </w:tcPr>
          <w:p>
            <w:pPr>
              <w:spacing w:after="0"/>
              <w:jc w:val="left"/>
            </w:pPr>
            <w:r>
              <w:rPr>
                <w:rFonts w:ascii="Helvetica Neue" w:hAnsi="Helvetica Neue"/>
                <w:sz w:val="15"/>
              </w:rPr>
              <w:t>Laisser la fenêtre ouverte et vérifier Internet</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5"/>
              </w:rPr>
              <w:t>La page ne s'ouvre pas</w:t>
            </w:r>
          </w:p>
        </w:tc>
        <w:tc>
          <w:tcPr>
            <w:tcW w:type="dxa" w:w="3175"/>
            <w:shd w:fill="FFFFFF"/>
            <w:tcMar>
              <w:top w:w="90" w:type="dxa"/>
              <w:start w:w="110" w:type="dxa"/>
              <w:bottom w:w="90" w:type="dxa"/>
              <w:end w:w="110" w:type="dxa"/>
            </w:tcMar>
            <w:vAlign w:val="center"/>
          </w:tcPr>
          <w:p>
            <w:pPr>
              <w:spacing w:after="0"/>
              <w:jc w:val="left"/>
            </w:pPr>
            <w:r>
              <w:rPr>
                <w:rFonts w:ascii="Helvetica Neue" w:hAnsi="Helvetica Neue"/>
                <w:sz w:val="15"/>
              </w:rPr>
              <w:t>Serveur arrêté ou port 8087 occupé</w:t>
            </w:r>
          </w:p>
        </w:tc>
        <w:tc>
          <w:tcPr>
            <w:tcW w:type="dxa" w:w="3572"/>
            <w:shd w:fill="FFFFFF"/>
            <w:tcMar>
              <w:top w:w="90" w:type="dxa"/>
              <w:start w:w="110" w:type="dxa"/>
              <w:bottom w:w="90" w:type="dxa"/>
              <w:end w:w="110" w:type="dxa"/>
            </w:tcMar>
            <w:vAlign w:val="center"/>
          </w:tcPr>
          <w:p>
            <w:pPr>
              <w:spacing w:after="0"/>
              <w:jc w:val="left"/>
            </w:pPr>
            <w:r>
              <w:rPr>
                <w:rFonts w:ascii="Helvetica Neue" w:hAnsi="Helvetica Neue"/>
                <w:sz w:val="15"/>
              </w:rPr>
              <w:t>Fermer l'ancienne instance puis relancer</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5"/>
              </w:rPr>
              <w:t>Aucune courbe exploitable</w:t>
            </w:r>
          </w:p>
        </w:tc>
        <w:tc>
          <w:tcPr>
            <w:tcW w:type="dxa" w:w="3175"/>
            <w:shd w:fill="F5F8FC"/>
            <w:tcMar>
              <w:top w:w="90" w:type="dxa"/>
              <w:start w:w="110" w:type="dxa"/>
              <w:bottom w:w="90" w:type="dxa"/>
              <w:end w:w="110" w:type="dxa"/>
            </w:tcMar>
            <w:vAlign w:val="center"/>
          </w:tcPr>
          <w:p>
            <w:pPr>
              <w:spacing w:after="0"/>
              <w:jc w:val="left"/>
            </w:pPr>
            <w:r>
              <w:rPr>
                <w:rFonts w:ascii="Helvetica Neue" w:hAnsi="Helvetica Neue"/>
                <w:sz w:val="15"/>
              </w:rPr>
              <w:t>Entrées incomplètes ou mauvais parcours</w:t>
            </w:r>
          </w:p>
        </w:tc>
        <w:tc>
          <w:tcPr>
            <w:tcW w:type="dxa" w:w="3572"/>
            <w:shd w:fill="F5F8FC"/>
            <w:tcMar>
              <w:top w:w="90" w:type="dxa"/>
              <w:start w:w="110" w:type="dxa"/>
              <w:bottom w:w="90" w:type="dxa"/>
              <w:end w:w="110" w:type="dxa"/>
            </w:tcMar>
            <w:vAlign w:val="center"/>
          </w:tcPr>
          <w:p>
            <w:pPr>
              <w:spacing w:after="0"/>
              <w:jc w:val="left"/>
            </w:pPr>
            <w:r>
              <w:rPr>
                <w:rFonts w:ascii="Helvetica Neue" w:hAnsi="Helvetica Neue"/>
                <w:sz w:val="15"/>
              </w:rPr>
              <w:t>Vérifier les entrées et le niveau de preuve</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5"/>
              </w:rPr>
              <w:t>Enveloppe très large</w:t>
            </w:r>
          </w:p>
        </w:tc>
        <w:tc>
          <w:tcPr>
            <w:tcW w:type="dxa" w:w="3175"/>
            <w:shd w:fill="FFFFFF"/>
            <w:tcMar>
              <w:top w:w="90" w:type="dxa"/>
              <w:start w:w="110" w:type="dxa"/>
              <w:bottom w:w="90" w:type="dxa"/>
              <w:end w:w="110" w:type="dxa"/>
            </w:tcMar>
            <w:vAlign w:val="center"/>
          </w:tcPr>
          <w:p>
            <w:pPr>
              <w:spacing w:after="0"/>
              <w:jc w:val="left"/>
            </w:pPr>
            <w:r>
              <w:rPr>
                <w:rFonts w:ascii="Helvetica Neue" w:hAnsi="Helvetica Neue"/>
                <w:sz w:val="15"/>
              </w:rPr>
              <w:t>Transfert de grade, corpus faible ou extrapolation</w:t>
            </w:r>
          </w:p>
        </w:tc>
        <w:tc>
          <w:tcPr>
            <w:tcW w:type="dxa" w:w="3572"/>
            <w:shd w:fill="FFFFFF"/>
            <w:tcMar>
              <w:top w:w="90" w:type="dxa"/>
              <w:start w:w="110" w:type="dxa"/>
              <w:bottom w:w="90" w:type="dxa"/>
              <w:end w:w="110" w:type="dxa"/>
            </w:tcMar>
            <w:vAlign w:val="center"/>
          </w:tcPr>
          <w:p>
            <w:pPr>
              <w:spacing w:after="0"/>
              <w:jc w:val="left"/>
            </w:pPr>
            <w:r>
              <w:rPr>
                <w:rFonts w:ascii="Helvetica Neue" w:hAnsi="Helvetica Neue"/>
                <w:sz w:val="15"/>
              </w:rPr>
              <w:t>Réduire l'horizon et choisir un cas mieux documenté</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5"/>
              </w:rPr>
              <w:t>Projet introuvable</w:t>
            </w:r>
          </w:p>
        </w:tc>
        <w:tc>
          <w:tcPr>
            <w:tcW w:type="dxa" w:w="3175"/>
            <w:shd w:fill="F5F8FC"/>
            <w:tcMar>
              <w:top w:w="90" w:type="dxa"/>
              <w:start w:w="110" w:type="dxa"/>
              <w:bottom w:w="90" w:type="dxa"/>
              <w:end w:w="110" w:type="dxa"/>
            </w:tcMar>
            <w:vAlign w:val="center"/>
          </w:tcPr>
          <w:p>
            <w:pPr>
              <w:spacing w:after="0"/>
              <w:jc w:val="left"/>
            </w:pPr>
            <w:r>
              <w:rPr>
                <w:rFonts w:ascii="Helvetica Neue" w:hAnsi="Helvetica Neue"/>
                <w:sz w:val="15"/>
              </w:rPr>
              <w:t>Session invitée ou autre navigateur</w:t>
            </w:r>
          </w:p>
        </w:tc>
        <w:tc>
          <w:tcPr>
            <w:tcW w:type="dxa" w:w="3572"/>
            <w:shd w:fill="F5F8FC"/>
            <w:tcMar>
              <w:top w:w="90" w:type="dxa"/>
              <w:start w:w="110" w:type="dxa"/>
              <w:bottom w:w="90" w:type="dxa"/>
              <w:end w:w="110" w:type="dxa"/>
            </w:tcMar>
            <w:vAlign w:val="center"/>
          </w:tcPr>
          <w:p>
            <w:pPr>
              <w:spacing w:after="0"/>
              <w:jc w:val="left"/>
            </w:pPr>
            <w:r>
              <w:rPr>
                <w:rFonts w:ascii="Helvetica Neue" w:hAnsi="Helvetica Neue"/>
                <w:sz w:val="15"/>
              </w:rPr>
              <w:t>Créer un compte et enregistrer le projet</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5"/>
              </w:rPr>
              <w:t>PDF sans texte</w:t>
            </w:r>
          </w:p>
        </w:tc>
        <w:tc>
          <w:tcPr>
            <w:tcW w:type="dxa" w:w="3175"/>
            <w:shd w:fill="FFFFFF"/>
            <w:tcMar>
              <w:top w:w="90" w:type="dxa"/>
              <w:start w:w="110" w:type="dxa"/>
              <w:bottom w:w="90" w:type="dxa"/>
              <w:end w:w="110" w:type="dxa"/>
            </w:tcMar>
            <w:vAlign w:val="center"/>
          </w:tcPr>
          <w:p>
            <w:pPr>
              <w:spacing w:after="0"/>
              <w:jc w:val="center"/>
            </w:pPr>
            <w:r>
              <w:rPr>
                <w:rFonts w:ascii="Helvetica Neue" w:hAnsi="Helvetica Neue"/>
                <w:sz w:val="15"/>
              </w:rPr>
              <w:t>Document scanné</w:t>
            </w:r>
          </w:p>
        </w:tc>
        <w:tc>
          <w:tcPr>
            <w:tcW w:type="dxa" w:w="3572"/>
            <w:shd w:fill="FFFFFF"/>
            <w:tcMar>
              <w:top w:w="90" w:type="dxa"/>
              <w:start w:w="110" w:type="dxa"/>
              <w:bottom w:w="90" w:type="dxa"/>
              <w:end w:w="110" w:type="dxa"/>
            </w:tcMar>
            <w:vAlign w:val="center"/>
          </w:tcPr>
          <w:p>
            <w:pPr>
              <w:spacing w:after="0"/>
              <w:jc w:val="left"/>
            </w:pPr>
            <w:r>
              <w:rPr>
                <w:rFonts w:ascii="Helvetica Neue" w:hAnsi="Helvetica Neue"/>
                <w:sz w:val="15"/>
              </w:rPr>
              <w:t>Effectuer un OCR externe</w:t>
            </w:r>
          </w:p>
        </w:tc>
      </w:tr>
    </w:tbl>
    <w:p>
      <w:pPr>
        <w:spacing w:after="20"/>
      </w:pPr>
    </w:p>
    <w:p>
      <w:pPr>
        <w:pStyle w:val="Heading2"/>
      </w:pPr>
      <w:r>
        <w:t>Checklist avant de communiquer un résultat</w:t>
      </w:r>
    </w:p>
    <w:p>
      <w:pPr>
        <w:spacing w:after="60"/>
        <w:ind w:left="312" w:hanging="142"/>
      </w:pPr>
      <w:r>
        <w:rPr>
          <w:b/>
          <w:color w:val="285FC5"/>
        </w:rPr>
        <w:t xml:space="preserve">- </w:t>
      </w:r>
      <w:r>
        <w:t>Le matériau, le grade et le module initial sont identifiés.</w:t>
      </w:r>
    </w:p>
    <w:p>
      <w:pPr>
        <w:spacing w:after="60"/>
        <w:ind w:left="312" w:hanging="142"/>
      </w:pPr>
      <w:r>
        <w:rPr>
          <w:b/>
          <w:color w:val="285FC5"/>
        </w:rPr>
        <w:t xml:space="preserve">- </w:t>
      </w:r>
      <w:r>
        <w:t>La température, l'humidité, l'épaisseur et le milieu sont cohérents.</w:t>
      </w:r>
    </w:p>
    <w:p>
      <w:pPr>
        <w:spacing w:after="60"/>
        <w:ind w:left="312" w:hanging="142"/>
      </w:pPr>
      <w:r>
        <w:rPr>
          <w:b/>
          <w:color w:val="285FC5"/>
        </w:rPr>
        <w:t xml:space="preserve">- </w:t>
      </w:r>
      <w:r>
        <w:t>Le seuil est exprimé par rapport au même E0.</w:t>
      </w:r>
    </w:p>
    <w:p>
      <w:pPr>
        <w:spacing w:after="60"/>
        <w:ind w:left="312" w:hanging="142"/>
      </w:pPr>
      <w:r>
        <w:rPr>
          <w:b/>
          <w:color w:val="285FC5"/>
        </w:rPr>
        <w:t xml:space="preserve">- </w:t>
      </w:r>
      <w:r>
        <w:t>Le niveau de preuve et la fenêtre observée sont visibles.</w:t>
      </w:r>
    </w:p>
    <w:p>
      <w:pPr>
        <w:spacing w:after="60"/>
        <w:ind w:left="312" w:hanging="142"/>
      </w:pPr>
      <w:r>
        <w:rPr>
          <w:b/>
          <w:color w:val="285FC5"/>
        </w:rPr>
        <w:t xml:space="preserve">- </w:t>
      </w:r>
      <w:r>
        <w:t>La nature de la bande est précisée.</w:t>
      </w:r>
    </w:p>
    <w:p>
      <w:pPr>
        <w:spacing w:after="60"/>
        <w:ind w:left="312" w:hanging="142"/>
      </w:pPr>
      <w:r>
        <w:rPr>
          <w:b/>
          <w:color w:val="285FC5"/>
        </w:rPr>
        <w:t xml:space="preserve">- </w:t>
      </w:r>
      <w:r>
        <w:t>La source primaire et l'emplacement sont cités.</w:t>
      </w:r>
    </w:p>
    <w:p>
      <w:pPr>
        <w:spacing w:after="60"/>
        <w:ind w:left="312" w:hanging="142"/>
      </w:pPr>
      <w:r>
        <w:rPr>
          <w:b/>
          <w:color w:val="285FC5"/>
        </w:rPr>
        <w:t xml:space="preserve">- </w:t>
      </w:r>
      <w:r>
        <w:t>L'export conserve la version et l'empreinte.</w:t>
      </w:r>
    </w:p>
    <w:p>
      <w:pPr>
        <w:spacing w:after="60"/>
        <w:ind w:left="312" w:hanging="142"/>
      </w:pPr>
      <w:r>
        <w:rPr>
          <w:b/>
          <w:color w:val="285FC5"/>
        </w:rPr>
        <w:t xml:space="preserve">- </w:t>
      </w:r>
      <w:r>
        <w:t>La conclusion distingue mesure, interpolation et extrapolation.</w:t>
      </w:r>
    </w:p>
    <w:p>
      <w:r>
        <w:br w:type="page"/>
      </w:r>
    </w:p>
    <w:p>
      <w:pPr>
        <w:pStyle w:val="Smalllabel"/>
        <w:spacing w:before="0"/>
      </w:pPr>
      <w:r>
        <w:t>PARTIE 15</w:t>
      </w:r>
    </w:p>
    <w:p>
      <w:pPr>
        <w:pStyle w:val="Heading1"/>
        <w:spacing w:before="0"/>
      </w:pPr>
      <w:r>
        <w:t>Glossaire et références</w:t>
      </w:r>
    </w:p>
    <w:p>
      <w:pPr>
        <w:spacing w:after="200"/>
        <w:keepLines/>
      </w:pPr>
      <w:r>
        <w:rPr>
          <w:color w:val="60708B"/>
          <w:sz w:val="21"/>
        </w:rPr>
        <w:t>Définitions de lecture rapide et sources documentaires intégrées au logiciel.</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39"/>
        <w:gridCol w:w="4939"/>
      </w:tblGrid>
      <w:tr>
        <w:trPr>
          <w:tblHeader w:val="true"/>
        </w:trPr>
        <w:tc>
          <w:tcPr>
            <w:tcW w:type="dxa" w:w="2268"/>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Terme</w:t>
            </w:r>
          </w:p>
        </w:tc>
        <w:tc>
          <w:tcPr>
            <w:tcW w:type="dxa" w:w="6746"/>
            <w:shd w:fill="16315C"/>
            <w:tcMar>
              <w:top w:w="90" w:type="dxa"/>
              <w:start w:w="110" w:type="dxa"/>
              <w:bottom w:w="90" w:type="dxa"/>
              <w:end w:w="110" w:type="dxa"/>
            </w:tcMar>
            <w:vAlign w:val="center"/>
          </w:tcPr>
          <w:p>
            <w:pPr>
              <w:spacing w:after="0"/>
              <w:jc w:val="center"/>
            </w:pPr>
            <w:r>
              <w:rPr>
                <w:rFonts w:ascii="Helvetica Neue" w:hAnsi="Helvetica Neue"/>
                <w:b/>
                <w:color w:val="FFFFFF"/>
                <w:sz w:val="16"/>
              </w:rPr>
              <w:t>Définition</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6"/>
              </w:rPr>
              <w:t>E0</w:t>
            </w:r>
          </w:p>
        </w:tc>
        <w:tc>
          <w:tcPr>
            <w:tcW w:type="dxa" w:w="6746"/>
            <w:shd w:fill="FFFFFF"/>
            <w:tcMar>
              <w:top w:w="90" w:type="dxa"/>
              <w:start w:w="110" w:type="dxa"/>
              <w:bottom w:w="90" w:type="dxa"/>
              <w:end w:w="110" w:type="dxa"/>
            </w:tcMar>
            <w:vAlign w:val="center"/>
          </w:tcPr>
          <w:p>
            <w:pPr>
              <w:spacing w:after="0"/>
              <w:jc w:val="left"/>
            </w:pPr>
            <w:r>
              <w:rPr>
                <w:rFonts w:ascii="Helvetica Neue" w:hAnsi="Helvetica Neue"/>
                <w:sz w:val="16"/>
              </w:rPr>
              <w:t>Module de Young initial au début du scénario</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6"/>
              </w:rPr>
              <w:t>E/E0</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6"/>
              </w:rPr>
              <w:t>Propriété résiduelle normalisée</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6"/>
              </w:rPr>
              <w:t>P50</w:t>
            </w:r>
          </w:p>
        </w:tc>
        <w:tc>
          <w:tcPr>
            <w:tcW w:type="dxa" w:w="6746"/>
            <w:shd w:fill="FFFFFF"/>
            <w:tcMar>
              <w:top w:w="90" w:type="dxa"/>
              <w:start w:w="110" w:type="dxa"/>
              <w:bottom w:w="90" w:type="dxa"/>
              <w:end w:w="110" w:type="dxa"/>
            </w:tcMar>
            <w:vAlign w:val="center"/>
          </w:tcPr>
          <w:p>
            <w:pPr>
              <w:spacing w:after="0"/>
              <w:jc w:val="left"/>
            </w:pPr>
            <w:r>
              <w:rPr>
                <w:rFonts w:ascii="Helvetica Neue" w:hAnsi="Helvetica Neue"/>
                <w:sz w:val="16"/>
              </w:rPr>
              <w:t>Médiane ou prévision centrale</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6"/>
              </w:rPr>
              <w:t>P10-P90</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6"/>
              </w:rPr>
              <w:t>Bande prédictive pilote lorsque la couverture est calibrée</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6"/>
              </w:rPr>
              <w:t>MAE</w:t>
            </w:r>
          </w:p>
        </w:tc>
        <w:tc>
          <w:tcPr>
            <w:tcW w:type="dxa" w:w="6746"/>
            <w:shd w:fill="FFFFFF"/>
            <w:tcMar>
              <w:top w:w="90" w:type="dxa"/>
              <w:start w:w="110" w:type="dxa"/>
              <w:bottom w:w="90" w:type="dxa"/>
              <w:end w:w="110" w:type="dxa"/>
            </w:tcMar>
            <w:vAlign w:val="center"/>
          </w:tcPr>
          <w:p>
            <w:pPr>
              <w:spacing w:after="0"/>
              <w:jc w:val="center"/>
            </w:pPr>
            <w:r>
              <w:rPr>
                <w:rFonts w:ascii="Helvetica Neue" w:hAnsi="Helvetica Neue"/>
                <w:sz w:val="16"/>
              </w:rPr>
              <w:t>Erreur absolue moyenne</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6"/>
              </w:rPr>
              <w:t>RMSE</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6"/>
              </w:rPr>
              <w:t>Racine de l'erreur quadratique moyenne</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6"/>
              </w:rPr>
              <w:t>MAPE</w:t>
            </w:r>
          </w:p>
        </w:tc>
        <w:tc>
          <w:tcPr>
            <w:tcW w:type="dxa" w:w="6746"/>
            <w:shd w:fill="FFFFFF"/>
            <w:tcMar>
              <w:top w:w="90" w:type="dxa"/>
              <w:start w:w="110" w:type="dxa"/>
              <w:bottom w:w="90" w:type="dxa"/>
              <w:end w:w="110" w:type="dxa"/>
            </w:tcMar>
            <w:vAlign w:val="center"/>
          </w:tcPr>
          <w:p>
            <w:pPr>
              <w:spacing w:after="0"/>
              <w:jc w:val="left"/>
            </w:pPr>
            <w:r>
              <w:rPr>
                <w:rFonts w:ascii="Helvetica Neue" w:hAnsi="Helvetica Neue"/>
                <w:sz w:val="16"/>
              </w:rPr>
              <w:t>Erreur absolue moyenne en pourcentage</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6"/>
              </w:rPr>
              <w:t>IC95 %</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6"/>
              </w:rPr>
              <w:t>Intervalle de confiance de la moyenne publiée</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6"/>
              </w:rPr>
              <w:t>Écart-type</w:t>
            </w:r>
          </w:p>
        </w:tc>
        <w:tc>
          <w:tcPr>
            <w:tcW w:type="dxa" w:w="6746"/>
            <w:shd w:fill="FFFFFF"/>
            <w:tcMar>
              <w:top w:w="90" w:type="dxa"/>
              <w:start w:w="110" w:type="dxa"/>
              <w:bottom w:w="90" w:type="dxa"/>
              <w:end w:w="110" w:type="dxa"/>
            </w:tcMar>
            <w:vAlign w:val="center"/>
          </w:tcPr>
          <w:p>
            <w:pPr>
              <w:spacing w:after="0"/>
              <w:jc w:val="left"/>
            </w:pPr>
            <w:r>
              <w:rPr>
                <w:rFonts w:ascii="Helvetica Neue" w:hAnsi="Helvetica Neue"/>
                <w:sz w:val="16"/>
              </w:rPr>
              <w:t>Dispersion des éprouvettes mesurées</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6"/>
              </w:rPr>
              <w:t>Interpolation</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6"/>
              </w:rPr>
              <w:t>Valeur estimée entre deux observations</w:t>
            </w:r>
          </w:p>
        </w:tc>
      </w:tr>
      <w:tr>
        <w:tc>
          <w:tcPr>
            <w:tcW w:type="dxa" w:w="2268"/>
            <w:shd w:fill="FFFFFF"/>
            <w:tcMar>
              <w:top w:w="90" w:type="dxa"/>
              <w:start w:w="110" w:type="dxa"/>
              <w:bottom w:w="90" w:type="dxa"/>
              <w:end w:w="110" w:type="dxa"/>
            </w:tcMar>
            <w:vAlign w:val="center"/>
          </w:tcPr>
          <w:p>
            <w:pPr>
              <w:spacing w:after="0"/>
              <w:jc w:val="left"/>
            </w:pPr>
            <w:r>
              <w:rPr>
                <w:rFonts w:ascii="Helvetica Neue" w:hAnsi="Helvetica Neue"/>
                <w:sz w:val="16"/>
              </w:rPr>
              <w:t>Extrapolation</w:t>
            </w:r>
          </w:p>
        </w:tc>
        <w:tc>
          <w:tcPr>
            <w:tcW w:type="dxa" w:w="6746"/>
            <w:shd w:fill="FFFFFF"/>
            <w:tcMar>
              <w:top w:w="90" w:type="dxa"/>
              <w:start w:w="110" w:type="dxa"/>
              <w:bottom w:w="90" w:type="dxa"/>
              <w:end w:w="110" w:type="dxa"/>
            </w:tcMar>
            <w:vAlign w:val="center"/>
          </w:tcPr>
          <w:p>
            <w:pPr>
              <w:spacing w:after="0"/>
              <w:jc w:val="left"/>
            </w:pPr>
            <w:r>
              <w:rPr>
                <w:rFonts w:ascii="Helvetica Neue" w:hAnsi="Helvetica Neue"/>
                <w:sz w:val="16"/>
              </w:rPr>
              <w:t>Valeur estimée au-delà du domaine observé</w:t>
            </w:r>
          </w:p>
        </w:tc>
      </w:tr>
      <w:tr>
        <w:tc>
          <w:tcPr>
            <w:tcW w:type="dxa" w:w="2268"/>
            <w:shd w:fill="F5F8FC"/>
            <w:tcMar>
              <w:top w:w="90" w:type="dxa"/>
              <w:start w:w="110" w:type="dxa"/>
              <w:bottom w:w="90" w:type="dxa"/>
              <w:end w:w="110" w:type="dxa"/>
            </w:tcMar>
            <w:vAlign w:val="center"/>
          </w:tcPr>
          <w:p>
            <w:pPr>
              <w:spacing w:after="0"/>
              <w:jc w:val="left"/>
            </w:pPr>
            <w:r>
              <w:rPr>
                <w:rFonts w:ascii="Helvetica Neue" w:hAnsi="Helvetica Neue"/>
                <w:sz w:val="16"/>
              </w:rPr>
              <w:t>Empreinte SHA-256</w:t>
            </w:r>
          </w:p>
        </w:tc>
        <w:tc>
          <w:tcPr>
            <w:tcW w:type="dxa" w:w="6746"/>
            <w:shd w:fill="F5F8FC"/>
            <w:tcMar>
              <w:top w:w="90" w:type="dxa"/>
              <w:start w:w="110" w:type="dxa"/>
              <w:bottom w:w="90" w:type="dxa"/>
              <w:end w:w="110" w:type="dxa"/>
            </w:tcMar>
            <w:vAlign w:val="center"/>
          </w:tcPr>
          <w:p>
            <w:pPr>
              <w:spacing w:after="0"/>
              <w:jc w:val="left"/>
            </w:pPr>
            <w:r>
              <w:rPr>
                <w:rFonts w:ascii="Helvetica Neue" w:hAnsi="Helvetica Neue"/>
                <w:sz w:val="16"/>
              </w:rPr>
              <w:t>Identifiant permettant de détecter toute modification du manifeste</w:t>
            </w:r>
          </w:p>
        </w:tc>
      </w:tr>
    </w:tbl>
    <w:p>
      <w:pPr>
        <w:spacing w:after="20"/>
      </w:pPr>
    </w:p>
    <w:p>
      <w:pPr>
        <w:pStyle w:val="Heading2"/>
      </w:pPr>
      <w:r>
        <w:t>Références principales</w:t>
      </w:r>
    </w:p>
    <w:p>
      <w:pPr>
        <w:spacing w:after="60"/>
        <w:ind w:left="312" w:hanging="142"/>
      </w:pPr>
      <w:r>
        <w:rPr>
          <w:b/>
          <w:color w:val="285FC5"/>
        </w:rPr>
        <w:t xml:space="preserve">- </w:t>
      </w:r>
      <w:r>
        <w:t>Matos et al. Natural Aging of Reprocessed Polypropylene Composites Filled with Sustainable Corn Fibers. Polymers 2024. DOI 10.3390/polym16131788.</w:t>
      </w:r>
    </w:p>
    <w:p>
      <w:pPr>
        <w:spacing w:after="60"/>
        <w:ind w:left="312" w:hanging="142"/>
      </w:pPr>
      <w:r>
        <w:rPr>
          <w:b/>
          <w:color w:val="285FC5"/>
        </w:rPr>
        <w:t xml:space="preserve">- </w:t>
      </w:r>
      <w:r>
        <w:t>Martorell et al. Publication contextuelle PP-35. Energies 2022. DOI 10.3390/en15228340.</w:t>
      </w:r>
    </w:p>
    <w:p>
      <w:pPr>
        <w:spacing w:after="60"/>
        <w:ind w:left="312" w:hanging="142"/>
      </w:pPr>
      <w:r>
        <w:rPr>
          <w:b/>
          <w:color w:val="285FC5"/>
        </w:rPr>
        <w:t xml:space="preserve">- </w:t>
      </w:r>
      <w:r>
        <w:t>Scida et al. Vieillissement hygrothermique d'un composite lin/époxy. Composites Part B. DOI 10.1016/j.compositesb.2012.12.010.</w:t>
      </w:r>
    </w:p>
    <w:p>
      <w:pPr>
        <w:spacing w:after="60"/>
        <w:ind w:left="312" w:hanging="142"/>
      </w:pPr>
      <w:r>
        <w:rPr>
          <w:b/>
          <w:color w:val="285FC5"/>
        </w:rPr>
        <w:t xml:space="preserve">- </w:t>
      </w:r>
      <w:r>
        <w:t>NIMS PoLyInfo pour la taxonomie et la documentation des polymères.</w:t>
      </w:r>
    </w:p>
    <w:p>
      <w:pPr>
        <w:spacing w:after="60"/>
        <w:ind w:left="312" w:hanging="142"/>
      </w:pPr>
      <w:r>
        <w:rPr>
          <w:b/>
          <w:color w:val="285FC5"/>
        </w:rPr>
        <w:t xml:space="preserve">- </w:t>
      </w:r>
      <w:r>
        <w:t>IUPAC Gold Book pour la terminologie générale.</w:t>
      </w:r>
    </w:p>
    <w:p>
      <w:pPr>
        <w:spacing w:after="60"/>
        <w:ind w:left="312" w:hanging="142"/>
      </w:pPr>
      <w:r>
        <w:rPr>
          <w:b/>
          <w:color w:val="285FC5"/>
        </w:rPr>
        <w:t xml:space="preserve">- </w:t>
      </w:r>
      <w:r>
        <w:t>Documentation Materia 0.38 : README, VALIDATION, DICTIONNAIRE et MODELE_PREDICTIF_AVEUGLE.</w:t>
      </w:r>
    </w:p>
    <w:p>
      <w:pPr>
        <w:pStyle w:val="Heading2"/>
      </w:pPr>
      <w:r>
        <w:t>Formulation recommandée dans un rapport étudiant</w:t>
      </w:r>
    </w:p>
    <w:p>
      <w:r>
        <w:rPr>
          <w:i/>
        </w:rPr>
        <w:t>Exemple : Materia estime, pour les paramètres déclarés, un module central P50 de [valeur] MPa à [horizon], soit [rétention] % de E0. Le résultat est de niveau [niveau] et repose sur [nature des sources]. La bande affichée est [nature de la bande]. La fenêtre de preuve s'arrête à [temps]. Cette projection sert à préparer la comparaison avec des essais futurs et ne constitue pas une qualification du matériau.</w:t>
      </w:r>
    </w:p>
    <w:p>
      <w:pPr>
        <w:pStyle w:val="Heading2"/>
      </w:pPr>
      <w:r>
        <w:t>Historique du document</w:t>
      </w:r>
    </w:p>
    <w:tbl>
      <w:tblPr>
        <w:tblW w:type="auto" w:w="0"/>
        <w:tblLayout w:type="fixed"/>
        <w:tblLook w:firstColumn="1" w:firstRow="1" w:lastColumn="0" w:lastRow="0" w:noHBand="0" w:noVBand="1" w:val="04A0"/>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93"/>
        <w:gridCol w:w="3293"/>
        <w:gridCol w:w="3293"/>
      </w:tblGrid>
      <w:tr>
        <w:trPr>
          <w:tblHeader w:val="true"/>
        </w:trPr>
        <w:tc>
          <w:tcPr>
            <w:tcW w:type="dxa" w:w="1361"/>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Version</w:t>
            </w:r>
          </w:p>
        </w:tc>
        <w:tc>
          <w:tcPr>
            <w:tcW w:type="dxa" w:w="2268"/>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Date</w:t>
            </w:r>
          </w:p>
        </w:tc>
        <w:tc>
          <w:tcPr>
            <w:tcW w:type="dxa" w:w="5386"/>
            <w:shd w:fill="16315C"/>
            <w:tcMar>
              <w:top w:w="90" w:type="dxa"/>
              <w:start w:w="110" w:type="dxa"/>
              <w:bottom w:w="90" w:type="dxa"/>
              <w:end w:w="110" w:type="dxa"/>
            </w:tcMar>
            <w:vAlign w:val="center"/>
          </w:tcPr>
          <w:p>
            <w:pPr>
              <w:spacing w:after="0"/>
              <w:jc w:val="center"/>
            </w:pPr>
            <w:r>
              <w:rPr>
                <w:rFonts w:ascii="Helvetica Neue" w:hAnsi="Helvetica Neue"/>
                <w:b/>
                <w:color w:val="FFFFFF"/>
                <w:sz w:val="17"/>
              </w:rPr>
              <w:t>Objet</w:t>
            </w:r>
          </w:p>
        </w:tc>
      </w:tr>
      <w:tr>
        <w:tc>
          <w:tcPr>
            <w:tcW w:type="dxa" w:w="1361"/>
            <w:shd w:fill="FFFFFF"/>
            <w:tcMar>
              <w:top w:w="90" w:type="dxa"/>
              <w:start w:w="110" w:type="dxa"/>
              <w:bottom w:w="90" w:type="dxa"/>
              <w:end w:w="110" w:type="dxa"/>
            </w:tcMar>
            <w:vAlign w:val="center"/>
          </w:tcPr>
          <w:p>
            <w:pPr>
              <w:spacing w:after="0"/>
              <w:jc w:val="left"/>
            </w:pPr>
            <w:r>
              <w:rPr>
                <w:rFonts w:ascii="Helvetica Neue" w:hAnsi="Helvetica Neue"/>
                <w:sz w:val="17"/>
              </w:rPr>
              <w:t>1.0</w:t>
            </w:r>
          </w:p>
        </w:tc>
        <w:tc>
          <w:tcPr>
            <w:tcW w:type="dxa" w:w="2268"/>
            <w:shd w:fill="FFFFFF"/>
            <w:tcMar>
              <w:top w:w="90" w:type="dxa"/>
              <w:start w:w="110" w:type="dxa"/>
              <w:bottom w:w="90" w:type="dxa"/>
              <w:end w:w="110" w:type="dxa"/>
            </w:tcMar>
            <w:vAlign w:val="center"/>
          </w:tcPr>
          <w:p>
            <w:pPr>
              <w:spacing w:after="0"/>
              <w:jc w:val="center"/>
            </w:pPr>
            <w:r>
              <w:rPr>
                <w:rFonts w:ascii="Helvetica Neue" w:hAnsi="Helvetica Neue"/>
                <w:sz w:val="17"/>
              </w:rPr>
              <w:t>7 octobre 2026</w:t>
            </w:r>
          </w:p>
        </w:tc>
        <w:tc>
          <w:tcPr>
            <w:tcW w:type="dxa" w:w="5386"/>
            <w:shd w:fill="FFFFFF"/>
            <w:tcMar>
              <w:top w:w="90" w:type="dxa"/>
              <w:start w:w="110" w:type="dxa"/>
              <w:bottom w:w="90" w:type="dxa"/>
              <w:end w:w="110" w:type="dxa"/>
            </w:tcMar>
            <w:vAlign w:val="center"/>
          </w:tcPr>
          <w:p>
            <w:pPr>
              <w:spacing w:after="0"/>
              <w:jc w:val="left"/>
            </w:pPr>
            <w:r>
              <w:rPr>
                <w:rFonts w:ascii="Helvetica Neue" w:hAnsi="Helvetica Neue"/>
                <w:sz w:val="17"/>
              </w:rPr>
              <w:t>Guide complet pour Materia 0.38.0</w:t>
            </w:r>
          </w:p>
        </w:tc>
      </w:tr>
    </w:tbl>
    <w:p>
      <w:pPr>
        <w:spacing w:after="20"/>
      </w:pPr>
    </w:p>
    <w:sectPr>
      <w:headerReference w:type="default" r:id="rId9"/>
      <w:footerReference w:type="default" r:id="rId10"/>
      <w:pgSz w:w="12240" w:h="15840"/>
      <w:pgMar w:top="1123" w:right="1181" w:bottom="1080" w:left="1181" w:header="403" w:footer="4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jc w:val="left"/>
      <w:rPr>
        <w:color w:val="112075"/>
      </w:rPr>
    </w:pPr>
    <w:r>
      <w:rPr>
        <w:rFonts w:ascii="Helvetica Neue" w:hAnsi="Helvetica Neue"/>
        <w:color w:val="285FC5"/>
        <w:sz w:val="16"/>
      </w:rPr>
      <w:t xml:space="preserve">Guide utilisateur Materia  |  page </w:t>
    </w:r>
    <w:r>
      <w:fldChar w:fldCharType="begin"/>
      <w:instrText xml:space="preserve">PAGE</w:instrText>
      <w:fldChar w:fldCharType="separate"/>
      <w:t>1</w:t>
      <w:fldChar w:fldCharType="end"/>
    </w:r>
    <w:r>
      <w:t xml:space="preserve"> sur </w:t>
    </w:r>
    <w: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b/>
        <w:color w:val="285FC5"/>
        <w:sz w:val="16"/>
        <w:szCs w:val="16"/>
      </w:rPr>
      <w:t>Guide utilisateur Materia</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rFonts w:ascii="Helvetica Neue" w:hAnsi="Helvetica Neue"/>
      <w:color w:val="000000"/>
      <w:sz w:val="19"/>
    </w:rPr>
  </w:style>
  <w:style w:type="paragraph" w:styleId="Heading1">
    <w:name w:val="heading 1"/>
    <w:basedOn w:val="Normal"/>
    <w:next w:val="Normal"/>
    <w:uiPriority w:val="9"/>
    <w:qFormat/>
    <w:pPr>
      <w:keepNext/>
      <w:keepLines/>
      <w:spacing w:before="240" w:after="100"/>
      <w:outlineLvl w:val="0"/>
    </w:pPr>
    <w:rPr>
      <w:rFonts w:ascii="Helvetica Neue" w:eastAsia="Helvetica Neue" w:hAnsi="Helvetica Neue" w:cs="Helvetica Neue"/>
      <w:b/>
      <w:bCs/>
      <w:color w:val="000000"/>
      <w:sz w:val="32"/>
      <w:szCs w:val="30"/>
    </w:rPr>
  </w:style>
  <w:style w:type="paragraph" w:styleId="Heading2">
    <w:name w:val="heading 2"/>
    <w:basedOn w:val="Normal"/>
    <w:next w:val="Normal"/>
    <w:uiPriority w:val="9"/>
    <w:unhideWhenUsed/>
    <w:qFormat/>
    <w:pPr>
      <w:keepNext/>
      <w:keepLines/>
      <w:spacing w:before="160" w:after="100"/>
      <w:outlineLvl w:val="1"/>
    </w:pPr>
    <w:rPr>
      <w:rFonts w:ascii="Helvetica Neue" w:eastAsia="Helvetica Neue" w:hAnsi="Helvetica Neue" w:cs="Helvetica Neue"/>
      <w:b/>
      <w:bCs/>
      <w:color w:val="000000"/>
      <w:sz w:val="25"/>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160" w:after="100"/>
      <w:outlineLvl w:val="2"/>
    </w:pPr>
    <w:rPr>
      <w:rFonts w:ascii="Helvetica Neue" w:hAnsi="Helvetica Neue"/>
      <w:b/>
      <w:bCs/>
      <w:color w:val="000000"/>
      <w:sz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240"/>
      <w:jc w:val="center"/>
    </w:pPr>
    <w:rPr>
      <w:rFonts w:ascii="Helvetica Neue" w:eastAsia="Helvetica Neue" w:hAnsi="Helvetica Neue" w:cs="Helvetica Neue"/>
      <w:b/>
      <w:bCs/>
      <w:color w:val="000000"/>
      <w:sz w:val="60"/>
      <w:szCs w:val="72"/>
    </w:rPr>
  </w:style>
  <w:style w:type="paragraph" w:styleId="Subtitle">
    <w:name w:val="Subtitle"/>
    <w:basedOn w:val="Normal"/>
    <w:next w:val="Normal"/>
    <w:uiPriority w:val="11"/>
    <w:qFormat/>
    <w:pPr>
      <w:keepNext/>
      <w:keepLines/>
      <w:spacing w:before="360" w:after="80"/>
    </w:pPr>
    <w:rPr>
      <w:rFonts w:ascii="Helvetica Neue" w:eastAsia="Georgia" w:hAnsi="Helvetica Neue" w:cs="Georgia"/>
      <w:i/>
      <w:iCs/>
      <w:color w:val="60708B"/>
      <w:sz w:val="30"/>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Figurecaption">
    <w:name w:val="Figure caption"/>
    <w:pPr>
      <w:spacing w:before="60" w:after="180"/>
      <w:jc w:val="center"/>
    </w:pPr>
    <w:rPr>
      <w:rFonts w:ascii="Helvetica Neue" w:hAnsi="Helvetica Neue"/>
      <w:i/>
      <w:color w:val="595959"/>
      <w:sz w:val="16"/>
    </w:rPr>
  </w:style>
  <w:style w:type="paragraph" w:customStyle="1" w:styleId="Smalllabel">
    <w:name w:val="Small label"/>
    <w:pPr>
      <w:spacing w:after="120"/>
    </w:pPr>
    <w:rPr>
      <w:rFonts w:ascii="Helvetica Neue" w:hAnsi="Helvetica Neue"/>
      <w:b/>
      <w:color w:val="128C8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https://github.com/chillneonpro-bot/materia"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Materia version 0.38</dc:title>
  <dc:subject>Utilisation et interprétation des résultats de Materia</dc:subject>
  <dc:creator>Projet Materia</dc:creator>
  <cp:keywords>Materia, polymères, vieillissement, module de Young, guide utilisateur</cp:keywords>
  <dc:description>Guide destiné aux étudiants et enseignants en école d'ingénieurs.</dc:description>
</cp:coreProperties>
</file>