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DEPARTMENT OF</w:t>
      </w:r>
    </w:p>
    <w:p>
      <w:pPr>
        <w:spacing w:after="240"/>
        <w:jc w:val="center"/>
      </w:pPr>
      <w:r>
        <w:rPr>
          <w:b/>
          <w:bCs/>
          <w:sz w:val="28"/>
          <w:szCs w:val="28"/>
        </w:rPr>
        <w:t xml:space="preserve">COMPUTER SCIENCE AND ENGINEERING (CYBER SECURITY)</w:t>
      </w:r>
    </w:p>
    <w:p>
      <w:pPr>
        <w:spacing w:before="240" w:after="120"/>
        <w:jc w:val="center"/>
      </w:pPr>
      <w:r>
        <w:rPr>
          <w:b/>
          <w:bCs/>
          <w:sz w:val="24"/>
          <w:szCs w:val="24"/>
        </w:rPr>
        <w:t xml:space="preserve">CYP81</w:t>
      </w:r>
      <w:r>
        <w:rPr>
          <w:b/>
          <w:bCs/>
          <w:sz w:val="24"/>
          <w:szCs w:val="24"/>
        </w:rPr>
        <w:t xml:space="preserve">                                                     PROJECT WORK</w:t>
      </w:r>
    </w:p>
    <w:p>
      <w:pPr>
        <w:spacing w:before="240" w:after="240"/>
        <w:jc w:val="center"/>
      </w:pPr>
      <w:r>
        <w:rPr>
          <w:b/>
          <w:bCs/>
          <w:sz w:val="32"/>
          <w:szCs w:val="32"/>
        </w:rPr>
        <w:t xml:space="preserve">PROJECT SYNOPSIS</w:t>
      </w:r>
    </w:p>
    <w:p>
      <w:pPr>
        <w:spacing w:after="360"/>
        <w:jc w:val="center"/>
      </w:pPr>
      <w:r>
        <w:rPr>
          <w:sz w:val="24"/>
          <w:szCs w:val="24"/>
        </w:rPr>
        <w:t xml:space="preserve">11/10/2025</w:t>
      </w:r>
    </w:p>
    <w:p>
      <w:pPr>
        <w:spacing w:before="240" w:after="180"/>
        <w:jc w:val="center"/>
      </w:pPr>
      <w:r>
        <w:rPr>
          <w:b/>
          <w:bCs/>
          <w:sz w:val="26"/>
          <w:szCs w:val="26"/>
        </w:rPr>
        <w:t xml:space="preserve">PROJECT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000000" w:sz="6"/>
              <w:left w:val="single" w:color="000000" w:sz="6"/>
              <w:bottom w:val="single" w:color="000000" w:sz="6"/>
              <w:right w:val="single" w:color="000000" w:sz="6"/>
            </w:tcBorders>
          </w:tcPr>
          <w:p>
            <w:pPr>
              <w:jc w:val="center"/>
            </w:pPr>
            <w:r>
              <w:rPr>
                <w:b/>
                <w:bCs/>
              </w:rPr>
              <w:t xml:space="preserve">Sl. No</w:t>
            </w:r>
          </w:p>
        </w:tc>
        <w:tc>
          <w:tcPr>
            <w:tcW w:type="dxa" w:w="3000"/>
            <w:tcBorders>
              <w:top w:val="single" w:color="000000" w:sz="6"/>
              <w:left w:val="single" w:color="000000" w:sz="6"/>
              <w:bottom w:val="single" w:color="000000" w:sz="6"/>
              <w:right w:val="single" w:color="000000" w:sz="6"/>
            </w:tcBorders>
          </w:tcPr>
          <w:p>
            <w:pPr>
              <w:jc w:val="center"/>
            </w:pPr>
            <w:r>
              <w:rPr>
                <w:b/>
                <w:bCs/>
              </w:rPr>
              <w:t xml:space="preserve">USN</w:t>
            </w:r>
          </w:p>
        </w:tc>
        <w:tc>
          <w:tcPr>
            <w:tcW w:type="dxa" w:w="5160"/>
            <w:tcBorders>
              <w:top w:val="single" w:color="000000" w:sz="6"/>
              <w:left w:val="single" w:color="000000" w:sz="6"/>
              <w:bottom w:val="single" w:color="000000" w:sz="6"/>
              <w:right w:val="single" w:color="000000" w:sz="6"/>
            </w:tcBorders>
          </w:tcPr>
          <w:p>
            <w:pPr>
              <w:jc w:val="center"/>
            </w:pPr>
            <w:r>
              <w:rPr>
                <w:b/>
                <w:bCs/>
              </w:rPr>
              <w:t xml:space="preserve">Name</w:t>
            </w:r>
          </w:p>
        </w:tc>
      </w:tr>
      <w:tr>
        <w:tc>
          <w:tcPr>
            <w:tcW w:type="dxa" w:w="1200"/>
            <w:tcBorders>
              <w:top w:val="single" w:color="000000" w:sz="6"/>
              <w:left w:val="single" w:color="000000" w:sz="6"/>
              <w:bottom w:val="single" w:color="000000" w:sz="6"/>
              <w:right w:val="single" w:color="000000" w:sz="6"/>
            </w:tcBorders>
          </w:tcPr>
          <w:p>
            <w:pPr>
              <w:jc w:val="center"/>
            </w:pPr>
            <w:r>
              <w:t xml:space="preserve">1</w:t>
            </w:r>
          </w:p>
        </w:tc>
        <w:tc>
          <w:tcPr>
            <w:tcW w:type="dxa" w:w="3000"/>
            <w:tcBorders>
              <w:top w:val="single" w:color="000000" w:sz="6"/>
              <w:left w:val="single" w:color="000000" w:sz="6"/>
              <w:bottom w:val="single" w:color="000000" w:sz="6"/>
              <w:right w:val="single" w:color="000000" w:sz="6"/>
            </w:tcBorders>
          </w:tcPr>
          <w:p>
            <w:pPr>
              <w:jc w:val="center"/>
            </w:pPr>
            <w:r>
              <w:t xml:space="preserve">1MS22CY002</w:t>
            </w:r>
          </w:p>
        </w:tc>
        <w:tc>
          <w:tcPr>
            <w:tcW w:type="dxa" w:w="5160"/>
            <w:tcBorders>
              <w:top w:val="single" w:color="000000" w:sz="6"/>
              <w:left w:val="single" w:color="000000" w:sz="6"/>
              <w:bottom w:val="single" w:color="000000" w:sz="6"/>
              <w:right w:val="single" w:color="000000" w:sz="6"/>
            </w:tcBorders>
          </w:tcPr>
          <w:p>
            <w:pPr>
              <w:jc w:val="center"/>
            </w:pPr>
            <w:r>
              <w:t xml:space="preserve">Adithya Nayak</w:t>
            </w:r>
          </w:p>
        </w:tc>
      </w:tr>
      <w:tr>
        <w:tc>
          <w:tcPr>
            <w:tcW w:type="dxa" w:w="1200"/>
            <w:tcBorders>
              <w:top w:val="single" w:color="000000" w:sz="6"/>
              <w:left w:val="single" w:color="000000" w:sz="6"/>
              <w:bottom w:val="single" w:color="000000" w:sz="6"/>
              <w:right w:val="single" w:color="000000" w:sz="6"/>
            </w:tcBorders>
          </w:tcPr>
          <w:p>
            <w:pPr>
              <w:jc w:val="center"/>
            </w:pPr>
            <w:r>
              <w:t xml:space="preserve">2</w:t>
            </w:r>
          </w:p>
        </w:tc>
        <w:tc>
          <w:tcPr>
            <w:tcW w:type="dxa" w:w="3000"/>
            <w:tcBorders>
              <w:top w:val="single" w:color="000000" w:sz="6"/>
              <w:left w:val="single" w:color="000000" w:sz="6"/>
              <w:bottom w:val="single" w:color="000000" w:sz="6"/>
              <w:right w:val="single" w:color="000000" w:sz="6"/>
            </w:tcBorders>
          </w:tcPr>
          <w:p>
            <w:pPr>
              <w:jc w:val="center"/>
            </w:pPr>
            <w:r>
              <w:t xml:space="preserve">1MS22CY006</w:t>
            </w:r>
          </w:p>
        </w:tc>
        <w:tc>
          <w:tcPr>
            <w:tcW w:type="dxa" w:w="5160"/>
            <w:tcBorders>
              <w:top w:val="single" w:color="000000" w:sz="6"/>
              <w:left w:val="single" w:color="000000" w:sz="6"/>
              <w:bottom w:val="single" w:color="000000" w:sz="6"/>
              <w:right w:val="single" w:color="000000" w:sz="6"/>
            </w:tcBorders>
          </w:tcPr>
          <w:p>
            <w:pPr>
              <w:jc w:val="center"/>
            </w:pPr>
            <w:r>
              <w:t xml:space="preserve">Anant Sharma</w:t>
            </w:r>
          </w:p>
        </w:tc>
      </w:tr>
      <w:tr>
        <w:tc>
          <w:tcPr>
            <w:tcW w:type="dxa" w:w="1200"/>
            <w:tcBorders>
              <w:top w:val="single" w:color="000000" w:sz="6"/>
              <w:left w:val="single" w:color="000000" w:sz="6"/>
              <w:bottom w:val="single" w:color="000000" w:sz="6"/>
              <w:right w:val="single" w:color="000000" w:sz="6"/>
            </w:tcBorders>
          </w:tcPr>
          <w:p>
            <w:pPr>
              <w:jc w:val="center"/>
            </w:pPr>
            <w:r>
              <w:t xml:space="preserve">3</w:t>
            </w:r>
          </w:p>
        </w:tc>
        <w:tc>
          <w:tcPr>
            <w:tcW w:type="dxa" w:w="3000"/>
            <w:tcBorders>
              <w:top w:val="single" w:color="000000" w:sz="6"/>
              <w:left w:val="single" w:color="000000" w:sz="6"/>
              <w:bottom w:val="single" w:color="000000" w:sz="6"/>
              <w:right w:val="single" w:color="000000" w:sz="6"/>
            </w:tcBorders>
          </w:tcPr>
          <w:p>
            <w:pPr>
              <w:jc w:val="center"/>
            </w:pPr>
            <w:r>
              <w:t xml:space="preserve">1MS22CY056</w:t>
            </w:r>
          </w:p>
        </w:tc>
        <w:tc>
          <w:tcPr>
            <w:tcW w:type="dxa" w:w="5160"/>
            <w:tcBorders>
              <w:top w:val="single" w:color="000000" w:sz="6"/>
              <w:left w:val="single" w:color="000000" w:sz="6"/>
              <w:bottom w:val="single" w:color="000000" w:sz="6"/>
              <w:right w:val="single" w:color="000000" w:sz="6"/>
            </w:tcBorders>
          </w:tcPr>
          <w:p>
            <w:pPr>
              <w:jc w:val="center"/>
            </w:pPr>
            <w:r>
              <w:t xml:space="preserve">Rachit N A</w:t>
            </w:r>
          </w:p>
        </w:tc>
      </w:tr>
      <w:tr>
        <w:tc>
          <w:tcPr>
            <w:tcW w:type="dxa" w:w="1200"/>
            <w:tcBorders>
              <w:top w:val="single" w:color="000000" w:sz="6"/>
              <w:left w:val="single" w:color="000000" w:sz="6"/>
              <w:bottom w:val="single" w:color="000000" w:sz="6"/>
              <w:right w:val="single" w:color="000000" w:sz="6"/>
            </w:tcBorders>
          </w:tcPr>
          <w:p>
            <w:pPr>
              <w:jc w:val="center"/>
            </w:pPr>
            <w:r>
              <w:t xml:space="preserve">4</w:t>
            </w:r>
          </w:p>
        </w:tc>
        <w:tc>
          <w:tcPr>
            <w:tcW w:type="dxa" w:w="3000"/>
            <w:tcBorders>
              <w:top w:val="single" w:color="000000" w:sz="6"/>
              <w:left w:val="single" w:color="000000" w:sz="6"/>
              <w:bottom w:val="single" w:color="000000" w:sz="6"/>
              <w:right w:val="single" w:color="000000" w:sz="6"/>
            </w:tcBorders>
          </w:tcPr>
          <w:p>
            <w:pPr>
              <w:jc w:val="center"/>
            </w:pPr>
            <w:r>
              <w:t xml:space="preserve">1MS22CY066</w:t>
            </w:r>
          </w:p>
        </w:tc>
        <w:tc>
          <w:tcPr>
            <w:tcW w:type="dxa" w:w="5160"/>
            <w:tcBorders>
              <w:top w:val="single" w:color="000000" w:sz="6"/>
              <w:left w:val="single" w:color="000000" w:sz="6"/>
              <w:bottom w:val="single" w:color="000000" w:sz="6"/>
              <w:right w:val="single" w:color="000000" w:sz="6"/>
            </w:tcBorders>
          </w:tcPr>
          <w:p>
            <w:pPr>
              <w:jc w:val="center"/>
            </w:pPr>
            <w:r>
              <w:t xml:space="preserve">ShreeKrishna T</w:t>
            </w:r>
          </w:p>
        </w:tc>
      </w:tr>
    </w:tbl>
    <w:p>
      <w:pPr>
        <w:spacing w:before="360" w:after="120"/>
      </w:pPr>
      <w:r>
        <w:rPr>
          <w:b/>
          <w:bCs/>
          <w:sz w:val="24"/>
          <w:szCs w:val="24"/>
        </w:rPr>
        <w:t xml:space="preserve">Title of the Project: </w:t>
      </w:r>
    </w:p>
    <w:p>
      <w:pPr>
        <w:spacing w:after="240"/>
      </w:pPr>
      <w:r>
        <w:rPr>
          <w:sz w:val="24"/>
          <w:szCs w:val="24"/>
        </w:rPr>
        <w:t xml:space="preserve">AgentGuard: Cyber-Aware Agentic AI Extension for Safe and Verifiable Web Automation</w:t>
      </w:r>
    </w:p>
    <w:p>
      <w:pPr>
        <w:spacing w:after="360"/>
      </w:pPr>
      <w:r>
        <w:rPr>
          <w:b/>
          <w:bCs/>
          <w:sz w:val="22"/>
          <w:szCs w:val="22"/>
        </w:rPr>
        <w:t xml:space="preserve">Project Stream: </w:t>
      </w:r>
      <w:r>
        <w:rPr>
          <w:sz w:val="22"/>
          <w:szCs w:val="22"/>
        </w:rPr>
        <w:t xml:space="preserve">Cybersecurity Systems / Artificial Intelligence / LLM Security / Browser Security</w:t>
      </w:r>
    </w:p>
    <w:p>
      <w:pPr>
        <w:spacing w:before="240" w:after="180"/>
      </w:pPr>
      <w:r>
        <w:rPr>
          <w:b/>
          <w:bCs/>
          <w:sz w:val="26"/>
          <w:szCs w:val="26"/>
          <w:u w:val="single"/>
        </w:rPr>
        <w:t xml:space="preserve">Abstract</w:t>
      </w:r>
    </w:p>
    <w:p>
      <w:pPr>
        <w:spacing w:after="120"/>
      </w:pPr>
      <w:r>
        <w:rPr>
          <w:b/>
          <w:bCs/>
          <w:sz w:val="24"/>
          <w:szCs w:val="24"/>
        </w:rPr>
        <w:t xml:space="preserve">Problem Statement: </w:t>
      </w:r>
    </w:p>
    <w:p>
      <w:pPr>
        <w:spacing w:after="240"/>
        <w:jc w:val="both"/>
      </w:pPr>
      <w:r>
        <w:rPr>
          <w:sz w:val="22"/>
          <w:szCs w:val="22"/>
        </w:rPr>
        <w:t xml:space="preserve">Autonomous AI agents and web automation systems face critical security vulnerabilities including zero-click attacks that execute malicious code without user interaction, model poisoning attempts that compromise AI decision-making, and lack of transparent accountability for automated actions. Current browser extensions lack integrated defenses against these emerging threats. There is an urgent need for an intelligent browser extension that can autonomously perform web tasks while actively defending against zero-click exploits, verifying AI model integrity, and maintaining cryptographically-secured audit trails of all automated operations.</w:t>
      </w:r>
    </w:p>
    <w:p>
      <w:pPr>
        <w:spacing w:before="120" w:after="120"/>
      </w:pPr>
      <w:r>
        <w:rPr>
          <w:b/>
          <w:bCs/>
          <w:sz w:val="24"/>
          <w:szCs w:val="24"/>
        </w:rPr>
        <w:t xml:space="preserve">Objectives: </w:t>
      </w:r>
    </w:p>
    <w:p>
      <w:pPr>
        <w:spacing w:after="80"/>
        <w:jc w:val="both"/>
      </w:pPr>
      <w:r>
        <w:rPr>
          <w:sz w:val="22"/>
          <w:szCs w:val="22"/>
        </w:rPr>
        <w:t xml:space="preserve">To develop an Agentic AI Extension capable of executing user-defined web tasks autonomously using LLM-driven planning and reasoning.</w:t>
      </w:r>
    </w:p>
    <w:p>
      <w:pPr>
        <w:spacing w:after="80"/>
        <w:jc w:val="both"/>
      </w:pPr>
      <w:r>
        <w:rPr>
          <w:sz w:val="22"/>
          <w:szCs w:val="22"/>
        </w:rPr>
        <w:t xml:space="preserve">To implement a Real-Time Zero-Click Attack Detection System that identifies and blocks malicious auto-executing scripts, drive-by downloads, and unauthorized redirections before they execute.</w:t>
      </w:r>
    </w:p>
    <w:p>
      <w:pPr>
        <w:spacing w:after="80"/>
        <w:jc w:val="both"/>
      </w:pPr>
      <w:r>
        <w:rPr>
          <w:sz w:val="22"/>
          <w:szCs w:val="22"/>
        </w:rPr>
        <w:t xml:space="preserve">To design an AI Model Integrity Verification Framework that detects model poisoning attempts and ensures the LLM agent operates with trusted, uncompromised decision-making capabilities.</w:t>
      </w:r>
    </w:p>
    <w:p>
      <w:pPr>
        <w:spacing w:after="80"/>
        <w:jc w:val="both"/>
      </w:pPr>
      <w:r>
        <w:rPr>
          <w:sz w:val="22"/>
          <w:szCs w:val="22"/>
        </w:rPr>
        <w:t xml:space="preserve">To integrate Multi-Layer Security Assessment combining phishing detection, SSL/TLS verification, and domain reputation analysis for comprehensive web threat protection.</w:t>
      </w:r>
    </w:p>
    <w:p>
      <w:pPr>
        <w:spacing w:after="240"/>
        <w:jc w:val="both"/>
      </w:pPr>
      <w:r>
        <w:rPr>
          <w:sz w:val="22"/>
          <w:szCs w:val="22"/>
        </w:rPr>
        <w:t xml:space="preserve">To implement Tamper-Evident Cryptographic Logging that creates immutable, blockchain-inspired audit trails of all automated actions for accountability and forensic analysis.</w:t>
      </w:r>
    </w:p>
    <w:p>
      <w:pPr>
        <w:spacing w:before="120" w:after="120"/>
      </w:pPr>
      <w:r>
        <w:rPr>
          <w:b/>
          <w:bCs/>
          <w:sz w:val="24"/>
          <w:szCs w:val="24"/>
        </w:rPr>
        <w:t xml:space="preserve">Scope of the Project: (Societal Impact / Innovation / Market Analysis):</w:t>
      </w:r>
    </w:p>
    <w:p>
      <w:pPr>
        <w:spacing w:after="80"/>
      </w:pPr>
      <w:r>
        <w:rPr>
          <w:b/>
          <w:bCs/>
          <w:sz w:val="22"/>
          <w:szCs w:val="22"/>
        </w:rPr>
        <w:t xml:space="preserve">Societal Impact:</w:t>
      </w:r>
    </w:p>
    <w:p>
      <w:pPr>
        <w:spacing w:after="180"/>
        <w:jc w:val="both"/>
      </w:pPr>
      <w:r>
        <w:rPr>
          <w:sz w:val="22"/>
          <w:szCs w:val="22"/>
        </w:rPr>
        <w:t xml:space="preserve">AgentGuard protects users from sophisticated cyber threats including zero-click exploits that require no user interaction to compromise systems. It addresses the growing concern of AI model poisoning in autonomous agents, ensuring safe and trustworthy AI-assisted web automation. The extension promotes responsible AI deployment through verifiable, transparent security mechanisms.</w:t>
      </w:r>
    </w:p>
    <w:p>
      <w:pPr>
        <w:spacing w:after="80"/>
      </w:pPr>
      <w:r>
        <w:rPr>
          <w:b/>
          <w:bCs/>
          <w:sz w:val="22"/>
          <w:szCs w:val="22"/>
        </w:rPr>
        <w:t xml:space="preserve">Innovation:</w:t>
      </w:r>
    </w:p>
    <w:p>
      <w:pPr>
        <w:spacing w:after="180"/>
        <w:jc w:val="both"/>
      </w:pPr>
      <w:r>
        <w:rPr>
          <w:sz w:val="22"/>
          <w:szCs w:val="22"/>
        </w:rPr>
        <w:t xml:space="preserve">This project pioneers the integration of zero-click attack detection with AI-powered web automation in a browser extension. Unlike existing security tools that focus on post-click threats, AgentGuard proactively monitors and blocks malicious scripts before execution. The novel AI Model Integrity Verification system ensures the LLM agent itself hasn't been compromised through adversarial inputs or poisoning attacks. The cryptographic audit logging provides blockchain-level transparency without requiring distributed infrastructure, making it lightweight and exhibition-ready.</w:t>
      </w:r>
    </w:p>
    <w:p>
      <w:pPr>
        <w:spacing w:after="80"/>
      </w:pPr>
      <w:r>
        <w:rPr>
          <w:b/>
          <w:bCs/>
          <w:sz w:val="22"/>
          <w:szCs w:val="22"/>
        </w:rPr>
        <w:t xml:space="preserve">Market Relevance:</w:t>
      </w:r>
    </w:p>
    <w:p>
      <w:pPr>
        <w:spacing w:after="240"/>
        <w:jc w:val="both"/>
      </w:pPr>
      <w:r>
        <w:rPr>
          <w:sz w:val="22"/>
          <w:szCs w:val="22"/>
        </w:rPr>
        <w:t xml:space="preserve">With enterprises rapidly adopting AI agents for customer service, e-commerce, and workflow automation, security concerns around autonomous systems are intensifying. Zero-click vulnerabilities cost organizations millions annually, while AI model poisoning is an emerging threat in production ML systems. AgentGuard addresses both through a practical, deployable browser extension that can be demonstrated immediately and scaled to enterprise environments. The project is feasible within the April 2025 timeline and offers tangible exhibition value with real-time threat visualization.</w:t>
      </w:r>
    </w:p>
    <w:p>
      <w:pPr>
        <w:spacing w:before="120" w:after="120"/>
      </w:pPr>
      <w:r>
        <w:rPr>
          <w:b/>
          <w:bCs/>
          <w:sz w:val="24"/>
          <w:szCs w:val="24"/>
        </w:rPr>
        <w:t xml:space="preserve">What contribution to the society, would the project make?</w:t>
      </w:r>
    </w:p>
    <w:p>
      <w:pPr>
        <w:spacing w:after="80"/>
        <w:jc w:val="both"/>
      </w:pPr>
      <w:r>
        <w:rPr>
          <w:sz w:val="22"/>
          <w:szCs w:val="22"/>
        </w:rPr>
        <w:t xml:space="preserve">Protects Against Zero-Click Threats: Defends users from sophisticated attacks that execute without any user interaction, preventing drive-by downloads, auto-redirections, and malicious script execution.</w:t>
      </w:r>
    </w:p>
    <w:p>
      <w:pPr>
        <w:spacing w:after="80"/>
        <w:jc w:val="both"/>
      </w:pPr>
      <w:r>
        <w:rPr>
          <w:sz w:val="22"/>
          <w:szCs w:val="22"/>
        </w:rPr>
        <w:t xml:space="preserve">Ensures AI Model Trustworthiness: Detects and prevents model poisoning attempts that could compromise AI decision-making, maintaining integrity of autonomous agents.</w:t>
      </w:r>
    </w:p>
    <w:p>
      <w:pPr>
        <w:spacing w:after="80"/>
        <w:jc w:val="both"/>
      </w:pPr>
      <w:r>
        <w:rPr>
          <w:sz w:val="22"/>
          <w:szCs w:val="22"/>
        </w:rPr>
        <w:t xml:space="preserve">Enhances Digital Safety: Provides multi-layer protection against phishing, fraudulent websites, and SSL/TLS vulnerabilities during automated web operations.</w:t>
      </w:r>
    </w:p>
    <w:p>
      <w:pPr>
        <w:spacing w:after="80"/>
        <w:jc w:val="both"/>
      </w:pPr>
      <w:r>
        <w:rPr>
          <w:sz w:val="22"/>
          <w:szCs w:val="22"/>
        </w:rPr>
        <w:t xml:space="preserve">Promotes Transparent AI Operations: Implements cryptographic audit logs that create verifiable records of all AI agent actions, enabling accountability and forensic analysis.</w:t>
      </w:r>
    </w:p>
    <w:p>
      <w:pPr>
        <w:spacing w:after="80"/>
        <w:jc w:val="both"/>
      </w:pPr>
      <w:r>
        <w:rPr>
          <w:sz w:val="22"/>
          <w:szCs w:val="22"/>
        </w:rPr>
        <w:t xml:space="preserve">Prevents Financial and Data Loss: Reduces risks from credential theft, monetary fraud, and data breaches by performing real-time security verification before automation executes.</w:t>
      </w:r>
    </w:p>
    <w:p>
      <w:pPr>
        <w:spacing w:after="240"/>
        <w:jc w:val="both"/>
      </w:pPr>
      <w:r>
        <w:rPr>
          <w:sz w:val="22"/>
          <w:szCs w:val="22"/>
        </w:rPr>
        <w:t xml:space="preserve">Advances Cybersecurity Research: Contributes novel approaches to zero-click attack detection and AI model integrity verification that can be adapted for future security frameworks and research.</w:t>
      </w:r>
    </w:p>
    <w:p>
      <w:pPr>
        <w:spacing w:before="240" w:after="180"/>
      </w:pPr>
      <w:r>
        <w:rPr>
          <w:b/>
          <w:bCs/>
          <w:sz w:val="24"/>
          <w:szCs w:val="24"/>
        </w:rPr>
        <w:t xml:space="preserve">Hardware &amp;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6"/>
              <w:left w:val="single" w:color="000000" w:sz="6"/>
              <w:bottom w:val="single" w:color="000000" w:sz="6"/>
              <w:right w:val="single" w:color="000000" w:sz="6"/>
            </w:tcBorders>
          </w:tcPr>
          <w:p>
            <w:pPr>
              <w:jc w:val="center"/>
            </w:pPr>
            <w:r>
              <w:rPr>
                <w:b/>
                <w:bCs/>
                <w:sz w:val="22"/>
                <w:szCs w:val="22"/>
              </w:rPr>
              <w:t xml:space="preserve">Category</w:t>
            </w:r>
          </w:p>
        </w:tc>
        <w:tc>
          <w:tcPr>
            <w:tcW w:type="dxa" w:w="6560"/>
            <w:tcBorders>
              <w:top w:val="single" w:color="000000" w:sz="6"/>
              <w:left w:val="single" w:color="000000" w:sz="6"/>
              <w:bottom w:val="single" w:color="000000" w:sz="6"/>
              <w:right w:val="single" w:color="000000" w:sz="6"/>
            </w:tcBorders>
          </w:tcPr>
          <w:p>
            <w:pPr>
              <w:jc w:val="center"/>
            </w:pPr>
            <w:r>
              <w:rPr>
                <w:b/>
                <w:bCs/>
                <w:sz w:val="22"/>
                <w:szCs w:val="22"/>
              </w:rPr>
              <w:t xml:space="preserve">Specification / Tools</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Hardware</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Standard laptop/desktop with Intel i5/i7 or AMD Ryzen 5/7 processor (or Apple M1/M2), minimum 8 GB RAM, 256 GB SSD storage, and stable internet connectivity for API access.</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Operating System</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Windows 10/11 (64-bit), macOS Ventura/Sonoma, or Ubuntu 22.04 LTS or later.</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Programming Languages</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JavaScript (ES6+) for browser extension development, Python 3.10+ for backend security analysis and model verification services.</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Extension Framework</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Chrome Extensions Manifest V3 (cross-compatible with Edge, Brave), WebExtensions API for cross-browser support.</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Security &amp; Detection</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Content Security Policy (CSP) analysis libraries, JavaScript AST parsers for script analysis, VirusTotal API for malware checking, Google Safe Browsing API for phishing detection.</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LLM Integration</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OpenAI GPT-4 API or Anthropic Claude API for task planning, LangChain for agent orchestration, local model fallback using Ollama (Llama 3 or Mistral).</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Cryptography &amp; Logging</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Web Crypto API for hash generation, IndexedDB for local audit log storage, CryptoJS library for SHA-256 hashing and Merkle tree construction.</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Development Tools</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Visual Studio Code, Chrome DevTools for debugging, Webpack or Vite for bundling, Git for version control, Postman for API testing.</w:t>
            </w:r>
          </w:p>
        </w:tc>
      </w:tr>
      <w:tr>
        <w:tc>
          <w:tcPr>
            <w:tcW w:type="dxa" w:w="2800"/>
            <w:tcBorders>
              <w:top w:val="single" w:color="000000" w:sz="6"/>
              <w:left w:val="single" w:color="000000" w:sz="6"/>
              <w:bottom w:val="single" w:color="000000" w:sz="6"/>
              <w:right w:val="single" w:color="000000" w:sz="6"/>
            </w:tcBorders>
          </w:tcPr>
          <w:p>
            <w:r>
              <w:rPr>
                <w:b/>
                <w:bCs/>
                <w:sz w:val="20"/>
                <w:szCs w:val="20"/>
              </w:rPr>
              <w:t xml:space="preserve">Testing &amp; Demonstration</w:t>
            </w:r>
          </w:p>
        </w:tc>
        <w:tc>
          <w:tcPr>
            <w:tcW w:type="dxa" w:w="6560"/>
            <w:tcBorders>
              <w:top w:val="single" w:color="000000" w:sz="6"/>
              <w:left w:val="single" w:color="000000" w:sz="6"/>
              <w:bottom w:val="single" w:color="000000" w:sz="6"/>
              <w:right w:val="single" w:color="000000" w:sz="6"/>
            </w:tcBorders>
          </w:tcPr>
          <w:p>
            <w:pPr>
              <w:jc w:val="both"/>
            </w:pPr>
            <w:r>
              <w:rPr>
                <w:sz w:val="20"/>
                <w:szCs w:val="20"/>
              </w:rPr>
              <w:t xml:space="preserve">Selenium/Playwright for automated testing, custom test websites for zero-click attack simulation, real-time dashboard for exhibition demonstrations using Chart.js or D3.js.</w:t>
            </w:r>
          </w:p>
        </w:tc>
      </w:tr>
    </w:tbl>
    <w:p>
      <w:pPr>
        <w:spacing w:before="480" w:after="120"/>
      </w:pPr>
      <w:r>
        <w:rPr>
          <w:b/>
          <w:bCs/>
          <w:sz w:val="24"/>
          <w:szCs w:val="24"/>
        </w:rPr>
        <w:t xml:space="preserve">Guide Comments:</w:t>
      </w:r>
    </w:p>
    <w:p>
      <w:pPr>
        <w:spacing w:after="240"/>
      </w:pPr>
      <w:r>
        <w:t xml:space="preserve"> </w:t>
      </w:r>
    </w:p>
    <w:p>
      <w:pPr>
        <w:spacing w:after="240"/>
      </w:pPr>
      <w:r>
        <w:t xml:space="preserve"> </w:t>
      </w:r>
    </w:p>
    <w:p>
      <w:pPr>
        <w:spacing w:after="240"/>
      </w:pPr>
      <w:r>
        <w:t xml:space="preserve"> </w:t>
      </w:r>
    </w:p>
    <w:p>
      <w:pPr>
        <w:spacing w:before="360"/>
      </w:pPr>
      <w:r>
        <w:rPr>
          <w:sz w:val="22"/>
          <w:szCs w:val="22"/>
        </w:rPr>
        <w:t xml:space="preserve">Signature of the Guide with date</w:t>
      </w:r>
      <w:r>
        <w:rPr>
          <w:sz w:val="22"/>
          <w:szCs w:val="22"/>
        </w:rPr>
        <w:t xml:space="preserve">                                                        </w:t>
      </w:r>
      <w:r>
        <w:rPr>
          <w:sz w:val="22"/>
          <w:szCs w:val="22"/>
        </w:rPr>
        <w:t xml:space="preserve">Signature of HOD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2026-02-21T16:12:44.161Z</dcterms:created>
  <dcterms:modified xsi:type="dcterms:W3CDTF">2026-02-21T16:12:44.162Z</dcterms:modified>
</cp:coreProperties>
</file>

<file path=docProps/custom.xml><?xml version="1.0" encoding="utf-8"?>
<Properties xmlns="http://schemas.openxmlformats.org/officeDocument/2006/custom-properties" xmlns:vt="http://schemas.openxmlformats.org/officeDocument/2006/docPropsVTypes"/>
</file>