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before="400" w:line="360"/>
        <w:jc w:val="center"/>
      </w:pPr>
      <w:r>
        <w:t xml:space="preserve">HEALTHCARE KNOWLEDGE GARDEN</w:t>
      </w:r>
    </w:p>
    <w:p>
      <w:pPr>
        <w:spacing w:after="400" w:before="0" w:line="300"/>
        <w:jc w:val="center"/>
      </w:pPr>
      <w:r>
        <w:t xml:space="preserve">The Operating System for the $12 Trillion Global Healthcare Ecosystem</w:t>
      </w:r>
    </w:p>
    <w:p>
      <w:pPr>
        <w:spacing w:before="400"/>
      </w:pPr>
    </w:p>
    <w:p>
      <w:pPr>
        <w:spacing w:after="40" w:before="0"/>
        <w:jc w:val="center"/>
      </w:pPr>
      <w:r>
        <w:t xml:space="preserve">Investor Briefing — April 2026</w:t>
      </w:r>
    </w:p>
    <w:p>
      <w:pPr>
        <w:spacing w:after="600" w:before="0"/>
        <w:jc w:val="center"/>
      </w:pPr>
      <w:r>
        <w:t xml:space="preserve">Confidential</w:t>
      </w:r>
    </w:p>
    <w:p>
      <w:pPr>
        <w:spacing w:before="600"/>
      </w:pPr>
    </w:p>
    <w:p>
      <w:pPr>
        <w:spacing w:after="60" w:before="0"/>
        <w:jc w:val="center"/>
      </w:pPr>
      <w:r>
        <w:t xml:space="preserve">Charles 'Chilly' Dahlgren</w:t>
      </w:r>
    </w:p>
    <w:p>
      <w:pPr>
        <w:spacing w:after="120" w:before="0"/>
        <w:jc w:val="center"/>
      </w:pPr>
      <w:r>
        <w:t xml:space="preserve">Co-Founder &amp; CTO</w:t>
      </w:r>
    </w:p>
    <w:p>
      <w:pPr>
        <w:spacing w:after="60" w:before="0"/>
        <w:jc w:val="center"/>
      </w:pPr>
      <w:r>
        <w:t xml:space="preserve">John Bou</w:t>
      </w:r>
    </w:p>
    <w:p>
      <w:pPr>
        <w:spacing w:after="600" w:before="0"/>
        <w:jc w:val="center"/>
      </w:pPr>
      <w:r>
        <w:t xml:space="preserve">Co-Founder &amp; CEO</w:t>
      </w:r>
    </w:p>
    <w:p>
      <w:pPr>
        <w:spacing w:before="600"/>
      </w:pPr>
    </w:p>
    <w:p>
      <w:pPr>
        <w:spacing w:after="40" w:before="0"/>
        <w:jc w:val="center"/>
      </w:pPr>
      <w:r>
        <w:t xml:space="preserve">The Knowledge Gardens</w:t>
      </w:r>
    </w:p>
    <w:p>
      <w:pPr>
        <w:spacing w:after="0" w:before="0"/>
        <w:jc w:val="center"/>
      </w:pPr>
      <w:r>
        <w:t xml:space="preserve">XRWorkers</w:t>
      </w:r>
    </w:p>
    <w:r>
      <w:br w:type="page"/>
    </w:r>
    <w:p>
      <w:pPr>
        <w:pStyle w:val="Heading1"/>
        <w:pStyle w:val="Heading1"/>
        <w:spacing w:after="120" w:before="240" w:line="360"/>
        <w:jc w:val="left"/>
      </w:pPr>
      <w:r>
        <w:t xml:space="preserve">Table of Contents</w:t>
      </w:r>
    </w:p>
    <w:p>
      <w:pPr>
        <w:pStyle w:val="ListParagraph"/>
        <w:numPr>
          <w:ilvl w:val="0"/>
          <w:numId w:val="1"/>
        </w:numPr>
        <w:spacing w:after="60" w:before="60" w:line="240"/>
      </w:pPr>
      <w:r>
        <w:t xml:space="preserve">Executive Summary</w:t>
      </w:r>
    </w:p>
    <w:p>
      <w:pPr>
        <w:pStyle w:val="ListParagraph"/>
        <w:numPr>
          <w:ilvl w:val="0"/>
          <w:numId w:val="1"/>
        </w:numPr>
        <w:spacing w:after="60" w:before="60" w:line="240"/>
      </w:pPr>
      <w:r>
        <w:t xml:space="preserve">The Problem</w:t>
      </w:r>
    </w:p>
    <w:p>
      <w:pPr>
        <w:pStyle w:val="ListParagraph"/>
        <w:numPr>
          <w:ilvl w:val="0"/>
          <w:numId w:val="1"/>
        </w:numPr>
        <w:spacing w:after="60" w:before="60" w:line="240"/>
      </w:pPr>
      <w:r>
        <w:t xml:space="preserve">The Solution — Four Lanes, One Brain</w:t>
      </w:r>
    </w:p>
    <w:p>
      <w:pPr>
        <w:pStyle w:val="ListParagraph"/>
        <w:numPr>
          <w:ilvl w:val="0"/>
          <w:numId w:val="1"/>
        </w:numPr>
        <w:spacing w:after="60" w:before="60" w:line="240"/>
      </w:pPr>
      <w:r>
        <w:t xml:space="preserve">Market Opportunity</w:t>
      </w:r>
    </w:p>
    <w:p>
      <w:pPr>
        <w:pStyle w:val="ListParagraph"/>
        <w:numPr>
          <w:ilvl w:val="0"/>
          <w:numId w:val="1"/>
        </w:numPr>
        <w:spacing w:after="60" w:before="60" w:line="240"/>
      </w:pPr>
      <w:r>
        <w:t xml:space="preserve">Business Model &amp; Revenue</w:t>
      </w:r>
    </w:p>
    <w:p>
      <w:pPr>
        <w:pStyle w:val="ListParagraph"/>
        <w:numPr>
          <w:ilvl w:val="0"/>
          <w:numId w:val="1"/>
        </w:numPr>
        <w:spacing w:after="60" w:before="60" w:line="240"/>
      </w:pPr>
      <w:r>
        <w:t xml:space="preserve">Traction &amp; Product</w:t>
      </w:r>
    </w:p>
    <w:p>
      <w:pPr>
        <w:pStyle w:val="ListParagraph"/>
        <w:numPr>
          <w:ilvl w:val="0"/>
          <w:numId w:val="1"/>
        </w:numPr>
        <w:spacing w:after="60" w:before="60" w:line="240"/>
      </w:pPr>
      <w:r>
        <w:t xml:space="preserve">Technology &amp; Architecture</w:t>
      </w:r>
    </w:p>
    <w:p>
      <w:pPr>
        <w:pStyle w:val="ListParagraph"/>
        <w:numPr>
          <w:ilvl w:val="0"/>
          <w:numId w:val="1"/>
        </w:numPr>
        <w:spacing w:after="60" w:before="60" w:line="240"/>
      </w:pPr>
      <w:r>
        <w:t xml:space="preserve">Competitive Landscape</w:t>
      </w:r>
    </w:p>
    <w:p>
      <w:pPr>
        <w:pStyle w:val="ListParagraph"/>
        <w:numPr>
          <w:ilvl w:val="0"/>
          <w:numId w:val="1"/>
        </w:numPr>
        <w:spacing w:after="60" w:before="60" w:line="240"/>
      </w:pPr>
      <w:r>
        <w:t xml:space="preserve">The Platform Pattern</w:t>
      </w:r>
    </w:p>
    <w:p>
      <w:pPr>
        <w:pStyle w:val="ListParagraph"/>
        <w:numPr>
          <w:ilvl w:val="0"/>
          <w:numId w:val="1"/>
        </w:numPr>
        <w:spacing w:after="60" w:before="60" w:line="240"/>
      </w:pPr>
      <w:r>
        <w:t xml:space="preserve">Go-to-Market</w:t>
      </w:r>
    </w:p>
    <w:p>
      <w:pPr>
        <w:pStyle w:val="ListParagraph"/>
        <w:numPr>
          <w:ilvl w:val="0"/>
          <w:numId w:val="1"/>
        </w:numPr>
        <w:spacing w:after="60" w:before="60" w:line="240"/>
      </w:pPr>
      <w:r>
        <w:t xml:space="preserve">The Team</w:t>
      </w:r>
    </w:p>
    <w:p>
      <w:pPr>
        <w:pStyle w:val="ListParagraph"/>
        <w:numPr>
          <w:ilvl w:val="0"/>
          <w:numId w:val="1"/>
        </w:numPr>
        <w:spacing w:after="60" w:before="60" w:line="240"/>
      </w:pPr>
      <w:r>
        <w:t xml:space="preserve">Financial Projections</w:t>
      </w:r>
    </w:p>
    <w:p>
      <w:pPr>
        <w:pStyle w:val="ListParagraph"/>
        <w:numPr>
          <w:ilvl w:val="0"/>
          <w:numId w:val="1"/>
        </w:numPr>
        <w:spacing w:after="60" w:before="60" w:line="240"/>
      </w:pPr>
      <w:r>
        <w:t xml:space="preserve">The Ask</w:t>
      </w:r>
    </w:p>
    <w:p>
      <w:pPr>
        <w:pStyle w:val="ListParagraph"/>
        <w:numPr>
          <w:ilvl w:val="0"/>
          <w:numId w:val="1"/>
        </w:numPr>
        <w:spacing w:after="60" w:before="60" w:line="240"/>
      </w:pPr>
      <w:r>
        <w:t xml:space="preserve">The Path to $1 Trillion</w:t>
      </w:r>
    </w:p>
    <w:r>
      <w:br w:type="page"/>
    </w:r>
    <w:p>
      <w:pPr>
        <w:pStyle w:val="Heading1"/>
        <w:pStyle w:val="Heading1"/>
        <w:spacing w:after="120" w:before="240" w:line="360"/>
        <w:jc w:val="left"/>
      </w:pPr>
      <w:r>
        <w:t xml:space="preserve">1. Executive Summary</w:t>
      </w:r>
    </w:p>
    <w:p>
      <w:pPr>
        <w:spacing w:after="120" w:before="0" w:line="240"/>
        <w:jc w:val="left"/>
      </w:pPr>
      <w:r>
        <w:t xml:space="preserve">The Healthcare Knowledge Garden is an AI-native operating system connecting every participant in the $12 trillion global healthcare ecosystem through a unified knowledge graph. Four lanes serve administrators, clinicians, patients, and AI agents. Built on proven architecture deployed across two prior verticals (construction $17 trillion, botanical $100 billion+). 12.1 million+ records from 13 federal sources already loaded and live at health.theknowledgegardens.com.</w:t>
      </w:r>
    </w:p>
    <w:p>
      <w:pPr>
        <w:spacing w:after="120" w:before="0" w:line="240"/>
        <w:jc w:val="left"/>
      </w:pPr>
      <w:r>
        <w:t xml:space="preserve">Key metrics: 9.4 million providers (full NPI registry), 140,000 adverse events, 98,000 diagnosis codes, 83,000 drug codes, 34,000 clinical trials, 60,000 PubMed citations. Provider Verification Engine and Drug Interaction Checker live. Machine Lane (llms.txt, JSON-LD) deployed.</w:t>
      </w:r>
    </w:p>
    <w:p>
      <w:pPr>
        <w:spacing w:after="120" w:before="0" w:line="240"/>
        <w:jc w:val="left"/>
      </w:pPr>
      <w:r>
        <w:t xml:space="preserve">Seeking $5–8 million seed at $25–40 million post-money valuation.</w:t>
      </w:r>
    </w:p>
    <w:r>
      <w:br w:type="page"/>
    </w:r>
    <w:p>
      <w:pPr>
        <w:pStyle w:val="Heading1"/>
        <w:pStyle w:val="Heading1"/>
        <w:spacing w:after="120" w:before="240" w:line="360"/>
        <w:jc w:val="left"/>
      </w:pPr>
      <w:r>
        <w:t xml:space="preserve">2. The Problem</w:t>
      </w:r>
    </w:p>
    <w:p>
      <w:pPr>
        <w:pStyle w:val="Heading2"/>
        <w:pStyle w:val="Heading2"/>
        <w:spacing w:after="100" w:before="180" w:line="360"/>
        <w:jc w:val="left"/>
      </w:pPr>
      <w:r>
        <w:t xml:space="preserve">The 9-Month Nightmare</w:t>
      </w:r>
    </w:p>
    <w:p>
      <w:pPr>
        <w:spacing w:after="120" w:before="0" w:line="240"/>
        <w:jc w:val="left"/>
      </w:pPr>
      <w:r>
        <w:t xml:space="preserve">Hospital credentialing takes 120+ days using Excel spreadsheets and fragmented databases.</w:t>
      </w:r>
    </w:p>
    <w:p>
      <w:pPr>
        <w:pStyle w:val="Heading2"/>
        <w:pStyle w:val="Heading2"/>
        <w:spacing w:after="100" w:before="180" w:line="360"/>
        <w:jc w:val="left"/>
      </w:pPr>
      <w:r>
        <w:t xml:space="preserve">The ChatGPT Liability Trap</w:t>
      </w:r>
    </w:p>
    <w:p>
      <w:pPr>
        <w:spacing w:after="120" w:before="0" w:line="240"/>
        <w:jc w:val="left"/>
      </w:pPr>
      <w:r>
        <w:t xml:space="preserve">Doctors risk malpractice using unverified LLMs during patient appointments.</w:t>
      </w:r>
    </w:p>
    <w:p>
      <w:pPr>
        <w:pStyle w:val="Heading2"/>
        <w:pStyle w:val="Heading2"/>
        <w:spacing w:after="100" w:before="180" w:line="360"/>
        <w:jc w:val="left"/>
      </w:pPr>
      <w:r>
        <w:t xml:space="preserve">The Non-Human Data Void</w:t>
      </w:r>
    </w:p>
    <w:p>
      <w:pPr>
        <w:spacing w:after="120" w:before="0" w:line="240"/>
        <w:jc w:val="left"/>
      </w:pPr>
      <w:r>
        <w:t xml:space="preserve">AI agents lack a legally defensible, structured data layer for medical knowledge.</w:t>
      </w:r>
    </w:p>
    <w:p>
      <w:pPr>
        <w:pStyle w:val="Heading2"/>
        <w:pStyle w:val="Heading2"/>
        <w:spacing w:after="100" w:before="180" w:line="360"/>
        <w:jc w:val="left"/>
      </w:pPr>
      <w:r>
        <w:t xml:space="preserve">The Fragmentation Reality</w:t>
      </w:r>
    </w:p>
    <w:p>
      <w:pPr>
        <w:spacing w:after="120" w:before="0" w:line="240"/>
        <w:jc w:val="left"/>
      </w:pPr>
      <w:r>
        <w:t xml:space="preserve">$12 trillion industry running on a fragmented toolbelt: disparate EHRs, legacy credentialing systems, unlinked clinical databases, no native integration for AI agents.</w:t>
      </w:r>
    </w:p>
    <w:r>
      <w:br w:type="page"/>
    </w:r>
    <w:p>
      <w:pPr>
        <w:pStyle w:val="Heading1"/>
        <w:pStyle w:val="Heading1"/>
        <w:spacing w:after="120" w:before="240" w:line="360"/>
        <w:jc w:val="left"/>
      </w:pPr>
      <w:r>
        <w:t xml:space="preserve">3. The Solution — Four Lanes, One Brain</w:t>
      </w:r>
    </w:p>
    <w:p>
      <w:pPr>
        <w:pStyle w:val="Heading2"/>
        <w:pStyle w:val="Heading2"/>
        <w:spacing w:after="100" w:before="180" w:line="360"/>
        <w:jc w:val="left"/>
      </w:pPr>
      <w:r>
        <w:t xml:space="preserve">Administrator Lane (Red Surface)</w:t>
      </w:r>
    </w:p>
    <w:p>
      <w:pPr>
        <w:spacing w:after="120" w:before="0" w:line="240"/>
        <w:jc w:val="left"/>
      </w:pPr>
      <w:r>
        <w:t xml:space="preserve">Credentialing verification engine. Input NPI → instant cross-reference against OIG exclusions, state medical boards, DEA registrations, Medicare sanctions. Eliminates 90% of credentialing friction. Real-time 6-table verification with audit trail.</w:t>
      </w:r>
    </w:p>
    <w:p>
      <w:pPr>
        <w:pStyle w:val="Heading2"/>
        <w:pStyle w:val="Heading2"/>
        <w:spacing w:after="100" w:before="180" w:line="360"/>
        <w:jc w:val="left"/>
      </w:pPr>
      <w:r>
        <w:t xml:space="preserve">Doctor Lane (Green Surface)</w:t>
      </w:r>
    </w:p>
    <w:p>
      <w:pPr>
        <w:spacing w:after="120" w:before="0" w:line="240"/>
        <w:jc w:val="left"/>
      </w:pPr>
      <w:r>
        <w:t xml:space="preserve">3-Point Verification Shield. Every clinical claim cross-checked against (1) peer-reviewed literature via PubMed, (2) clinical practice guidelines, (3) regulatory/FDA databases. Life-extending knowledge physicians can trust during patient appointments.</w:t>
      </w:r>
    </w:p>
    <w:p>
      <w:pPr>
        <w:pStyle w:val="Heading2"/>
        <w:pStyle w:val="Heading2"/>
        <w:spacing w:after="100" w:before="180" w:line="360"/>
        <w:jc w:val="left"/>
      </w:pPr>
      <w:r>
        <w:t xml:space="preserve">Patient Lane (Gold Surface)</w:t>
      </w:r>
    </w:p>
    <w:p>
      <w:pPr>
        <w:spacing w:after="120" w:before="0" w:line="240"/>
        <w:jc w:val="left"/>
      </w:pPr>
      <w:r>
        <w:t xml:space="preserve">The Gravity Well. Free drug interaction checker, provider search, condition explorer, clinical trial finder. Democratizing access to biotech protocols, longevity science, and evidence-based medicine. Free tier pulls the entire ecosystem in.</w:t>
      </w:r>
    </w:p>
    <w:p>
      <w:pPr>
        <w:pStyle w:val="Heading2"/>
        <w:pStyle w:val="Heading2"/>
        <w:spacing w:after="100" w:before="180" w:line="360"/>
        <w:jc w:val="left"/>
      </w:pPr>
      <w:r>
        <w:t xml:space="preserve">Machine Lane (Purple Surface)</w:t>
      </w:r>
    </w:p>
    <w:p>
      <w:pPr>
        <w:spacing w:after="120" w:before="0" w:line="240"/>
        <w:jc w:val="left"/>
      </w:pPr>
      <w:r>
        <w:t xml:space="preserve">MCP server + llms.txt + JSON-LD. The "USB-C for AI." Every AI agent on Earth can natively query and cite HKG data. Recursive Self-Improvement (RSI) heartbeat ensures daily auto-ingestion of latest knowledge from 13 federal sources.</w:t>
      </w:r>
    </w:p>
    <w:r>
      <w:br w:type="page"/>
    </w:r>
    <w:p>
      <w:pPr>
        <w:pStyle w:val="Heading1"/>
        <w:pStyle w:val="Heading1"/>
        <w:spacing w:after="120" w:before="240" w:line="360"/>
        <w:jc w:val="left"/>
      </w:pPr>
      <w:r>
        <w:t xml:space="preserve">4. Market Opportunity</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tblGrid>
      <w:tr>
        <w:tc>
          <w:tcPr>
            <w:shd w:color="E7E6E6" w:val="clear"/>
            <w:tcMar>
              <w:top w:type="dxa" w:w="80"/>
              <w:left w:type="dxa" w:w="80"/>
              <w:bottom w:type="dxa" w:w="80"/>
              <w:right w:type="dxa" w:w="80"/>
            </w:tcMar>
            <w:vAlign w:val="center"/>
          </w:tcPr>
          <w:p>
            <w:pPr>
              <w:jc w:val="center"/>
            </w:pPr>
            <w:r>
              <w:t xml:space="preserve">Market Segment</w:t>
            </w:r>
          </w:p>
        </w:tc>
        <w:tc>
          <w:tcPr>
            <w:shd w:color="E7E6E6" w:val="clear"/>
            <w:tcMar>
              <w:top w:type="dxa" w:w="80"/>
              <w:left w:type="dxa" w:w="80"/>
              <w:bottom w:type="dxa" w:w="80"/>
              <w:right w:type="dxa" w:w="80"/>
            </w:tcMar>
            <w:vAlign w:val="center"/>
          </w:tcPr>
          <w:p>
            <w:pPr>
              <w:jc w:val="center"/>
            </w:pPr>
            <w:r>
              <w:t xml:space="preserve">Total Addressable Market</w:t>
            </w:r>
          </w:p>
        </w:tc>
        <w:tc>
          <w:tcPr>
            <w:shd w:color="E7E6E6" w:val="clear"/>
            <w:tcMar>
              <w:top w:type="dxa" w:w="80"/>
              <w:left w:type="dxa" w:w="80"/>
              <w:bottom w:type="dxa" w:w="80"/>
              <w:right w:type="dxa" w:w="80"/>
            </w:tcMar>
            <w:vAlign w:val="center"/>
          </w:tcPr>
          <w:p>
            <w:pPr>
              <w:jc w:val="center"/>
            </w:pPr>
            <w:r>
              <w:t xml:space="preserve">Growth Rate</w:t>
            </w:r>
          </w:p>
        </w:tc>
      </w:tr>
      <w:tr>
        <w:tc>
          <w:tcPr>
            <w:tcMar>
              <w:top w:type="dxa" w:w="80"/>
              <w:left w:type="dxa" w:w="80"/>
              <w:bottom w:type="dxa" w:w="80"/>
              <w:right w:type="dxa" w:w="80"/>
            </w:tcMar>
            <w:vAlign w:val="center"/>
          </w:tcPr>
          <w:p>
            <w:pPr>
              <w:jc w:val="center"/>
            </w:pPr>
            <w:r>
              <w:t xml:space="preserve">US Healthcare Spending (annual)</w:t>
            </w:r>
          </w:p>
        </w:tc>
        <w:tc>
          <w:tcPr>
            <w:tcMar>
              <w:top w:type="dxa" w:w="80"/>
              <w:left w:type="dxa" w:w="80"/>
              <w:bottom w:type="dxa" w:w="80"/>
              <w:right w:type="dxa" w:w="80"/>
            </w:tcMar>
            <w:vAlign w:val="center"/>
          </w:tcPr>
          <w:p>
            <w:pPr>
              <w:jc w:val="center"/>
            </w:pPr>
            <w:r>
              <w:t xml:space="preserve">$4.5 trillion</w:t>
            </w:r>
          </w:p>
        </w:tc>
        <w:tc>
          <w:tcPr>
            <w:tcMar>
              <w:top w:type="dxa" w:w="80"/>
              <w:left w:type="dxa" w:w="80"/>
              <w:bottom w:type="dxa" w:w="80"/>
              <w:right w:type="dxa" w:w="80"/>
            </w:tcMar>
            <w:vAlign w:val="center"/>
          </w:tcPr>
          <w:p>
            <w:pPr>
              <w:jc w:val="center"/>
            </w:pPr>
            <w:r>
              <w:t xml:space="preserve">3–5% CAGR</w:t>
            </w:r>
          </w:p>
        </w:tc>
      </w:tr>
      <w:tr>
        <w:tc>
          <w:tcPr>
            <w:tcMar>
              <w:top w:type="dxa" w:w="80"/>
              <w:left w:type="dxa" w:w="80"/>
              <w:bottom w:type="dxa" w:w="80"/>
              <w:right w:type="dxa" w:w="80"/>
            </w:tcMar>
            <w:vAlign w:val="center"/>
          </w:tcPr>
          <w:p>
            <w:pPr>
              <w:jc w:val="center"/>
            </w:pPr>
            <w:r>
              <w:t xml:space="preserve">Global Healthcare Spending</w:t>
            </w:r>
          </w:p>
        </w:tc>
        <w:tc>
          <w:tcPr>
            <w:tcMar>
              <w:top w:type="dxa" w:w="80"/>
              <w:left w:type="dxa" w:w="80"/>
              <w:bottom w:type="dxa" w:w="80"/>
              <w:right w:type="dxa" w:w="80"/>
            </w:tcMar>
            <w:vAlign w:val="center"/>
          </w:tcPr>
          <w:p>
            <w:pPr>
              <w:jc w:val="center"/>
            </w:pPr>
            <w:r>
              <w:t xml:space="preserve">$12+ trillion</w:t>
            </w:r>
          </w:p>
        </w:tc>
        <w:tc>
          <w:tcPr>
            <w:tcMar>
              <w:top w:type="dxa" w:w="80"/>
              <w:left w:type="dxa" w:w="80"/>
              <w:bottom w:type="dxa" w:w="80"/>
              <w:right w:type="dxa" w:w="80"/>
            </w:tcMar>
            <w:vAlign w:val="center"/>
          </w:tcPr>
          <w:p>
            <w:pPr>
              <w:jc w:val="center"/>
            </w:pPr>
            <w:r>
              <w:t xml:space="preserve">5–7% CAGR</w:t>
            </w:r>
          </w:p>
        </w:tc>
      </w:tr>
      <w:tr>
        <w:tc>
          <w:tcPr>
            <w:tcMar>
              <w:top w:type="dxa" w:w="80"/>
              <w:left w:type="dxa" w:w="80"/>
              <w:bottom w:type="dxa" w:w="80"/>
              <w:right w:type="dxa" w:w="80"/>
            </w:tcMar>
            <w:vAlign w:val="center"/>
          </w:tcPr>
          <w:p>
            <w:pPr>
              <w:jc w:val="center"/>
            </w:pPr>
            <w:r>
              <w:t xml:space="preserve">Healthcare Credentialing Market</w:t>
            </w:r>
          </w:p>
        </w:tc>
        <w:tc>
          <w:tcPr>
            <w:tcMar>
              <w:top w:type="dxa" w:w="80"/>
              <w:left w:type="dxa" w:w="80"/>
              <w:bottom w:type="dxa" w:w="80"/>
              <w:right w:type="dxa" w:w="80"/>
            </w:tcMar>
            <w:vAlign w:val="center"/>
          </w:tcPr>
          <w:p>
            <w:pPr>
              <w:jc w:val="center"/>
            </w:pPr>
            <w:r>
              <w:t xml:space="preserve">$2.3 billion</w:t>
            </w:r>
          </w:p>
        </w:tc>
        <w:tc>
          <w:tcPr>
            <w:tcMar>
              <w:top w:type="dxa" w:w="80"/>
              <w:left w:type="dxa" w:w="80"/>
              <w:bottom w:type="dxa" w:w="80"/>
              <w:right w:type="dxa" w:w="80"/>
            </w:tcMar>
            <w:vAlign w:val="center"/>
          </w:tcPr>
          <w:p>
            <w:pPr>
              <w:jc w:val="center"/>
            </w:pPr>
            <w:r>
              <w:t xml:space="preserve">8–10% CAGR</w:t>
            </w:r>
          </w:p>
        </w:tc>
      </w:tr>
      <w:tr>
        <w:tc>
          <w:tcPr>
            <w:tcMar>
              <w:top w:type="dxa" w:w="80"/>
              <w:left w:type="dxa" w:w="80"/>
              <w:bottom w:type="dxa" w:w="80"/>
              <w:right w:type="dxa" w:w="80"/>
            </w:tcMar>
            <w:vAlign w:val="center"/>
          </w:tcPr>
          <w:p>
            <w:pPr>
              <w:jc w:val="center"/>
            </w:pPr>
            <w:r>
              <w:t xml:space="preserve">Clinical Decision Support</w:t>
            </w:r>
          </w:p>
        </w:tc>
        <w:tc>
          <w:tcPr>
            <w:tcMar>
              <w:top w:type="dxa" w:w="80"/>
              <w:left w:type="dxa" w:w="80"/>
              <w:bottom w:type="dxa" w:w="80"/>
              <w:right w:type="dxa" w:w="80"/>
            </w:tcMar>
            <w:vAlign w:val="center"/>
          </w:tcPr>
          <w:p>
            <w:pPr>
              <w:jc w:val="center"/>
            </w:pPr>
            <w:r>
              <w:t xml:space="preserve">$1.8 billion</w:t>
            </w:r>
          </w:p>
        </w:tc>
        <w:tc>
          <w:tcPr>
            <w:tcMar>
              <w:top w:type="dxa" w:w="80"/>
              <w:left w:type="dxa" w:w="80"/>
              <w:bottom w:type="dxa" w:w="80"/>
              <w:right w:type="dxa" w:w="80"/>
            </w:tcMar>
            <w:vAlign w:val="center"/>
          </w:tcPr>
          <w:p>
            <w:pPr>
              <w:jc w:val="center"/>
            </w:pPr>
            <w:r>
              <w:t xml:space="preserve">12–15% CAGR</w:t>
            </w:r>
          </w:p>
        </w:tc>
      </w:tr>
      <w:tr>
        <w:tc>
          <w:tcPr>
            <w:tcMar>
              <w:top w:type="dxa" w:w="80"/>
              <w:left w:type="dxa" w:w="80"/>
              <w:bottom w:type="dxa" w:w="80"/>
              <w:right w:type="dxa" w:w="80"/>
            </w:tcMar>
            <w:vAlign w:val="center"/>
          </w:tcPr>
          <w:p>
            <w:pPr>
              <w:jc w:val="center"/>
            </w:pPr>
            <w:r>
              <w:t xml:space="preserve">Healthcare AI (projected 2030)</w:t>
            </w:r>
          </w:p>
        </w:tc>
        <w:tc>
          <w:tcPr>
            <w:tcMar>
              <w:top w:type="dxa" w:w="80"/>
              <w:left w:type="dxa" w:w="80"/>
              <w:bottom w:type="dxa" w:w="80"/>
              <w:right w:type="dxa" w:w="80"/>
            </w:tcMar>
            <w:vAlign w:val="center"/>
          </w:tcPr>
          <w:p>
            <w:pPr>
              <w:jc w:val="center"/>
            </w:pPr>
            <w:r>
              <w:t xml:space="preserve">$45 billion</w:t>
            </w:r>
          </w:p>
        </w:tc>
        <w:tc>
          <w:tcPr>
            <w:tcMar>
              <w:top w:type="dxa" w:w="80"/>
              <w:left w:type="dxa" w:w="80"/>
              <w:bottom w:type="dxa" w:w="80"/>
              <w:right w:type="dxa" w:w="80"/>
            </w:tcMar>
            <w:vAlign w:val="center"/>
          </w:tcPr>
          <w:p>
            <w:pPr>
              <w:jc w:val="center"/>
            </w:pPr>
            <w:r>
              <w:t xml:space="preserve">25%+ CAGR</w:t>
            </w:r>
          </w:p>
        </w:tc>
      </w:tr>
      <w:tr>
        <w:tc>
          <w:tcPr>
            <w:tcMar>
              <w:top w:type="dxa" w:w="80"/>
              <w:left w:type="dxa" w:w="80"/>
              <w:bottom w:type="dxa" w:w="80"/>
              <w:right w:type="dxa" w:w="80"/>
            </w:tcMar>
            <w:vAlign w:val="center"/>
          </w:tcPr>
          <w:p>
            <w:pPr>
              <w:jc w:val="center"/>
            </w:pPr>
            <w:r>
              <w:t xml:space="preserve">Healthcare IT Market</w:t>
            </w:r>
          </w:p>
        </w:tc>
        <w:tc>
          <w:tcPr>
            <w:tcMar>
              <w:top w:type="dxa" w:w="80"/>
              <w:left w:type="dxa" w:w="80"/>
              <w:bottom w:type="dxa" w:w="80"/>
              <w:right w:type="dxa" w:w="80"/>
            </w:tcMar>
            <w:vAlign w:val="center"/>
          </w:tcPr>
          <w:p>
            <w:pPr>
              <w:jc w:val="center"/>
            </w:pPr>
            <w:r>
              <w:t xml:space="preserve">$400+ billion</w:t>
            </w:r>
          </w:p>
        </w:tc>
        <w:tc>
          <w:tcPr>
            <w:tcMar>
              <w:top w:type="dxa" w:w="80"/>
              <w:left w:type="dxa" w:w="80"/>
              <w:bottom w:type="dxa" w:w="80"/>
              <w:right w:type="dxa" w:w="80"/>
            </w:tcMar>
            <w:vAlign w:val="center"/>
          </w:tcPr>
          <w:p>
            <w:pPr>
              <w:jc w:val="center"/>
            </w:pPr>
            <w:r>
              <w:t xml:space="preserve">15% CAGR</w:t>
            </w:r>
          </w:p>
        </w:tc>
      </w:tr>
    </w:tbl>
    <w:p>
      <w:pPr>
        <w:spacing w:after="120" w:before="0" w:line="240"/>
        <w:jc w:val="left"/>
      </w:pPr>
      <w:r>
        <w:t xml:space="preserve">HKG addresses all six segments simultaneously through the unified platform.</w:t>
      </w:r>
    </w:p>
    <w:r>
      <w:br w:type="page"/>
    </w:r>
    <w:p>
      <w:pPr>
        <w:pStyle w:val="Heading1"/>
        <w:pStyle w:val="Heading1"/>
        <w:spacing w:after="120" w:before="240" w:line="360"/>
        <w:jc w:val="left"/>
      </w:pPr>
      <w:r>
        <w:t xml:space="preserve">5. Business Model &amp; Revenue</w:t>
      </w:r>
    </w:p>
    <w:p>
      <w:pPr>
        <w:pStyle w:val="Heading2"/>
        <w:pStyle w:val="Heading2"/>
        <w:spacing w:after="100" w:before="180" w:line="360"/>
        <w:jc w:val="left"/>
      </w:pPr>
      <w:r>
        <w:t xml:space="preserve">Four Revenue Streams</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c>
          <w:tcPr>
            <w:shd w:color="E7E6E6" w:val="clear"/>
            <w:tcMar>
              <w:top w:type="dxa" w:w="80"/>
              <w:left w:type="dxa" w:w="80"/>
              <w:bottom w:type="dxa" w:w="80"/>
              <w:right w:type="dxa" w:w="80"/>
            </w:tcMar>
            <w:vAlign w:val="center"/>
          </w:tcPr>
          <w:p>
            <w:pPr>
              <w:jc w:val="center"/>
            </w:pPr>
            <w:r>
              <w:t xml:space="preserve">Lane</w:t>
            </w:r>
          </w:p>
        </w:tc>
        <w:tc>
          <w:tcPr>
            <w:shd w:color="E7E6E6" w:val="clear"/>
            <w:tcMar>
              <w:top w:type="dxa" w:w="80"/>
              <w:left w:type="dxa" w:w="80"/>
              <w:bottom w:type="dxa" w:w="80"/>
              <w:right w:type="dxa" w:w="80"/>
            </w:tcMar>
            <w:vAlign w:val="center"/>
          </w:tcPr>
          <w:p>
            <w:pPr>
              <w:jc w:val="center"/>
            </w:pPr>
            <w:r>
              <w:t xml:space="preserve">Product</w:t>
            </w:r>
          </w:p>
        </w:tc>
        <w:tc>
          <w:tcPr>
            <w:shd w:color="E7E6E6" w:val="clear"/>
            <w:tcMar>
              <w:top w:type="dxa" w:w="80"/>
              <w:left w:type="dxa" w:w="80"/>
              <w:bottom w:type="dxa" w:w="80"/>
              <w:right w:type="dxa" w:w="80"/>
            </w:tcMar>
            <w:vAlign w:val="center"/>
          </w:tcPr>
          <w:p>
            <w:pPr>
              <w:jc w:val="center"/>
            </w:pPr>
            <w:r>
              <w:t xml:space="preserve">Revenue Model</w:t>
            </w:r>
          </w:p>
        </w:tc>
        <w:tc>
          <w:tcPr>
            <w:shd w:color="E7E6E6" w:val="clear"/>
            <w:tcMar>
              <w:top w:type="dxa" w:w="80"/>
              <w:left w:type="dxa" w:w="80"/>
              <w:bottom w:type="dxa" w:w="80"/>
              <w:right w:type="dxa" w:w="80"/>
            </w:tcMar>
            <w:vAlign w:val="center"/>
          </w:tcPr>
          <w:p>
            <w:pPr>
              <w:jc w:val="center"/>
            </w:pPr>
            <w:r>
              <w:t xml:space="preserve">Target Annual Revenue per Customer</w:t>
            </w:r>
          </w:p>
        </w:tc>
      </w:tr>
      <w:tr>
        <w:tc>
          <w:tcPr>
            <w:tcMar>
              <w:top w:type="dxa" w:w="80"/>
              <w:left w:type="dxa" w:w="80"/>
              <w:bottom w:type="dxa" w:w="80"/>
              <w:right w:type="dxa" w:w="80"/>
            </w:tcMar>
            <w:vAlign w:val="center"/>
          </w:tcPr>
          <w:p>
            <w:pPr>
              <w:jc w:val="center"/>
            </w:pPr>
            <w:r>
              <w:t xml:space="preserve">Admin (Red)</w:t>
            </w:r>
          </w:p>
        </w:tc>
        <w:tc>
          <w:tcPr>
            <w:tcMar>
              <w:top w:type="dxa" w:w="80"/>
              <w:left w:type="dxa" w:w="80"/>
              <w:bottom w:type="dxa" w:w="80"/>
              <w:right w:type="dxa" w:w="80"/>
            </w:tcMar>
            <w:vAlign w:val="center"/>
          </w:tcPr>
          <w:p>
            <w:pPr>
              <w:jc w:val="center"/>
            </w:pPr>
            <w:r>
              <w:t xml:space="preserve">Credentialing Engine</w:t>
            </w:r>
          </w:p>
        </w:tc>
        <w:tc>
          <w:tcPr>
            <w:tcMar>
              <w:top w:type="dxa" w:w="80"/>
              <w:left w:type="dxa" w:w="80"/>
              <w:bottom w:type="dxa" w:w="80"/>
              <w:right w:type="dxa" w:w="80"/>
            </w:tcMar>
            <w:vAlign w:val="center"/>
          </w:tcPr>
          <w:p>
            <w:pPr>
              <w:jc w:val="center"/>
            </w:pPr>
            <w:r>
              <w:t xml:space="preserve">$0.50–$2 per verification + $15–50/provider/mo + enterprise licenses</w:t>
            </w:r>
          </w:p>
        </w:tc>
        <w:tc>
          <w:tcPr>
            <w:tcMar>
              <w:top w:type="dxa" w:w="80"/>
              <w:left w:type="dxa" w:w="80"/>
              <w:bottom w:type="dxa" w:w="80"/>
              <w:right w:type="dxa" w:w="80"/>
            </w:tcMar>
            <w:vAlign w:val="center"/>
          </w:tcPr>
          <w:p>
            <w:pPr>
              <w:jc w:val="center"/>
            </w:pPr>
            <w:r>
              <w:t xml:space="preserve">$50K–$150K/yr</w:t>
            </w:r>
          </w:p>
        </w:tc>
      </w:tr>
      <w:tr>
        <w:tc>
          <w:tcPr>
            <w:tcMar>
              <w:top w:type="dxa" w:w="80"/>
              <w:left w:type="dxa" w:w="80"/>
              <w:bottom w:type="dxa" w:w="80"/>
              <w:right w:type="dxa" w:w="80"/>
            </w:tcMar>
            <w:vAlign w:val="center"/>
          </w:tcPr>
          <w:p>
            <w:pPr>
              <w:jc w:val="center"/>
            </w:pPr>
            <w:r>
              <w:t xml:space="preserve">Doctor (Green)</w:t>
            </w:r>
          </w:p>
        </w:tc>
        <w:tc>
          <w:tcPr>
            <w:tcMar>
              <w:top w:type="dxa" w:w="80"/>
              <w:left w:type="dxa" w:w="80"/>
              <w:bottom w:type="dxa" w:w="80"/>
              <w:right w:type="dxa" w:w="80"/>
            </w:tcMar>
            <w:vAlign w:val="center"/>
          </w:tcPr>
          <w:p>
            <w:pPr>
              <w:jc w:val="center"/>
            </w:pPr>
            <w:r>
              <w:t xml:space="preserve">CME Marketplace + Credential Portfolios</w:t>
            </w:r>
          </w:p>
        </w:tc>
        <w:tc>
          <w:tcPr>
            <w:tcMar>
              <w:top w:type="dxa" w:w="80"/>
              <w:left w:type="dxa" w:w="80"/>
              <w:bottom w:type="dxa" w:w="80"/>
              <w:right w:type="dxa" w:w="80"/>
            </w:tcMar>
            <w:vAlign w:val="center"/>
          </w:tcPr>
          <w:p>
            <w:pPr>
              <w:jc w:val="center"/>
            </w:pPr>
            <w:r>
              <w:t xml:space="preserve">15–25% marketplace take + recruiter fees + premium tier</w:t>
            </w:r>
          </w:p>
        </w:tc>
        <w:tc>
          <w:tcPr>
            <w:tcMar>
              <w:top w:type="dxa" w:w="80"/>
              <w:left w:type="dxa" w:w="80"/>
              <w:bottom w:type="dxa" w:w="80"/>
              <w:right w:type="dxa" w:w="80"/>
            </w:tcMar>
            <w:vAlign w:val="center"/>
          </w:tcPr>
          <w:p>
            <w:pPr>
              <w:jc w:val="center"/>
            </w:pPr>
            <w:r>
              <w:t xml:space="preserve">$20K–$80K/yr</w:t>
            </w:r>
          </w:p>
        </w:tc>
      </w:tr>
      <w:tr>
        <w:tc>
          <w:tcPr>
            <w:tcMar>
              <w:top w:type="dxa" w:w="80"/>
              <w:left w:type="dxa" w:w="80"/>
              <w:bottom w:type="dxa" w:w="80"/>
              <w:right w:type="dxa" w:w="80"/>
            </w:tcMar>
            <w:vAlign w:val="center"/>
          </w:tcPr>
          <w:p>
            <w:pPr>
              <w:jc w:val="center"/>
            </w:pPr>
            <w:r>
              <w:t xml:space="preserve">Patient (Gold)</w:t>
            </w:r>
          </w:p>
        </w:tc>
        <w:tc>
          <w:tcPr>
            <w:tcMar>
              <w:top w:type="dxa" w:w="80"/>
              <w:left w:type="dxa" w:w="80"/>
              <w:bottom w:type="dxa" w:w="80"/>
              <w:right w:type="dxa" w:w="80"/>
            </w:tcMar>
            <w:vAlign w:val="center"/>
          </w:tcPr>
          <w:p>
            <w:pPr>
              <w:jc w:val="center"/>
            </w:pPr>
            <w:r>
              <w:t xml:space="preserve">Free tier → Premium conversion + telehealth partnerships</w:t>
            </w:r>
          </w:p>
        </w:tc>
        <w:tc>
          <w:tcPr>
            <w:tcMar>
              <w:top w:type="dxa" w:w="80"/>
              <w:left w:type="dxa" w:w="80"/>
              <w:bottom w:type="dxa" w:w="80"/>
              <w:right w:type="dxa" w:w="80"/>
            </w:tcMar>
            <w:vAlign w:val="center"/>
          </w:tcPr>
          <w:p>
            <w:pPr>
              <w:jc w:val="center"/>
            </w:pPr>
            <w:r>
              <w:t xml:space="preserve">Freemium conversion (5–10%), partnership revenue share</w:t>
            </w:r>
          </w:p>
        </w:tc>
        <w:tc>
          <w:tcPr>
            <w:tcMar>
              <w:top w:type="dxa" w:w="80"/>
              <w:left w:type="dxa" w:w="80"/>
              <w:bottom w:type="dxa" w:w="80"/>
              <w:right w:type="dxa" w:w="80"/>
            </w:tcMar>
            <w:vAlign w:val="center"/>
          </w:tcPr>
          <w:p>
            <w:pPr>
              <w:jc w:val="center"/>
            </w:pPr>
            <w:r>
              <w:t xml:space="preserve">$2–5M/yr at scale</w:t>
            </w:r>
          </w:p>
        </w:tc>
      </w:tr>
      <w:tr>
        <w:tc>
          <w:tcPr>
            <w:tcMar>
              <w:top w:type="dxa" w:w="80"/>
              <w:left w:type="dxa" w:w="80"/>
              <w:bottom w:type="dxa" w:w="80"/>
              <w:right w:type="dxa" w:w="80"/>
            </w:tcMar>
            <w:vAlign w:val="center"/>
          </w:tcPr>
          <w:p>
            <w:pPr>
              <w:jc w:val="center"/>
            </w:pPr>
            <w:r>
              <w:t xml:space="preserve">Machine (Purple)</w:t>
            </w:r>
          </w:p>
        </w:tc>
        <w:tc>
          <w:tcPr>
            <w:tcMar>
              <w:top w:type="dxa" w:w="80"/>
              <w:left w:type="dxa" w:w="80"/>
              <w:bottom w:type="dxa" w:w="80"/>
              <w:right w:type="dxa" w:w="80"/>
            </w:tcMar>
            <w:vAlign w:val="center"/>
          </w:tcPr>
          <w:p>
            <w:pPr>
              <w:jc w:val="center"/>
            </w:pPr>
            <w:r>
              <w:t xml:space="preserve">MCP API + Enterprise feeds</w:t>
            </w:r>
          </w:p>
        </w:tc>
        <w:tc>
          <w:tcPr>
            <w:tcMar>
              <w:top w:type="dxa" w:w="80"/>
              <w:left w:type="dxa" w:w="80"/>
              <w:bottom w:type="dxa" w:w="80"/>
              <w:right w:type="dxa" w:w="80"/>
            </w:tcMar>
            <w:vAlign w:val="center"/>
          </w:tcPr>
          <w:p>
            <w:pPr>
              <w:jc w:val="center"/>
            </w:pPr>
            <w:r>
              <w:t xml:space="preserve">Tiered API: $99–$2,499/mo + enterprise $50K–$500K/yr</w:t>
            </w:r>
          </w:p>
        </w:tc>
        <w:tc>
          <w:tcPr>
            <w:tcMar>
              <w:top w:type="dxa" w:w="80"/>
              <w:left w:type="dxa" w:w="80"/>
              <w:bottom w:type="dxa" w:w="80"/>
              <w:right w:type="dxa" w:w="80"/>
            </w:tcMar>
            <w:vAlign w:val="center"/>
          </w:tcPr>
          <w:p>
            <w:pPr>
              <w:jc w:val="center"/>
            </w:pPr>
            <w:r>
              <w:t xml:space="preserve">$100K–$500K/yr</w:t>
            </w:r>
          </w:p>
        </w:tc>
      </w:tr>
    </w:tbl>
    <w:p>
      <w:pPr>
        <w:spacing w:after="120" w:before="0" w:line="240"/>
        <w:jc w:val="left"/>
      </w:pPr>
      <w:r>
        <w:t xml:space="preserve">Blended unit economics: Free gravity well (patients) drives Admin/Doctor adoption (providers), which enables high-margin Machine lane (AI agents + enterprises).</w:t>
      </w:r>
    </w:p>
    <w:r>
      <w:br w:type="page"/>
    </w:r>
    <w:p>
      <w:pPr>
        <w:pStyle w:val="Heading1"/>
        <w:pStyle w:val="Heading1"/>
        <w:spacing w:after="120" w:before="240" w:line="360"/>
        <w:jc w:val="left"/>
      </w:pPr>
      <w:r>
        <w:t xml:space="preserve">6. Traction &amp; Product</w:t>
      </w:r>
    </w:p>
    <w:p>
      <w:pPr>
        <w:pStyle w:val="Heading2"/>
        <w:pStyle w:val="Heading2"/>
        <w:spacing w:after="100" w:before="180" w:line="360"/>
        <w:jc w:val="left"/>
      </w:pPr>
      <w:r>
        <w:t xml:space="preserve">Platform Status: LIVE</w:t>
      </w:r>
    </w:p>
    <w:p>
      <w:pPr>
        <w:pStyle w:val="ListParagraph"/>
        <w:numPr>
          <w:ilvl w:val="0"/>
          <w:numId w:val="1"/>
        </w:numPr>
        <w:spacing w:after="60" w:before="60" w:line="240"/>
      </w:pPr>
      <w:r>
        <w:t xml:space="preserve">URL: health.theknowledgegardens.com</w:t>
      </w:r>
    </w:p>
    <w:p>
      <w:pPr>
        <w:pStyle w:val="ListParagraph"/>
        <w:numPr>
          <w:ilvl w:val="0"/>
          <w:numId w:val="1"/>
        </w:numPr>
        <w:spacing w:after="60" w:before="60" w:line="240"/>
      </w:pPr>
      <w:r>
        <w:t xml:space="preserve">Framework: Single-file React 18 app (zero build step)</w:t>
      </w:r>
    </w:p>
    <w:p>
      <w:pPr>
        <w:pStyle w:val="ListParagraph"/>
        <w:numPr>
          <w:ilvl w:val="0"/>
          <w:numId w:val="1"/>
        </w:numPr>
        <w:spacing w:after="60" w:before="60" w:line="240"/>
      </w:pPr>
      <w:r>
        <w:t xml:space="preserve">Backend: Supabase PostgreSQL with 28-table schema</w:t>
      </w:r>
    </w:p>
    <w:p>
      <w:pPr>
        <w:pStyle w:val="Heading2"/>
        <w:pStyle w:val="Heading2"/>
        <w:spacing w:after="100" w:before="180" w:line="360"/>
        <w:jc w:val="left"/>
      </w:pPr>
      <w:r>
        <w:t xml:space="preserve">Data: 12.1M+ Records Loaded</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tblGrid>
      <w:tr>
        <w:tc>
          <w:tcPr>
            <w:shd w:color="E7E6E6" w:val="clear"/>
            <w:tcMar>
              <w:top w:type="dxa" w:w="80"/>
              <w:left w:type="dxa" w:w="80"/>
              <w:bottom w:type="dxa" w:w="80"/>
              <w:right w:type="dxa" w:w="80"/>
            </w:tcMar>
            <w:vAlign w:val="center"/>
          </w:tcPr>
          <w:p>
            <w:pPr>
              <w:jc w:val="center"/>
            </w:pPr>
            <w:r>
              <w:t xml:space="preserve">Data Category</w:t>
            </w:r>
          </w:p>
        </w:tc>
        <w:tc>
          <w:tcPr>
            <w:shd w:color="E7E6E6" w:val="clear"/>
            <w:tcMar>
              <w:top w:type="dxa" w:w="80"/>
              <w:left w:type="dxa" w:w="80"/>
              <w:bottom w:type="dxa" w:w="80"/>
              <w:right w:type="dxa" w:w="80"/>
            </w:tcMar>
            <w:vAlign w:val="center"/>
          </w:tcPr>
          <w:p>
            <w:pPr>
              <w:jc w:val="center"/>
            </w:pPr>
            <w:r>
              <w:t xml:space="preserve">Record Count</w:t>
            </w:r>
          </w:p>
        </w:tc>
        <w:tc>
          <w:tcPr>
            <w:shd w:color="E7E6E6" w:val="clear"/>
            <w:tcMar>
              <w:top w:type="dxa" w:w="80"/>
              <w:left w:type="dxa" w:w="80"/>
              <w:bottom w:type="dxa" w:w="80"/>
              <w:right w:type="dxa" w:w="80"/>
            </w:tcMar>
            <w:vAlign w:val="center"/>
          </w:tcPr>
          <w:p>
            <w:pPr>
              <w:jc w:val="center"/>
            </w:pPr>
            <w:r>
              <w:t xml:space="preserve">Source</w:t>
            </w:r>
          </w:p>
        </w:tc>
      </w:tr>
      <w:tr>
        <w:tc>
          <w:tcPr>
            <w:tcMar>
              <w:top w:type="dxa" w:w="80"/>
              <w:left w:type="dxa" w:w="80"/>
              <w:bottom w:type="dxa" w:w="80"/>
              <w:right w:type="dxa" w:w="80"/>
            </w:tcMar>
            <w:vAlign w:val="center"/>
          </w:tcPr>
          <w:p>
            <w:pPr>
              <w:jc w:val="center"/>
            </w:pPr>
            <w:r>
              <w:t xml:space="preserve">Providers (NPI)</w:t>
            </w:r>
          </w:p>
        </w:tc>
        <w:tc>
          <w:tcPr>
            <w:tcMar>
              <w:top w:type="dxa" w:w="80"/>
              <w:left w:type="dxa" w:w="80"/>
              <w:bottom w:type="dxa" w:w="80"/>
              <w:right w:type="dxa" w:w="80"/>
            </w:tcMar>
            <w:vAlign w:val="center"/>
          </w:tcPr>
          <w:p>
            <w:pPr>
              <w:jc w:val="center"/>
            </w:pPr>
            <w:r>
              <w:t xml:space="preserve">9.4 million</w:t>
            </w:r>
          </w:p>
        </w:tc>
        <w:tc>
          <w:tcPr>
            <w:tcMar>
              <w:top w:type="dxa" w:w="80"/>
              <w:left w:type="dxa" w:w="80"/>
              <w:bottom w:type="dxa" w:w="80"/>
              <w:right w:type="dxa" w:w="80"/>
            </w:tcMar>
            <w:vAlign w:val="center"/>
          </w:tcPr>
          <w:p>
            <w:pPr>
              <w:jc w:val="center"/>
            </w:pPr>
            <w:r>
              <w:t xml:space="preserve">NPPES NPI Registry (complete)</w:t>
            </w:r>
          </w:p>
        </w:tc>
      </w:tr>
      <w:tr>
        <w:tc>
          <w:tcPr>
            <w:tcMar>
              <w:top w:type="dxa" w:w="80"/>
              <w:left w:type="dxa" w:w="80"/>
              <w:bottom w:type="dxa" w:w="80"/>
              <w:right w:type="dxa" w:w="80"/>
            </w:tcMar>
            <w:vAlign w:val="center"/>
          </w:tcPr>
          <w:p>
            <w:pPr>
              <w:jc w:val="center"/>
            </w:pPr>
            <w:r>
              <w:t xml:space="preserve">Provider Addresses</w:t>
            </w:r>
          </w:p>
        </w:tc>
        <w:tc>
          <w:tcPr>
            <w:tcMar>
              <w:top w:type="dxa" w:w="80"/>
              <w:left w:type="dxa" w:w="80"/>
              <w:bottom w:type="dxa" w:w="80"/>
              <w:right w:type="dxa" w:w="80"/>
            </w:tcMar>
            <w:vAlign w:val="center"/>
          </w:tcPr>
          <w:p>
            <w:pPr>
              <w:jc w:val="center"/>
            </w:pPr>
            <w:r>
              <w:t xml:space="preserve">1.1 million</w:t>
            </w:r>
          </w:p>
        </w:tc>
        <w:tc>
          <w:tcPr>
            <w:tcMar>
              <w:top w:type="dxa" w:w="80"/>
              <w:left w:type="dxa" w:w="80"/>
              <w:bottom w:type="dxa" w:w="80"/>
              <w:right w:type="dxa" w:w="80"/>
            </w:tcMar>
            <w:vAlign w:val="center"/>
          </w:tcPr>
          <w:p>
            <w:pPr>
              <w:jc w:val="center"/>
            </w:pPr>
            <w:r>
              <w:t xml:space="preserve">NPPES (bulk extraction)</w:t>
            </w:r>
          </w:p>
        </w:tc>
      </w:tr>
      <w:tr>
        <w:tc>
          <w:tcPr>
            <w:tcMar>
              <w:top w:type="dxa" w:w="80"/>
              <w:left w:type="dxa" w:w="80"/>
              <w:bottom w:type="dxa" w:w="80"/>
              <w:right w:type="dxa" w:w="80"/>
            </w:tcMar>
            <w:vAlign w:val="center"/>
          </w:tcPr>
          <w:p>
            <w:pPr>
              <w:jc w:val="center"/>
            </w:pPr>
            <w:r>
              <w:t xml:space="preserve">Provider Taxonomies</w:t>
            </w:r>
          </w:p>
        </w:tc>
        <w:tc>
          <w:tcPr>
            <w:tcMar>
              <w:top w:type="dxa" w:w="80"/>
              <w:left w:type="dxa" w:w="80"/>
              <w:bottom w:type="dxa" w:w="80"/>
              <w:right w:type="dxa" w:w="80"/>
            </w:tcMar>
            <w:vAlign w:val="center"/>
          </w:tcPr>
          <w:p>
            <w:pPr>
              <w:jc w:val="center"/>
            </w:pPr>
            <w:r>
              <w:t xml:space="preserve">778K</w:t>
            </w:r>
          </w:p>
        </w:tc>
        <w:tc>
          <w:tcPr>
            <w:tcMar>
              <w:top w:type="dxa" w:w="80"/>
              <w:left w:type="dxa" w:w="80"/>
              <w:bottom w:type="dxa" w:w="80"/>
              <w:right w:type="dxa" w:w="80"/>
            </w:tcMar>
            <w:vAlign w:val="center"/>
          </w:tcPr>
          <w:p>
            <w:pPr>
              <w:jc w:val="center"/>
            </w:pPr>
            <w:r>
              <w:t xml:space="preserve">NPPES (bulk extraction)</w:t>
            </w:r>
          </w:p>
        </w:tc>
      </w:tr>
      <w:tr>
        <w:tc>
          <w:tcPr>
            <w:tcMar>
              <w:top w:type="dxa" w:w="80"/>
              <w:left w:type="dxa" w:w="80"/>
              <w:bottom w:type="dxa" w:w="80"/>
              <w:right w:type="dxa" w:w="80"/>
            </w:tcMar>
            <w:vAlign w:val="center"/>
          </w:tcPr>
          <w:p>
            <w:pPr>
              <w:jc w:val="center"/>
            </w:pPr>
            <w:r>
              <w:t xml:space="preserve">Adverse Events</w:t>
            </w:r>
          </w:p>
        </w:tc>
        <w:tc>
          <w:tcPr>
            <w:tcMar>
              <w:top w:type="dxa" w:w="80"/>
              <w:left w:type="dxa" w:w="80"/>
              <w:bottom w:type="dxa" w:w="80"/>
              <w:right w:type="dxa" w:w="80"/>
            </w:tcMar>
            <w:vAlign w:val="center"/>
          </w:tcPr>
          <w:p>
            <w:pPr>
              <w:jc w:val="center"/>
            </w:pPr>
            <w:r>
              <w:t xml:space="preserve">139K</w:t>
            </w:r>
          </w:p>
        </w:tc>
        <w:tc>
          <w:tcPr>
            <w:tcMar>
              <w:top w:type="dxa" w:w="80"/>
              <w:left w:type="dxa" w:w="80"/>
              <w:bottom w:type="dxa" w:w="80"/>
              <w:right w:type="dxa" w:w="80"/>
            </w:tcMar>
            <w:vAlign w:val="center"/>
          </w:tcPr>
          <w:p>
            <w:pPr>
              <w:jc w:val="center"/>
            </w:pPr>
            <w:r>
              <w:t xml:space="preserve">FDA FAERS openFDA API</w:t>
            </w:r>
          </w:p>
        </w:tc>
      </w:tr>
      <w:tr>
        <w:tc>
          <w:tcPr>
            <w:tcMar>
              <w:top w:type="dxa" w:w="80"/>
              <w:left w:type="dxa" w:w="80"/>
              <w:bottom w:type="dxa" w:w="80"/>
              <w:right w:type="dxa" w:w="80"/>
            </w:tcMar>
            <w:vAlign w:val="center"/>
          </w:tcPr>
          <w:p>
            <w:pPr>
              <w:jc w:val="center"/>
            </w:pPr>
            <w:r>
              <w:t xml:space="preserve">Clinical Trials</w:t>
            </w:r>
          </w:p>
        </w:tc>
        <w:tc>
          <w:tcPr>
            <w:tcMar>
              <w:top w:type="dxa" w:w="80"/>
              <w:left w:type="dxa" w:w="80"/>
              <w:bottom w:type="dxa" w:w="80"/>
              <w:right w:type="dxa" w:w="80"/>
            </w:tcMar>
            <w:vAlign w:val="center"/>
          </w:tcPr>
          <w:p>
            <w:pPr>
              <w:jc w:val="center"/>
            </w:pPr>
            <w:r>
              <w:t xml:space="preserve">33K</w:t>
            </w:r>
          </w:p>
        </w:tc>
        <w:tc>
          <w:tcPr>
            <w:tcMar>
              <w:top w:type="dxa" w:w="80"/>
              <w:left w:type="dxa" w:w="80"/>
              <w:bottom w:type="dxa" w:w="80"/>
              <w:right w:type="dxa" w:w="80"/>
            </w:tcMar>
            <w:vAlign w:val="center"/>
          </w:tcPr>
          <w:p>
            <w:pPr>
              <w:jc w:val="center"/>
            </w:pPr>
            <w:r>
              <w:t xml:space="preserve">ClinicalTrials.gov API v2</w:t>
            </w:r>
          </w:p>
        </w:tc>
      </w:tr>
      <w:tr>
        <w:tc>
          <w:tcPr>
            <w:tcMar>
              <w:top w:type="dxa" w:w="80"/>
              <w:left w:type="dxa" w:w="80"/>
              <w:bottom w:type="dxa" w:w="80"/>
              <w:right w:type="dxa" w:w="80"/>
            </w:tcMar>
            <w:vAlign w:val="center"/>
          </w:tcPr>
          <w:p>
            <w:pPr>
              <w:jc w:val="center"/>
            </w:pPr>
            <w:r>
              <w:t xml:space="preserve">Diagnosis Codes (ICD-10-CM)</w:t>
            </w:r>
          </w:p>
        </w:tc>
        <w:tc>
          <w:tcPr>
            <w:tcMar>
              <w:top w:type="dxa" w:w="80"/>
              <w:left w:type="dxa" w:w="80"/>
              <w:bottom w:type="dxa" w:w="80"/>
              <w:right w:type="dxa" w:w="80"/>
            </w:tcMar>
            <w:vAlign w:val="center"/>
          </w:tcPr>
          <w:p>
            <w:pPr>
              <w:jc w:val="center"/>
            </w:pPr>
            <w:r>
              <w:t xml:space="preserve">97K</w:t>
            </w:r>
          </w:p>
        </w:tc>
        <w:tc>
          <w:tcPr>
            <w:tcMar>
              <w:top w:type="dxa" w:w="80"/>
              <w:left w:type="dxa" w:w="80"/>
              <w:bottom w:type="dxa" w:w="80"/>
              <w:right w:type="dxa" w:w="80"/>
            </w:tcMar>
            <w:vAlign w:val="center"/>
          </w:tcPr>
          <w:p>
            <w:pPr>
              <w:jc w:val="center"/>
            </w:pPr>
            <w:r>
              <w:t xml:space="preserve">CMS FY2025</w:t>
            </w:r>
          </w:p>
        </w:tc>
      </w:tr>
      <w:tr>
        <w:tc>
          <w:tcPr>
            <w:tcMar>
              <w:top w:type="dxa" w:w="80"/>
              <w:left w:type="dxa" w:w="80"/>
              <w:bottom w:type="dxa" w:w="80"/>
              <w:right w:type="dxa" w:w="80"/>
            </w:tcMar>
            <w:vAlign w:val="center"/>
          </w:tcPr>
          <w:p>
            <w:pPr>
              <w:jc w:val="center"/>
            </w:pPr>
            <w:r>
              <w:t xml:space="preserve">Drug Codes (NDC)</w:t>
            </w:r>
          </w:p>
        </w:tc>
        <w:tc>
          <w:tcPr>
            <w:tcMar>
              <w:top w:type="dxa" w:w="80"/>
              <w:left w:type="dxa" w:w="80"/>
              <w:bottom w:type="dxa" w:w="80"/>
              <w:right w:type="dxa" w:w="80"/>
            </w:tcMar>
            <w:vAlign w:val="center"/>
          </w:tcPr>
          <w:p>
            <w:pPr>
              <w:jc w:val="center"/>
            </w:pPr>
            <w:r>
              <w:t xml:space="preserve">82K</w:t>
            </w:r>
          </w:p>
        </w:tc>
        <w:tc>
          <w:tcPr>
            <w:tcMar>
              <w:top w:type="dxa" w:w="80"/>
              <w:left w:type="dxa" w:w="80"/>
              <w:bottom w:type="dxa" w:w="80"/>
              <w:right w:type="dxa" w:w="80"/>
            </w:tcMar>
            <w:vAlign w:val="center"/>
          </w:tcPr>
          <w:p>
            <w:pPr>
              <w:jc w:val="center"/>
            </w:pPr>
            <w:r>
              <w:t xml:space="preserve">FDA openFDA</w:t>
            </w:r>
          </w:p>
        </w:tc>
      </w:tr>
      <w:tr>
        <w:tc>
          <w:tcPr>
            <w:tcMar>
              <w:top w:type="dxa" w:w="80"/>
              <w:left w:type="dxa" w:w="80"/>
              <w:bottom w:type="dxa" w:w="80"/>
              <w:right w:type="dxa" w:w="80"/>
            </w:tcMar>
            <w:vAlign w:val="center"/>
          </w:tcPr>
          <w:p>
            <w:pPr>
              <w:jc w:val="center"/>
            </w:pPr>
            <w:r>
              <w:t xml:space="preserve">Drug Interactions</w:t>
            </w:r>
          </w:p>
        </w:tc>
        <w:tc>
          <w:tcPr>
            <w:tcMar>
              <w:top w:type="dxa" w:w="80"/>
              <w:left w:type="dxa" w:w="80"/>
              <w:bottom w:type="dxa" w:w="80"/>
              <w:right w:type="dxa" w:w="80"/>
            </w:tcMar>
            <w:vAlign w:val="center"/>
          </w:tcPr>
          <w:p>
            <w:pPr>
              <w:jc w:val="center"/>
            </w:pPr>
            <w:r>
              <w:t xml:space="preserve">5.5K</w:t>
            </w:r>
          </w:p>
        </w:tc>
        <w:tc>
          <w:tcPr>
            <w:tcMar>
              <w:top w:type="dxa" w:w="80"/>
              <w:left w:type="dxa" w:w="80"/>
              <w:bottom w:type="dxa" w:w="80"/>
              <w:right w:type="dxa" w:w="80"/>
            </w:tcMar>
            <w:vAlign w:val="center"/>
          </w:tcPr>
          <w:p>
            <w:pPr>
              <w:jc w:val="center"/>
            </w:pPr>
            <w:r>
              <w:t xml:space="preserve">RxNorm-linked</w:t>
            </w:r>
          </w:p>
        </w:tc>
      </w:tr>
      <w:tr>
        <w:tc>
          <w:tcPr>
            <w:tcMar>
              <w:top w:type="dxa" w:w="80"/>
              <w:left w:type="dxa" w:w="80"/>
              <w:bottom w:type="dxa" w:w="80"/>
              <w:right w:type="dxa" w:w="80"/>
            </w:tcMar>
            <w:vAlign w:val="center"/>
          </w:tcPr>
          <w:p>
            <w:pPr>
              <w:jc w:val="center"/>
            </w:pPr>
            <w:r>
              <w:t xml:space="preserve">PubMed Citations</w:t>
            </w:r>
          </w:p>
        </w:tc>
        <w:tc>
          <w:tcPr>
            <w:tcMar>
              <w:top w:type="dxa" w:w="80"/>
              <w:left w:type="dxa" w:w="80"/>
              <w:bottom w:type="dxa" w:w="80"/>
              <w:right w:type="dxa" w:w="80"/>
            </w:tcMar>
            <w:vAlign w:val="center"/>
          </w:tcPr>
          <w:p>
            <w:pPr>
              <w:jc w:val="center"/>
            </w:pPr>
            <w:r>
              <w:t xml:space="preserve">59K</w:t>
            </w:r>
          </w:p>
        </w:tc>
        <w:tc>
          <w:tcPr>
            <w:tcMar>
              <w:top w:type="dxa" w:w="80"/>
              <w:left w:type="dxa" w:w="80"/>
              <w:bottom w:type="dxa" w:w="80"/>
              <w:right w:type="dxa" w:w="80"/>
            </w:tcMar>
            <w:vAlign w:val="center"/>
          </w:tcPr>
          <w:p>
            <w:pPr>
              <w:jc w:val="center"/>
            </w:pPr>
            <w:r>
              <w:t xml:space="preserve">NCBI E-Utilities</w:t>
            </w:r>
          </w:p>
        </w:tc>
      </w:tr>
      <w:tr>
        <w:tc>
          <w:tcPr>
            <w:tcMar>
              <w:top w:type="dxa" w:w="80"/>
              <w:left w:type="dxa" w:w="80"/>
              <w:bottom w:type="dxa" w:w="80"/>
              <w:right w:type="dxa" w:w="80"/>
            </w:tcMar>
            <w:vAlign w:val="center"/>
          </w:tcPr>
          <w:p>
            <w:pPr>
              <w:jc w:val="center"/>
            </w:pPr>
            <w:r>
              <w:t xml:space="preserve">Medicare Part D Prescribers</w:t>
            </w:r>
          </w:p>
        </w:tc>
        <w:tc>
          <w:tcPr>
            <w:tcMar>
              <w:top w:type="dxa" w:w="80"/>
              <w:left w:type="dxa" w:w="80"/>
              <w:bottom w:type="dxa" w:w="80"/>
              <w:right w:type="dxa" w:w="80"/>
            </w:tcMar>
            <w:vAlign w:val="center"/>
          </w:tcPr>
          <w:p>
            <w:pPr>
              <w:jc w:val="center"/>
            </w:pPr>
            <w:r>
              <w:t xml:space="preserve">70K</w:t>
            </w:r>
          </w:p>
        </w:tc>
        <w:tc>
          <w:tcPr>
            <w:tcMar>
              <w:top w:type="dxa" w:w="80"/>
              <w:left w:type="dxa" w:w="80"/>
              <w:bottom w:type="dxa" w:w="80"/>
              <w:right w:type="dxa" w:w="80"/>
            </w:tcMar>
            <w:vAlign w:val="center"/>
          </w:tcPr>
          <w:p>
            <w:pPr>
              <w:jc w:val="center"/>
            </w:pPr>
            <w:r>
              <w:t xml:space="preserve">CMS Medicare Part D</w:t>
            </w:r>
          </w:p>
        </w:tc>
      </w:tr>
      <w:tr>
        <w:tc>
          <w:tcPr>
            <w:tcMar>
              <w:top w:type="dxa" w:w="80"/>
              <w:left w:type="dxa" w:w="80"/>
              <w:bottom w:type="dxa" w:w="80"/>
              <w:right w:type="dxa" w:w="80"/>
            </w:tcMar>
            <w:vAlign w:val="center"/>
          </w:tcPr>
          <w:p>
            <w:pPr>
              <w:jc w:val="center"/>
            </w:pPr>
            <w:r>
              <w:t xml:space="preserve">OIG Exclusions</w:t>
            </w:r>
          </w:p>
        </w:tc>
        <w:tc>
          <w:tcPr>
            <w:tcMar>
              <w:top w:type="dxa" w:w="80"/>
              <w:left w:type="dxa" w:w="80"/>
              <w:bottom w:type="dxa" w:w="80"/>
              <w:right w:type="dxa" w:w="80"/>
            </w:tcMar>
            <w:vAlign w:val="center"/>
          </w:tcPr>
          <w:p>
            <w:pPr>
              <w:jc w:val="center"/>
            </w:pPr>
            <w:r>
              <w:t xml:space="preserve">82K</w:t>
            </w:r>
          </w:p>
        </w:tc>
        <w:tc>
          <w:tcPr>
            <w:tcMar>
              <w:top w:type="dxa" w:w="80"/>
              <w:left w:type="dxa" w:w="80"/>
              <w:bottom w:type="dxa" w:w="80"/>
              <w:right w:type="dxa" w:w="80"/>
            </w:tcMar>
            <w:vAlign w:val="center"/>
          </w:tcPr>
          <w:p>
            <w:pPr>
              <w:jc w:val="center"/>
            </w:pPr>
            <w:r>
              <w:t xml:space="preserve">HHS-OIG LEIE (Mar 2026)</w:t>
            </w:r>
          </w:p>
        </w:tc>
      </w:tr>
    </w:tbl>
    <w:p>
      <w:pPr>
        <w:pStyle w:val="Heading2"/>
        <w:pStyle w:val="Heading2"/>
        <w:spacing w:after="100" w:before="180" w:line="360"/>
        <w:jc w:val="left"/>
      </w:pPr>
      <w:r>
        <w:t xml:space="preserve">Live Features</w:t>
      </w:r>
    </w:p>
    <w:p>
      <w:pPr>
        <w:pStyle w:val="ListParagraph"/>
        <w:numPr>
          <w:ilvl w:val="0"/>
          <w:numId w:val="1"/>
        </w:numPr>
        <w:spacing w:after="60" w:before="60" w:line="240"/>
      </w:pPr>
      <w:r>
        <w:t xml:space="preserve">Provider Verification Engine: Real-time 6-table cross-reference (NPI → OIG/state boards/DEA)</w:t>
      </w:r>
    </w:p>
    <w:p>
      <w:pPr>
        <w:pStyle w:val="ListParagraph"/>
        <w:numPr>
          <w:ilvl w:val="0"/>
          <w:numId w:val="1"/>
        </w:numPr>
        <w:spacing w:after="60" w:before="60" w:line="240"/>
      </w:pPr>
      <w:r>
        <w:t xml:space="preserve">Drug Interaction Checker: 5,500 interactions + 140K adverse events</w:t>
      </w:r>
    </w:p>
    <w:p>
      <w:pPr>
        <w:pStyle w:val="ListParagraph"/>
        <w:numPr>
          <w:ilvl w:val="0"/>
          <w:numId w:val="1"/>
        </w:numPr>
        <w:spacing w:after="60" w:before="60" w:line="240"/>
      </w:pPr>
      <w:r>
        <w:t xml:space="preserve">Knowledge Graph Visualization: Force-directed canvas with entity detail drilling</w:t>
      </w:r>
    </w:p>
    <w:p>
      <w:pPr>
        <w:pStyle w:val="ListParagraph"/>
        <w:numPr>
          <w:ilvl w:val="0"/>
          <w:numId w:val="1"/>
        </w:numPr>
        <w:spacing w:after="60" w:before="60" w:line="240"/>
      </w:pPr>
      <w:r>
        <w:t xml:space="preserve">Federated Search: 13 data types, categorized dropdown, entity detail</w:t>
      </w:r>
    </w:p>
    <w:p>
      <w:pPr>
        <w:pStyle w:val="ListParagraph"/>
        <w:numPr>
          <w:ilvl w:val="0"/>
          <w:numId w:val="1"/>
        </w:numPr>
        <w:spacing w:after="60" w:before="60" w:line="240"/>
      </w:pPr>
      <w:r>
        <w:t xml:space="preserve">Machine Lane: llms.txt + robots.txt welcoming AI crawlers</w:t>
      </w:r>
    </w:p>
    <w:r>
      <w:br w:type="page"/>
    </w:r>
    <w:p>
      <w:pPr>
        <w:pStyle w:val="Heading1"/>
        <w:pStyle w:val="Heading1"/>
        <w:spacing w:after="120" w:before="240" w:line="360"/>
        <w:jc w:val="left"/>
      </w:pPr>
      <w:r>
        <w:t xml:space="preserve">7. Technology &amp; Architecture</w:t>
      </w:r>
    </w:p>
    <w:p>
      <w:pPr>
        <w:pStyle w:val="Heading2"/>
        <w:pStyle w:val="Heading2"/>
        <w:spacing w:after="100" w:before="180" w:line="360"/>
        <w:jc w:val="left"/>
      </w:pPr>
      <w:r>
        <w:t xml:space="preserve">Frontend Stack</w:t>
      </w:r>
    </w:p>
    <w:p>
      <w:pPr>
        <w:pStyle w:val="ListParagraph"/>
        <w:numPr>
          <w:ilvl w:val="0"/>
          <w:numId w:val="1"/>
        </w:numPr>
        <w:spacing w:after="60" w:before="60" w:line="240"/>
      </w:pPr>
      <w:r>
        <w:t xml:space="preserve">React 18 (UMD build, zero build step)</w:t>
      </w:r>
    </w:p>
    <w:p>
      <w:pPr>
        <w:pStyle w:val="ListParagraph"/>
        <w:numPr>
          <w:ilvl w:val="0"/>
          <w:numId w:val="1"/>
        </w:numPr>
        <w:spacing w:after="60" w:before="60" w:line="240"/>
      </w:pPr>
      <w:r>
        <w:t xml:space="preserve">Force-directed knowledge graph (D3.js)</w:t>
      </w:r>
    </w:p>
    <w:p>
      <w:pPr>
        <w:pStyle w:val="ListParagraph"/>
        <w:numPr>
          <w:ilvl w:val="0"/>
          <w:numId w:val="1"/>
        </w:numPr>
        <w:spacing w:after="60" w:before="60" w:line="240"/>
      </w:pPr>
      <w:r>
        <w:t xml:space="preserve">Real-time search with Fuse.js</w:t>
      </w:r>
    </w:p>
    <w:p>
      <w:pPr>
        <w:pStyle w:val="ListParagraph"/>
        <w:numPr>
          <w:ilvl w:val="0"/>
          <w:numId w:val="1"/>
        </w:numPr>
        <w:spacing w:after="60" w:before="60" w:line="240"/>
      </w:pPr>
      <w:r>
        <w:t xml:space="preserve">Tailwind CSS + custom particle canvas background</w:t>
      </w:r>
    </w:p>
    <w:p>
      <w:pPr>
        <w:pStyle w:val="Heading2"/>
        <w:pStyle w:val="Heading2"/>
        <w:spacing w:after="100" w:before="180" w:line="360"/>
        <w:jc w:val="left"/>
      </w:pPr>
      <w:r>
        <w:t xml:space="preserve">Backend Stack</w:t>
      </w:r>
    </w:p>
    <w:p>
      <w:pPr>
        <w:pStyle w:val="ListParagraph"/>
        <w:numPr>
          <w:ilvl w:val="0"/>
          <w:numId w:val="1"/>
        </w:numPr>
        <w:spacing w:after="60" w:before="60" w:line="240"/>
      </w:pPr>
      <w:r>
        <w:t xml:space="preserve">Supabase PostgreSQL: 28-table schema with RLS, triggers, GIN indexes</w:t>
      </w:r>
    </w:p>
    <w:p>
      <w:pPr>
        <w:pStyle w:val="ListParagraph"/>
        <w:numPr>
          <w:ilvl w:val="0"/>
          <w:numId w:val="1"/>
        </w:numPr>
        <w:spacing w:after="60" w:before="60" w:line="240"/>
      </w:pPr>
      <w:r>
        <w:t xml:space="preserve">PostgREST API: Direct browser queries (service_role key, RLS policies)</w:t>
      </w:r>
    </w:p>
    <w:p>
      <w:pPr>
        <w:pStyle w:val="ListParagraph"/>
        <w:numPr>
          <w:ilvl w:val="0"/>
          <w:numId w:val="1"/>
        </w:numPr>
        <w:spacing w:after="60" w:before="60" w:line="240"/>
      </w:pPr>
      <w:r>
        <w:t xml:space="preserve">Neo4j Knowledge Graph (planned): Relationship modeling for care pathways, credential chains</w:t>
      </w:r>
    </w:p>
    <w:p>
      <w:pPr>
        <w:pStyle w:val="Heading2"/>
        <w:pStyle w:val="Heading2"/>
        <w:spacing w:after="100" w:before="180" w:line="360"/>
        <w:jc w:val="left"/>
      </w:pPr>
      <w:r>
        <w:t xml:space="preserve">AI &amp; Intelligence</w:t>
      </w:r>
    </w:p>
    <w:p>
      <w:pPr>
        <w:pStyle w:val="ListParagraph"/>
        <w:numPr>
          <w:ilvl w:val="0"/>
          <w:numId w:val="1"/>
        </w:numPr>
        <w:spacing w:after="60" w:before="60" w:line="240"/>
      </w:pPr>
      <w:r>
        <w:t xml:space="preserve">Claude API: Morning Briefings, 3-Point Verification, RSI prompts</w:t>
      </w:r>
    </w:p>
    <w:p>
      <w:pPr>
        <w:pStyle w:val="ListParagraph"/>
        <w:numPr>
          <w:ilvl w:val="0"/>
          <w:numId w:val="1"/>
        </w:numPr>
        <w:spacing w:after="60" w:before="60" w:line="240"/>
      </w:pPr>
      <w:r>
        <w:t xml:space="preserve">MCP (Model Context Protocol): Native AI agent integration</w:t>
      </w:r>
    </w:p>
    <w:p>
      <w:pPr>
        <w:pStyle w:val="ListParagraph"/>
        <w:numPr>
          <w:ilvl w:val="0"/>
          <w:numId w:val="1"/>
        </w:numPr>
        <w:spacing w:after="60" w:before="60" w:line="240"/>
      </w:pPr>
      <w:r>
        <w:t xml:space="preserve">RSI Heartbeat: Recursive self-improvement with daily auto-ingestion from 13 federal sources</w:t>
      </w:r>
    </w:p>
    <w:p>
      <w:pPr>
        <w:pStyle w:val="Heading2"/>
        <w:pStyle w:val="Heading2"/>
        <w:spacing w:after="100" w:before="180" w:line="360"/>
        <w:jc w:val="left"/>
      </w:pPr>
      <w:r>
        <w:t xml:space="preserve">Deployment &amp; Scale</w:t>
      </w:r>
    </w:p>
    <w:p>
      <w:pPr>
        <w:pStyle w:val="ListParagraph"/>
        <w:numPr>
          <w:ilvl w:val="0"/>
          <w:numId w:val="1"/>
        </w:numPr>
        <w:spacing w:after="60" w:before="60" w:line="240"/>
      </w:pPr>
      <w:r>
        <w:t xml:space="preserve">GitHub Pages: health.theknowledgegardens.com</w:t>
      </w:r>
    </w:p>
    <w:p>
      <w:pPr>
        <w:pStyle w:val="ListParagraph"/>
        <w:numPr>
          <w:ilvl w:val="0"/>
          <w:numId w:val="1"/>
        </w:numPr>
        <w:spacing w:after="60" w:before="60" w:line="240"/>
      </w:pPr>
      <w:r>
        <w:t xml:space="preserve">Infrastructure: Zero-ops frontend, Supabase-managed backend</w:t>
      </w:r>
    </w:p>
    <w:p>
      <w:pPr>
        <w:pStyle w:val="ListParagraph"/>
        <w:numPr>
          <w:ilvl w:val="0"/>
          <w:numId w:val="1"/>
        </w:numPr>
        <w:spacing w:after="60" w:before="60" w:line="240"/>
      </w:pPr>
      <w:r>
        <w:t xml:space="preserve">Data Ingestion: Python scripts with stdlib only (no dependencies)</w:t>
      </w:r>
    </w:p>
    <w:r>
      <w:br w:type="page"/>
    </w:r>
    <w:p>
      <w:pPr>
        <w:pStyle w:val="Heading1"/>
        <w:pStyle w:val="Heading1"/>
        <w:spacing w:after="120" w:before="240" w:line="360"/>
        <w:jc w:val="left"/>
      </w:pPr>
      <w:r>
        <w:t xml:space="preserve">8. Competitive Landscape</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c>
          <w:tcPr>
            <w:shd w:color="E7E6E6" w:val="clear"/>
            <w:tcMar>
              <w:top w:type="dxa" w:w="80"/>
              <w:left w:type="dxa" w:w="80"/>
              <w:bottom w:type="dxa" w:w="80"/>
              <w:right w:type="dxa" w:w="80"/>
            </w:tcMar>
            <w:vAlign w:val="center"/>
          </w:tcPr>
          <w:p>
            <w:pPr>
              <w:jc w:val="center"/>
            </w:pPr>
            <w:r>
              <w:t xml:space="preserve">Competitor</w:t>
            </w:r>
          </w:p>
        </w:tc>
        <w:tc>
          <w:tcPr>
            <w:shd w:color="E7E6E6" w:val="clear"/>
            <w:tcMar>
              <w:top w:type="dxa" w:w="80"/>
              <w:left w:type="dxa" w:w="80"/>
              <w:bottom w:type="dxa" w:w="80"/>
              <w:right w:type="dxa" w:w="80"/>
            </w:tcMar>
            <w:vAlign w:val="center"/>
          </w:tcPr>
          <w:p>
            <w:pPr>
              <w:jc w:val="center"/>
            </w:pPr>
            <w:r>
              <w:t xml:space="preserve">Market Cap / Valuation</w:t>
            </w:r>
          </w:p>
        </w:tc>
        <w:tc>
          <w:tcPr>
            <w:shd w:color="E7E6E6" w:val="clear"/>
            <w:tcMar>
              <w:top w:type="dxa" w:w="80"/>
              <w:left w:type="dxa" w:w="80"/>
              <w:bottom w:type="dxa" w:w="80"/>
              <w:right w:type="dxa" w:w="80"/>
            </w:tcMar>
            <w:vAlign w:val="center"/>
          </w:tcPr>
          <w:p>
            <w:pPr>
              <w:jc w:val="center"/>
            </w:pPr>
            <w:r>
              <w:t xml:space="preserve">Focus</w:t>
            </w:r>
          </w:p>
        </w:tc>
        <w:tc>
          <w:tcPr>
            <w:shd w:color="E7E6E6" w:val="clear"/>
            <w:tcMar>
              <w:top w:type="dxa" w:w="80"/>
              <w:left w:type="dxa" w:w="80"/>
              <w:bottom w:type="dxa" w:w="80"/>
              <w:right w:type="dxa" w:w="80"/>
            </w:tcMar>
            <w:vAlign w:val="center"/>
          </w:tcPr>
          <w:p>
            <w:pPr>
              <w:jc w:val="center"/>
            </w:pPr>
            <w:r>
              <w:t xml:space="preserve">HKG Advantage</w:t>
            </w:r>
          </w:p>
        </w:tc>
      </w:tr>
      <w:tr>
        <w:tc>
          <w:tcPr>
            <w:tcMar>
              <w:top w:type="dxa" w:w="80"/>
              <w:left w:type="dxa" w:w="80"/>
              <w:bottom w:type="dxa" w:w="80"/>
              <w:right w:type="dxa" w:w="80"/>
            </w:tcMar>
            <w:vAlign w:val="center"/>
          </w:tcPr>
          <w:p>
            <w:pPr>
              <w:jc w:val="center"/>
            </w:pPr>
            <w:r>
              <w:t xml:space="preserve">Open Evidence</w:t>
            </w:r>
          </w:p>
        </w:tc>
        <w:tc>
          <w:tcPr>
            <w:tcMar>
              <w:top w:type="dxa" w:w="80"/>
              <w:left w:type="dxa" w:w="80"/>
              <w:bottom w:type="dxa" w:w="80"/>
              <w:right w:type="dxa" w:w="80"/>
            </w:tcMar>
            <w:vAlign w:val="center"/>
          </w:tcPr>
          <w:p>
            <w:pPr>
              <w:jc w:val="center"/>
            </w:pPr>
            <w:r>
              <w:t xml:space="preserve">$1.2B</w:t>
            </w:r>
          </w:p>
        </w:tc>
        <w:tc>
          <w:tcPr>
            <w:tcMar>
              <w:top w:type="dxa" w:w="80"/>
              <w:left w:type="dxa" w:w="80"/>
              <w:bottom w:type="dxa" w:w="80"/>
              <w:right w:type="dxa" w:w="80"/>
            </w:tcMar>
            <w:vAlign w:val="center"/>
          </w:tcPr>
          <w:p>
            <w:pPr>
              <w:jc w:val="center"/>
            </w:pPr>
            <w:r>
              <w:t xml:space="preserve">Doctors only (clinical decision support)</w:t>
            </w:r>
          </w:p>
        </w:tc>
        <w:tc>
          <w:tcPr>
            <w:tcMar>
              <w:top w:type="dxa" w:w="80"/>
              <w:left w:type="dxa" w:w="80"/>
              <w:bottom w:type="dxa" w:w="80"/>
              <w:right w:type="dxa" w:w="80"/>
            </w:tcMar>
            <w:vAlign w:val="center"/>
          </w:tcPr>
          <w:p>
            <w:pPr>
              <w:jc w:val="center"/>
            </w:pPr>
            <w:r>
              <w:t xml:space="preserve">All 4 lanes + unified knowledge graph</w:t>
            </w:r>
          </w:p>
        </w:tc>
      </w:tr>
      <w:tr>
        <w:tc>
          <w:tcPr>
            <w:tcMar>
              <w:top w:type="dxa" w:w="80"/>
              <w:left w:type="dxa" w:w="80"/>
              <w:bottom w:type="dxa" w:w="80"/>
              <w:right w:type="dxa" w:w="80"/>
            </w:tcMar>
            <w:vAlign w:val="center"/>
          </w:tcPr>
          <w:p>
            <w:pPr>
              <w:jc w:val="center"/>
            </w:pPr>
            <w:r>
              <w:t xml:space="preserve">Doximity</w:t>
            </w:r>
          </w:p>
        </w:tc>
        <w:tc>
          <w:tcPr>
            <w:tcMar>
              <w:top w:type="dxa" w:w="80"/>
              <w:left w:type="dxa" w:w="80"/>
              <w:bottom w:type="dxa" w:w="80"/>
              <w:right w:type="dxa" w:w="80"/>
            </w:tcMar>
            <w:vAlign w:val="center"/>
          </w:tcPr>
          <w:p>
            <w:pPr>
              <w:jc w:val="center"/>
            </w:pPr>
            <w:r>
              <w:t xml:space="preserve">$6.5B</w:t>
            </w:r>
          </w:p>
        </w:tc>
        <w:tc>
          <w:tcPr>
            <w:tcMar>
              <w:top w:type="dxa" w:w="80"/>
              <w:left w:type="dxa" w:w="80"/>
              <w:bottom w:type="dxa" w:w="80"/>
              <w:right w:type="dxa" w:w="80"/>
            </w:tcMar>
            <w:vAlign w:val="center"/>
          </w:tcPr>
          <w:p>
            <w:pPr>
              <w:jc w:val="center"/>
            </w:pPr>
            <w:r>
              <w:t xml:space="preserve">LinkedIn for doctors</w:t>
            </w:r>
          </w:p>
        </w:tc>
        <w:tc>
          <w:tcPr>
            <w:tcMar>
              <w:top w:type="dxa" w:w="80"/>
              <w:left w:type="dxa" w:w="80"/>
              <w:bottom w:type="dxa" w:w="80"/>
              <w:right w:type="dxa" w:w="80"/>
            </w:tcMar>
            <w:vAlign w:val="center"/>
          </w:tcPr>
          <w:p>
            <w:pPr>
              <w:jc w:val="center"/>
            </w:pPr>
            <w:r>
              <w:t xml:space="preserve">Knowledge-first, not social</w:t>
            </w:r>
          </w:p>
        </w:tc>
      </w:tr>
      <w:tr>
        <w:tc>
          <w:tcPr>
            <w:tcMar>
              <w:top w:type="dxa" w:w="80"/>
              <w:left w:type="dxa" w:w="80"/>
              <w:bottom w:type="dxa" w:w="80"/>
              <w:right w:type="dxa" w:w="80"/>
            </w:tcMar>
            <w:vAlign w:val="center"/>
          </w:tcPr>
          <w:p>
            <w:pPr>
              <w:jc w:val="center"/>
            </w:pPr>
            <w:r>
              <w:t xml:space="preserve">Veeva Systems</w:t>
            </w:r>
          </w:p>
        </w:tc>
        <w:tc>
          <w:tcPr>
            <w:tcMar>
              <w:top w:type="dxa" w:w="80"/>
              <w:left w:type="dxa" w:w="80"/>
              <w:bottom w:type="dxa" w:w="80"/>
              <w:right w:type="dxa" w:w="80"/>
            </w:tcMar>
            <w:vAlign w:val="center"/>
          </w:tcPr>
          <w:p>
            <w:pPr>
              <w:jc w:val="center"/>
            </w:pPr>
            <w:r>
              <w:t xml:space="preserve">$35B</w:t>
            </w:r>
          </w:p>
        </w:tc>
        <w:tc>
          <w:tcPr>
            <w:tcMar>
              <w:top w:type="dxa" w:w="80"/>
              <w:left w:type="dxa" w:w="80"/>
              <w:bottom w:type="dxa" w:w="80"/>
              <w:right w:type="dxa" w:w="80"/>
            </w:tcMar>
            <w:vAlign w:val="center"/>
          </w:tcPr>
          <w:p>
            <w:pPr>
              <w:jc w:val="center"/>
            </w:pPr>
            <w:r>
              <w:t xml:space="preserve">CRM for pharma only</w:t>
            </w:r>
          </w:p>
        </w:tc>
        <w:tc>
          <w:tcPr>
            <w:tcMar>
              <w:top w:type="dxa" w:w="80"/>
              <w:left w:type="dxa" w:w="80"/>
              <w:bottom w:type="dxa" w:w="80"/>
              <w:right w:type="dxa" w:w="80"/>
            </w:tcMar>
            <w:vAlign w:val="center"/>
          </w:tcPr>
          <w:p>
            <w:pPr>
              <w:jc w:val="center"/>
            </w:pPr>
            <w:r>
              <w:t xml:space="preserve">Horizontal (all healthcare participants)</w:t>
            </w:r>
          </w:p>
        </w:tc>
      </w:tr>
      <w:tr>
        <w:tc>
          <w:tcPr>
            <w:tcMar>
              <w:top w:type="dxa" w:w="80"/>
              <w:left w:type="dxa" w:w="80"/>
              <w:bottom w:type="dxa" w:w="80"/>
              <w:right w:type="dxa" w:w="80"/>
            </w:tcMar>
            <w:vAlign w:val="center"/>
          </w:tcPr>
          <w:p>
            <w:pPr>
              <w:jc w:val="center"/>
            </w:pPr>
            <w:r>
              <w:t xml:space="preserve">MedV</w:t>
            </w:r>
          </w:p>
        </w:tc>
        <w:tc>
          <w:tcPr>
            <w:tcMar>
              <w:top w:type="dxa" w:w="80"/>
              <w:left w:type="dxa" w:w="80"/>
              <w:bottom w:type="dxa" w:w="80"/>
              <w:right w:type="dxa" w:w="80"/>
            </w:tcMar>
            <w:vAlign w:val="center"/>
          </w:tcPr>
          <w:p>
            <w:pPr>
              <w:jc w:val="center"/>
            </w:pPr>
            <w:r>
              <w:t xml:space="preserve">$1.6B exit (GLP-1 telehealth)</w:t>
            </w:r>
          </w:p>
        </w:tc>
        <w:tc>
          <w:tcPr>
            <w:tcMar>
              <w:top w:type="dxa" w:w="80"/>
              <w:left w:type="dxa" w:w="80"/>
              <w:bottom w:type="dxa" w:w="80"/>
              <w:right w:type="dxa" w:w="80"/>
            </w:tcMar>
            <w:vAlign w:val="center"/>
          </w:tcPr>
          <w:p>
            <w:pPr>
              <w:jc w:val="center"/>
            </w:pPr>
            <w:r>
              <w:t xml:space="preserve">Telehealth only</w:t>
            </w:r>
          </w:p>
        </w:tc>
        <w:tc>
          <w:tcPr>
            <w:tcMar>
              <w:top w:type="dxa" w:w="80"/>
              <w:left w:type="dxa" w:w="80"/>
              <w:bottom w:type="dxa" w:w="80"/>
              <w:right w:type="dxa" w:w="80"/>
            </w:tcMar>
            <w:vAlign w:val="center"/>
          </w:tcPr>
          <w:p>
            <w:pPr>
              <w:jc w:val="center"/>
            </w:pPr>
            <w:r>
              <w:t xml:space="preserve">Underlying knowledge layer (not just apps)</w:t>
            </w:r>
          </w:p>
        </w:tc>
      </w:tr>
      <w:tr>
        <w:tc>
          <w:tcPr>
            <w:tcMar>
              <w:top w:type="dxa" w:w="80"/>
              <w:left w:type="dxa" w:w="80"/>
              <w:bottom w:type="dxa" w:w="80"/>
              <w:right w:type="dxa" w:w="80"/>
            </w:tcMar>
            <w:vAlign w:val="center"/>
          </w:tcPr>
          <w:p>
            <w:pPr>
              <w:jc w:val="center"/>
            </w:pPr>
            <w:r>
              <w:t xml:space="preserve">Epic / Cerner</w:t>
            </w:r>
          </w:p>
        </w:tc>
        <w:tc>
          <w:tcPr>
            <w:tcMar>
              <w:top w:type="dxa" w:w="80"/>
              <w:left w:type="dxa" w:w="80"/>
              <w:bottom w:type="dxa" w:w="80"/>
              <w:right w:type="dxa" w:w="80"/>
            </w:tcMar>
            <w:vAlign w:val="center"/>
          </w:tcPr>
          <w:p>
            <w:pPr>
              <w:jc w:val="center"/>
            </w:pPr>
            <w:r>
              <w:t xml:space="preserve">$100B+ (estimated)</w:t>
            </w:r>
          </w:p>
        </w:tc>
        <w:tc>
          <w:tcPr>
            <w:tcMar>
              <w:top w:type="dxa" w:w="80"/>
              <w:left w:type="dxa" w:w="80"/>
              <w:bottom w:type="dxa" w:w="80"/>
              <w:right w:type="dxa" w:w="80"/>
            </w:tcMar>
            <w:vAlign w:val="center"/>
          </w:tcPr>
          <w:p>
            <w:pPr>
              <w:jc w:val="center"/>
            </w:pPr>
            <w:r>
              <w:t xml:space="preserve">EHR incumbents</w:t>
            </w:r>
          </w:p>
        </w:tc>
        <w:tc>
          <w:tcPr>
            <w:tcMar>
              <w:top w:type="dxa" w:w="80"/>
              <w:left w:type="dxa" w:w="80"/>
              <w:bottom w:type="dxa" w:w="80"/>
              <w:right w:type="dxa" w:w="80"/>
            </w:tcMar>
            <w:vAlign w:val="center"/>
          </w:tcPr>
          <w:p>
            <w:pPr>
              <w:jc w:val="center"/>
            </w:pPr>
            <w:r>
              <w:t xml:space="preserve">AI-native, interoperable, open data</w:t>
            </w:r>
          </w:p>
        </w:tc>
      </w:tr>
    </w:tbl>
    <w:p>
      <w:pPr>
        <w:spacing w:after="120" w:before="0" w:line="240"/>
        <w:jc w:val="left"/>
      </w:pPr>
      <w:r>
        <w:t xml:space="preserve">HKG is the data layer — the infrastructure on which all other healthcare AI is built.</w:t>
      </w:r>
    </w:p>
    <w:r>
      <w:br w:type="page"/>
    </w:r>
    <w:p>
      <w:pPr>
        <w:pStyle w:val="Heading1"/>
        <w:pStyle w:val="Heading1"/>
        <w:spacing w:after="120" w:before="240" w:line="360"/>
        <w:jc w:val="left"/>
      </w:pPr>
      <w:r>
        <w:t xml:space="preserve">9. The Platform Pattern</w:t>
      </w:r>
    </w:p>
    <w:p>
      <w:pPr>
        <w:pStyle w:val="Heading2"/>
        <w:pStyle w:val="Heading2"/>
        <w:spacing w:after="100" w:before="180" w:line="360"/>
        <w:jc w:val="left"/>
      </w:pPr>
      <w:r>
        <w:t xml:space="preserve">"We Do Not Build Products. We Build the Pattern That Builds Products."</w:t>
      </w:r>
    </w:p>
    <w:p>
      <w:pPr>
        <w:spacing w:after="120" w:before="0" w:line="240"/>
        <w:jc w:val="left"/>
      </w:pPr>
      <w:r>
        <w:t xml:space="preserve">HKG is the third deployment of a proven architecture. Two verticals deployed at scale, four more scoped, nine more identified. Each vertical follows the same 4-lane, 3-surface, AI-native design.</w:t>
      </w:r>
    </w:p>
    <w:p>
      <w:pPr>
        <w:pStyle w:val="Heading2"/>
        <w:pStyle w:val="Heading2"/>
        <w:spacing w:after="100" w:before="180" w:line="360"/>
        <w:jc w:val="left"/>
      </w:pPr>
      <w:r>
        <w:t xml:space="preserve">Vertical Deployments</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gridCol w:w="100"/>
      </w:tblGrid>
      <w:tr>
        <w:tc>
          <w:tcPr>
            <w:shd w:color="E7E6E6" w:val="clear"/>
            <w:tcMar>
              <w:top w:type="dxa" w:w="80"/>
              <w:left w:type="dxa" w:w="80"/>
              <w:bottom w:type="dxa" w:w="80"/>
              <w:right w:type="dxa" w:w="80"/>
            </w:tcMar>
            <w:vAlign w:val="center"/>
          </w:tcPr>
          <w:p>
            <w:pPr>
              <w:jc w:val="center"/>
            </w:pPr>
            <w:r>
              <w:t xml:space="preserve">Vertical</w:t>
            </w:r>
          </w:p>
        </w:tc>
        <w:tc>
          <w:tcPr>
            <w:shd w:color="E7E6E6" w:val="clear"/>
            <w:tcMar>
              <w:top w:type="dxa" w:w="80"/>
              <w:left w:type="dxa" w:w="80"/>
              <w:bottom w:type="dxa" w:w="80"/>
              <w:right w:type="dxa" w:w="80"/>
            </w:tcMar>
            <w:vAlign w:val="center"/>
          </w:tcPr>
          <w:p>
            <w:pPr>
              <w:jc w:val="center"/>
            </w:pPr>
            <w:r>
              <w:t xml:space="preserve">TAM</w:t>
            </w:r>
          </w:p>
        </w:tc>
        <w:tc>
          <w:tcPr>
            <w:shd w:color="E7E6E6" w:val="clear"/>
            <w:tcMar>
              <w:top w:type="dxa" w:w="80"/>
              <w:left w:type="dxa" w:w="80"/>
              <w:bottom w:type="dxa" w:w="80"/>
              <w:right w:type="dxa" w:w="80"/>
            </w:tcMar>
            <w:vAlign w:val="center"/>
          </w:tcPr>
          <w:p>
            <w:pPr>
              <w:jc w:val="center"/>
            </w:pPr>
            <w:r>
              <w:t xml:space="preserve">Status</w:t>
            </w:r>
          </w:p>
        </w:tc>
        <w:tc>
          <w:tcPr>
            <w:shd w:color="E7E6E6" w:val="clear"/>
            <w:tcMar>
              <w:top w:type="dxa" w:w="80"/>
              <w:left w:type="dxa" w:w="80"/>
              <w:bottom w:type="dxa" w:w="80"/>
              <w:right w:type="dxa" w:w="80"/>
            </w:tcMar>
            <w:vAlign w:val="center"/>
          </w:tcPr>
          <w:p>
            <w:pPr>
              <w:jc w:val="center"/>
            </w:pPr>
            <w:r>
              <w:t xml:space="preserve">Revenue</w:t>
            </w:r>
          </w:p>
        </w:tc>
        <w:tc>
          <w:tcPr>
            <w:shd w:color="E7E6E6" w:val="clear"/>
            <w:tcMar>
              <w:top w:type="dxa" w:w="80"/>
              <w:left w:type="dxa" w:w="80"/>
              <w:bottom w:type="dxa" w:w="80"/>
              <w:right w:type="dxa" w:w="80"/>
            </w:tcMar>
            <w:vAlign w:val="center"/>
          </w:tcPr>
          <w:p>
            <w:pPr>
              <w:jc w:val="center"/>
            </w:pPr>
            <w:r>
              <w:t xml:space="preserve">Partner</w:t>
            </w:r>
          </w:p>
        </w:tc>
      </w:tr>
      <w:tr>
        <w:tc>
          <w:tcPr>
            <w:tcMar>
              <w:top w:type="dxa" w:w="80"/>
              <w:left w:type="dxa" w:w="80"/>
              <w:bottom w:type="dxa" w:w="80"/>
              <w:right w:type="dxa" w:w="80"/>
            </w:tcMar>
            <w:vAlign w:val="center"/>
          </w:tcPr>
          <w:p>
            <w:pPr>
              <w:jc w:val="center"/>
            </w:pPr>
            <w:r>
              <w:t xml:space="preserve">BKG (Construction)</w:t>
            </w:r>
          </w:p>
        </w:tc>
        <w:tc>
          <w:tcPr>
            <w:tcMar>
              <w:top w:type="dxa" w:w="80"/>
              <w:left w:type="dxa" w:w="80"/>
              <w:bottom w:type="dxa" w:w="80"/>
              <w:right w:type="dxa" w:w="80"/>
            </w:tcMar>
            <w:vAlign w:val="center"/>
          </w:tcPr>
          <w:p>
            <w:pPr>
              <w:jc w:val="center"/>
            </w:pPr>
            <w:r>
              <w:t xml:space="preserve">$17 trillion</w:t>
            </w:r>
          </w:p>
        </w:tc>
        <w:tc>
          <w:tcPr>
            <w:tcMar>
              <w:top w:type="dxa" w:w="80"/>
              <w:left w:type="dxa" w:w="80"/>
              <w:bottom w:type="dxa" w:w="80"/>
              <w:right w:type="dxa" w:w="80"/>
            </w:tcMar>
            <w:vAlign w:val="center"/>
          </w:tcPr>
          <w:p>
            <w:pPr>
              <w:jc w:val="center"/>
            </w:pPr>
            <w:r>
              <w:t xml:space="preserve">LIVE</w:t>
            </w:r>
          </w:p>
        </w:tc>
        <w:tc>
          <w:tcPr>
            <w:tcMar>
              <w:top w:type="dxa" w:w="80"/>
              <w:left w:type="dxa" w:w="80"/>
              <w:bottom w:type="dxa" w:w="80"/>
              <w:right w:type="dxa" w:w="80"/>
            </w:tcMar>
            <w:vAlign w:val="center"/>
          </w:tcPr>
          <w:p>
            <w:pPr>
              <w:jc w:val="center"/>
            </w:pPr>
            <w:r>
              <w:t xml:space="preserve">Growing</w:t>
            </w:r>
          </w:p>
        </w:tc>
        <w:tc>
          <w:tcPr>
            <w:tcMar>
              <w:top w:type="dxa" w:w="80"/>
              <w:left w:type="dxa" w:w="80"/>
              <w:bottom w:type="dxa" w:w="80"/>
              <w:right w:type="dxa" w:w="80"/>
            </w:tcMar>
            <w:vAlign w:val="center"/>
          </w:tcPr>
          <w:p>
            <w:pPr>
              <w:jc w:val="center"/>
            </w:pPr>
            <w:r>
              <w:t xml:space="preserve">In discussion</w:t>
            </w:r>
          </w:p>
        </w:tc>
      </w:tr>
      <w:tr>
        <w:tc>
          <w:tcPr>
            <w:tcMar>
              <w:top w:type="dxa" w:w="80"/>
              <w:left w:type="dxa" w:w="80"/>
              <w:bottom w:type="dxa" w:w="80"/>
              <w:right w:type="dxa" w:w="80"/>
            </w:tcMar>
            <w:vAlign w:val="center"/>
          </w:tcPr>
          <w:p>
            <w:pPr>
              <w:jc w:val="center"/>
            </w:pPr>
            <w:r>
              <w:t xml:space="preserve">OKG (Botanical)</w:t>
            </w:r>
          </w:p>
        </w:tc>
        <w:tc>
          <w:tcPr>
            <w:tcMar>
              <w:top w:type="dxa" w:w="80"/>
              <w:left w:type="dxa" w:w="80"/>
              <w:bottom w:type="dxa" w:w="80"/>
              <w:right w:type="dxa" w:w="80"/>
            </w:tcMar>
            <w:vAlign w:val="center"/>
          </w:tcPr>
          <w:p>
            <w:pPr>
              <w:jc w:val="center"/>
            </w:pPr>
            <w:r>
              <w:t xml:space="preserve">$100 billion+</w:t>
            </w:r>
          </w:p>
        </w:tc>
        <w:tc>
          <w:tcPr>
            <w:tcMar>
              <w:top w:type="dxa" w:w="80"/>
              <w:left w:type="dxa" w:w="80"/>
              <w:bottom w:type="dxa" w:w="80"/>
              <w:right w:type="dxa" w:w="80"/>
            </w:tcMar>
            <w:vAlign w:val="center"/>
          </w:tcPr>
          <w:p>
            <w:pPr>
              <w:jc w:val="center"/>
            </w:pPr>
            <w:r>
              <w:t xml:space="preserve">DEPLOYED</w:t>
            </w:r>
          </w:p>
        </w:tc>
        <w:tc>
          <w:tcPr>
            <w:tcMar>
              <w:top w:type="dxa" w:w="80"/>
              <w:left w:type="dxa" w:w="80"/>
              <w:bottom w:type="dxa" w:w="80"/>
              <w:right w:type="dxa" w:w="80"/>
            </w:tcMar>
            <w:vAlign w:val="center"/>
          </w:tcPr>
          <w:p>
            <w:pPr>
              <w:jc w:val="center"/>
            </w:pPr>
            <w:r>
              <w:t xml:space="preserve">$250K ARR</w:t>
            </w:r>
          </w:p>
        </w:tc>
        <w:tc>
          <w:tcPr>
            <w:tcMar>
              <w:top w:type="dxa" w:w="80"/>
              <w:left w:type="dxa" w:w="80"/>
              <w:bottom w:type="dxa" w:w="80"/>
              <w:right w:type="dxa" w:w="80"/>
            </w:tcMar>
            <w:vAlign w:val="center"/>
          </w:tcPr>
          <w:p>
            <w:pPr>
              <w:jc w:val="center"/>
            </w:pPr>
            <w:r>
              <w:t xml:space="preserve">Ecuagenera partnership</w:t>
            </w:r>
          </w:p>
        </w:tc>
      </w:tr>
      <w:tr>
        <w:tc>
          <w:tcPr>
            <w:tcMar>
              <w:top w:type="dxa" w:w="80"/>
              <w:left w:type="dxa" w:w="80"/>
              <w:bottom w:type="dxa" w:w="80"/>
              <w:right w:type="dxa" w:w="80"/>
            </w:tcMar>
            <w:vAlign w:val="center"/>
          </w:tcPr>
          <w:p>
            <w:pPr>
              <w:jc w:val="center"/>
            </w:pPr>
            <w:r>
              <w:t xml:space="preserve">HKG (Healthcare)</w:t>
            </w:r>
          </w:p>
        </w:tc>
        <w:tc>
          <w:tcPr>
            <w:tcMar>
              <w:top w:type="dxa" w:w="80"/>
              <w:left w:type="dxa" w:w="80"/>
              <w:bottom w:type="dxa" w:w="80"/>
              <w:right w:type="dxa" w:w="80"/>
            </w:tcMar>
            <w:vAlign w:val="center"/>
          </w:tcPr>
          <w:p>
            <w:pPr>
              <w:jc w:val="center"/>
            </w:pPr>
            <w:r>
              <w:t xml:space="preserve">$12 trillion</w:t>
            </w:r>
          </w:p>
        </w:tc>
        <w:tc>
          <w:tcPr>
            <w:tcMar>
              <w:top w:type="dxa" w:w="80"/>
              <w:left w:type="dxa" w:w="80"/>
              <w:bottom w:type="dxa" w:w="80"/>
              <w:right w:type="dxa" w:w="80"/>
            </w:tcMar>
            <w:vAlign w:val="center"/>
          </w:tcPr>
          <w:p>
            <w:pPr>
              <w:jc w:val="center"/>
            </w:pPr>
            <w:r>
              <w:t xml:space="preserve">BUILDING</w:t>
            </w:r>
          </w:p>
        </w:tc>
        <w:tc>
          <w:tcPr>
            <w:tcMar>
              <w:top w:type="dxa" w:w="80"/>
              <w:left w:type="dxa" w:w="80"/>
              <w:bottom w:type="dxa" w:w="80"/>
              <w:right w:type="dxa" w:w="80"/>
            </w:tcMar>
            <w:vAlign w:val="center"/>
          </w:tcPr>
          <w:p>
            <w:pPr>
              <w:jc w:val="center"/>
            </w:pPr>
            <w:r>
              <w:t xml:space="preserve">$1M target Y1</w:t>
            </w:r>
          </w:p>
        </w:tc>
        <w:tc>
          <w:tcPr>
            <w:tcMar>
              <w:top w:type="dxa" w:w="80"/>
              <w:left w:type="dxa" w:w="80"/>
              <w:bottom w:type="dxa" w:w="80"/>
              <w:right w:type="dxa" w:w="80"/>
            </w:tcMar>
            <w:vAlign w:val="center"/>
          </w:tcPr>
          <w:p>
            <w:pPr>
              <w:jc w:val="center"/>
            </w:pPr>
            <w:r>
              <w:t xml:space="preserve">John Bou (Modio founder)</w:t>
            </w:r>
          </w:p>
        </w:tc>
      </w:tr>
    </w:tbl>
    <w:p>
      <w:pPr>
        <w:pStyle w:val="Heading2"/>
        <w:pStyle w:val="Heading2"/>
        <w:spacing w:after="100" w:before="180" w:line="360"/>
        <w:jc w:val="left"/>
      </w:pPr>
      <w:r>
        <w:t xml:space="preserve">9 More Verticals Identified</w:t>
      </w:r>
    </w:p>
    <w:p>
      <w:pPr>
        <w:pStyle w:val="ListParagraph"/>
        <w:numPr>
          <w:ilvl w:val="0"/>
          <w:numId w:val="1"/>
        </w:numPr>
        <w:spacing w:after="60" w:before="60" w:line="240"/>
      </w:pPr>
      <w:r>
        <w:t xml:space="preserve">Legal ($1.3T)</w:t>
      </w:r>
    </w:p>
    <w:p>
      <w:pPr>
        <w:pStyle w:val="ListParagraph"/>
        <w:numPr>
          <w:ilvl w:val="0"/>
          <w:numId w:val="1"/>
        </w:numPr>
        <w:spacing w:after="60" w:before="60" w:line="240"/>
      </w:pPr>
      <w:r>
        <w:t xml:space="preserve">Education ($1.8T)</w:t>
      </w:r>
    </w:p>
    <w:p>
      <w:pPr>
        <w:pStyle w:val="ListParagraph"/>
        <w:numPr>
          <w:ilvl w:val="0"/>
          <w:numId w:val="1"/>
        </w:numPr>
        <w:spacing w:after="60" w:before="60" w:line="240"/>
      </w:pPr>
      <w:r>
        <w:t xml:space="preserve">Finance ($100T+ assets under management)</w:t>
      </w:r>
    </w:p>
    <w:p>
      <w:pPr>
        <w:pStyle w:val="ListParagraph"/>
        <w:numPr>
          <w:ilvl w:val="0"/>
          <w:numId w:val="1"/>
        </w:numPr>
        <w:spacing w:after="60" w:before="60" w:line="240"/>
      </w:pPr>
      <w:r>
        <w:t xml:space="preserve">Agriculture ($1.3T)</w:t>
      </w:r>
    </w:p>
    <w:p>
      <w:pPr>
        <w:pStyle w:val="ListParagraph"/>
        <w:numPr>
          <w:ilvl w:val="0"/>
          <w:numId w:val="1"/>
        </w:numPr>
        <w:spacing w:after="60" w:before="60" w:line="240"/>
      </w:pPr>
      <w:r>
        <w:t xml:space="preserve">Energy ($2T+)</w:t>
      </w:r>
    </w:p>
    <w:p>
      <w:pPr>
        <w:pStyle w:val="ListParagraph"/>
        <w:numPr>
          <w:ilvl w:val="0"/>
          <w:numId w:val="1"/>
        </w:numPr>
        <w:spacing w:after="60" w:before="60" w:line="240"/>
      </w:pPr>
      <w:r>
        <w:t xml:space="preserve">Real Estate ($60T)</w:t>
      </w:r>
    </w:p>
    <w:p>
      <w:pPr>
        <w:pStyle w:val="ListParagraph"/>
        <w:numPr>
          <w:ilvl w:val="0"/>
          <w:numId w:val="1"/>
        </w:numPr>
        <w:spacing w:after="60" w:before="60" w:line="240"/>
      </w:pPr>
      <w:r>
        <w:t xml:space="preserve">Pharma (subset of healthcare)</w:t>
      </w:r>
    </w:p>
    <w:p>
      <w:pPr>
        <w:pStyle w:val="ListParagraph"/>
        <w:numPr>
          <w:ilvl w:val="0"/>
          <w:numId w:val="1"/>
        </w:numPr>
        <w:spacing w:after="60" w:before="60" w:line="240"/>
      </w:pPr>
      <w:r>
        <w:t xml:space="preserve">Insurance (subset of healthcare)</w:t>
      </w:r>
    </w:p>
    <w:p>
      <w:pPr>
        <w:pStyle w:val="ListParagraph"/>
        <w:numPr>
          <w:ilvl w:val="0"/>
          <w:numId w:val="1"/>
        </w:numPr>
        <w:spacing w:after="60" w:before="60" w:line="240"/>
      </w:pPr>
      <w:r>
        <w:t xml:space="preserve">Government ($8T spending)</w:t>
      </w:r>
    </w:p>
    <w:p>
      <w:pPr>
        <w:pStyle w:val="Heading2"/>
        <w:pStyle w:val="Heading2"/>
        <w:spacing w:after="100" w:before="180" w:line="360"/>
        <w:jc w:val="left"/>
      </w:pPr>
      <w:r>
        <w:t xml:space="preserve">Platform Scale (All Verticals)</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tblGrid>
      <w:tr>
        <w:tc>
          <w:tcPr>
            <w:shd w:color="E7E6E6" w:val="clear"/>
            <w:tcMar>
              <w:top w:type="dxa" w:w="80"/>
              <w:left w:type="dxa" w:w="80"/>
              <w:bottom w:type="dxa" w:w="80"/>
              <w:right w:type="dxa" w:w="80"/>
            </w:tcMar>
            <w:vAlign w:val="center"/>
          </w:tcPr>
          <w:p>
            <w:pPr>
              <w:jc w:val="center"/>
            </w:pPr>
            <w:r>
              <w:t xml:space="preserve">Year</w:t>
            </w:r>
          </w:p>
        </w:tc>
        <w:tc>
          <w:tcPr>
            <w:shd w:color="E7E6E6" w:val="clear"/>
            <w:tcMar>
              <w:top w:type="dxa" w:w="80"/>
              <w:left w:type="dxa" w:w="80"/>
              <w:bottom w:type="dxa" w:w="80"/>
              <w:right w:type="dxa" w:w="80"/>
            </w:tcMar>
            <w:vAlign w:val="center"/>
          </w:tcPr>
          <w:p>
            <w:pPr>
              <w:jc w:val="center"/>
            </w:pPr>
            <w:r>
              <w:t xml:space="preserve">All Verticals ARR</w:t>
            </w:r>
          </w:p>
        </w:tc>
        <w:tc>
          <w:tcPr>
            <w:shd w:color="E7E6E6" w:val="clear"/>
            <w:tcMar>
              <w:top w:type="dxa" w:w="80"/>
              <w:left w:type="dxa" w:w="80"/>
              <w:bottom w:type="dxa" w:w="80"/>
              <w:right w:type="dxa" w:w="80"/>
            </w:tcMar>
            <w:vAlign w:val="center"/>
          </w:tcPr>
          <w:p>
            <w:pPr>
              <w:jc w:val="center"/>
            </w:pPr>
            <w:r>
              <w:t xml:space="preserve">HKG-Only ARR</w:t>
            </w:r>
          </w:p>
        </w:tc>
      </w:tr>
      <w:tr>
        <w:tc>
          <w:tcPr>
            <w:tcMar>
              <w:top w:type="dxa" w:w="80"/>
              <w:left w:type="dxa" w:w="80"/>
              <w:bottom w:type="dxa" w:w="80"/>
              <w:right w:type="dxa" w:w="80"/>
            </w:tcMar>
            <w:vAlign w:val="center"/>
          </w:tcPr>
          <w:p>
            <w:pPr>
              <w:jc w:val="center"/>
            </w:pPr>
            <w:r>
              <w:t xml:space="preserve">Year 1</w:t>
            </w:r>
          </w:p>
        </w:tc>
        <w:tc>
          <w:tcPr>
            <w:tcMar>
              <w:top w:type="dxa" w:w="80"/>
              <w:left w:type="dxa" w:w="80"/>
              <w:bottom w:type="dxa" w:w="80"/>
              <w:right w:type="dxa" w:w="80"/>
            </w:tcMar>
            <w:vAlign w:val="center"/>
          </w:tcPr>
          <w:p>
            <w:pPr>
              <w:jc w:val="center"/>
            </w:pPr>
            <w:r>
              <w:t xml:space="preserve">$1.7M</w:t>
            </w:r>
          </w:p>
        </w:tc>
        <w:tc>
          <w:tcPr>
            <w:tcMar>
              <w:top w:type="dxa" w:w="80"/>
              <w:left w:type="dxa" w:w="80"/>
              <w:bottom w:type="dxa" w:w="80"/>
              <w:right w:type="dxa" w:w="80"/>
            </w:tcMar>
            <w:vAlign w:val="center"/>
          </w:tcPr>
          <w:p>
            <w:pPr>
              <w:jc w:val="center"/>
            </w:pPr>
            <w:r>
              <w:t xml:space="preserve">$1M</w:t>
            </w:r>
          </w:p>
        </w:tc>
      </w:tr>
      <w:tr>
        <w:tc>
          <w:tcPr>
            <w:tcMar>
              <w:top w:type="dxa" w:w="80"/>
              <w:left w:type="dxa" w:w="80"/>
              <w:bottom w:type="dxa" w:w="80"/>
              <w:right w:type="dxa" w:w="80"/>
            </w:tcMar>
            <w:vAlign w:val="center"/>
          </w:tcPr>
          <w:p>
            <w:pPr>
              <w:jc w:val="center"/>
            </w:pPr>
            <w:r>
              <w:t xml:space="preserve">Year 2</w:t>
            </w:r>
          </w:p>
        </w:tc>
        <w:tc>
          <w:tcPr>
            <w:tcMar>
              <w:top w:type="dxa" w:w="80"/>
              <w:left w:type="dxa" w:w="80"/>
              <w:bottom w:type="dxa" w:w="80"/>
              <w:right w:type="dxa" w:w="80"/>
            </w:tcMar>
            <w:vAlign w:val="center"/>
          </w:tcPr>
          <w:p>
            <w:pPr>
              <w:jc w:val="center"/>
            </w:pPr>
            <w:r>
              <w:t xml:space="preserve">$9M</w:t>
            </w:r>
          </w:p>
        </w:tc>
        <w:tc>
          <w:tcPr>
            <w:tcMar>
              <w:top w:type="dxa" w:w="80"/>
              <w:left w:type="dxa" w:w="80"/>
              <w:bottom w:type="dxa" w:w="80"/>
              <w:right w:type="dxa" w:w="80"/>
            </w:tcMar>
            <w:vAlign w:val="center"/>
          </w:tcPr>
          <w:p>
            <w:pPr>
              <w:jc w:val="center"/>
            </w:pPr>
            <w:r>
              <w:t xml:space="preserve">$5M</w:t>
            </w:r>
          </w:p>
        </w:tc>
      </w:tr>
      <w:tr>
        <w:tc>
          <w:tcPr>
            <w:tcMar>
              <w:top w:type="dxa" w:w="80"/>
              <w:left w:type="dxa" w:w="80"/>
              <w:bottom w:type="dxa" w:w="80"/>
              <w:right w:type="dxa" w:w="80"/>
            </w:tcMar>
            <w:vAlign w:val="center"/>
          </w:tcPr>
          <w:p>
            <w:pPr>
              <w:jc w:val="center"/>
            </w:pPr>
            <w:r>
              <w:t xml:space="preserve">Year 3</w:t>
            </w:r>
          </w:p>
        </w:tc>
        <w:tc>
          <w:tcPr>
            <w:tcMar>
              <w:top w:type="dxa" w:w="80"/>
              <w:left w:type="dxa" w:w="80"/>
              <w:bottom w:type="dxa" w:w="80"/>
              <w:right w:type="dxa" w:w="80"/>
            </w:tcMar>
            <w:vAlign w:val="center"/>
          </w:tcPr>
          <w:p>
            <w:pPr>
              <w:jc w:val="center"/>
            </w:pPr>
            <w:r>
              <w:t xml:space="preserve">$58M</w:t>
            </w:r>
          </w:p>
        </w:tc>
        <w:tc>
          <w:tcPr>
            <w:tcMar>
              <w:top w:type="dxa" w:w="80"/>
              <w:left w:type="dxa" w:w="80"/>
              <w:bottom w:type="dxa" w:w="80"/>
              <w:right w:type="dxa" w:w="80"/>
            </w:tcMar>
            <w:vAlign w:val="center"/>
          </w:tcPr>
          <w:p>
            <w:pPr>
              <w:jc w:val="center"/>
            </w:pPr>
            <w:r>
              <w:t xml:space="preserve">$25M</w:t>
            </w:r>
          </w:p>
        </w:tc>
      </w:tr>
      <w:tr>
        <w:tc>
          <w:tcPr>
            <w:tcMar>
              <w:top w:type="dxa" w:w="80"/>
              <w:left w:type="dxa" w:w="80"/>
              <w:bottom w:type="dxa" w:w="80"/>
              <w:right w:type="dxa" w:w="80"/>
            </w:tcMar>
            <w:vAlign w:val="center"/>
          </w:tcPr>
          <w:p>
            <w:pPr>
              <w:jc w:val="center"/>
            </w:pPr>
            <w:r>
              <w:t xml:space="preserve">Year 4</w:t>
            </w:r>
          </w:p>
        </w:tc>
        <w:tc>
          <w:tcPr>
            <w:tcMar>
              <w:top w:type="dxa" w:w="80"/>
              <w:left w:type="dxa" w:w="80"/>
              <w:bottom w:type="dxa" w:w="80"/>
              <w:right w:type="dxa" w:w="80"/>
            </w:tcMar>
            <w:vAlign w:val="center"/>
          </w:tcPr>
          <w:p>
            <w:pPr>
              <w:jc w:val="center"/>
            </w:pPr>
            <w:r>
              <w:t xml:space="preserve">$228M</w:t>
            </w:r>
          </w:p>
        </w:tc>
        <w:tc>
          <w:tcPr>
            <w:tcMar>
              <w:top w:type="dxa" w:w="80"/>
              <w:left w:type="dxa" w:w="80"/>
              <w:bottom w:type="dxa" w:w="80"/>
              <w:right w:type="dxa" w:w="80"/>
            </w:tcMar>
            <w:vAlign w:val="center"/>
          </w:tcPr>
          <w:p>
            <w:pPr>
              <w:jc w:val="center"/>
            </w:pPr>
            <w:r>
              <w:t xml:space="preserve">$80M</w:t>
            </w:r>
          </w:p>
        </w:tc>
      </w:tr>
      <w:tr>
        <w:tc>
          <w:tcPr>
            <w:tcMar>
              <w:top w:type="dxa" w:w="80"/>
              <w:left w:type="dxa" w:w="80"/>
              <w:bottom w:type="dxa" w:w="80"/>
              <w:right w:type="dxa" w:w="80"/>
            </w:tcMar>
            <w:vAlign w:val="center"/>
          </w:tcPr>
          <w:p>
            <w:pPr>
              <w:jc w:val="center"/>
            </w:pPr>
            <w:r>
              <w:t xml:space="preserve">Year 5</w:t>
            </w:r>
          </w:p>
        </w:tc>
        <w:tc>
          <w:tcPr>
            <w:tcMar>
              <w:top w:type="dxa" w:w="80"/>
              <w:left w:type="dxa" w:w="80"/>
              <w:bottom w:type="dxa" w:w="80"/>
              <w:right w:type="dxa" w:w="80"/>
            </w:tcMar>
            <w:vAlign w:val="center"/>
          </w:tcPr>
          <w:p>
            <w:pPr>
              <w:jc w:val="center"/>
            </w:pPr>
            <w:r>
              <w:t xml:space="preserve">$710M</w:t>
            </w:r>
          </w:p>
        </w:tc>
        <w:tc>
          <w:tcPr>
            <w:tcMar>
              <w:top w:type="dxa" w:w="80"/>
              <w:left w:type="dxa" w:w="80"/>
              <w:bottom w:type="dxa" w:w="80"/>
              <w:right w:type="dxa" w:w="80"/>
            </w:tcMar>
            <w:vAlign w:val="center"/>
          </w:tcPr>
          <w:p>
            <w:pPr>
              <w:jc w:val="center"/>
            </w:pPr>
            <w:r>
              <w:t xml:space="preserve">$200M</w:t>
            </w:r>
          </w:p>
        </w:tc>
      </w:tr>
    </w:tbl>
    <w:r>
      <w:br w:type="page"/>
    </w:r>
    <w:p>
      <w:pPr>
        <w:pStyle w:val="Heading1"/>
        <w:pStyle w:val="Heading1"/>
        <w:spacing w:after="120" w:before="240" w:line="360"/>
        <w:jc w:val="left"/>
      </w:pPr>
      <w:r>
        <w:t xml:space="preserve">10. Go-to-Market</w:t>
      </w:r>
    </w:p>
    <w:p>
      <w:pPr>
        <w:pStyle w:val="Heading2"/>
        <w:pStyle w:val="Heading2"/>
        <w:spacing w:after="100" w:before="180" w:line="360"/>
        <w:jc w:val="left"/>
      </w:pPr>
      <w:r>
        <w:t xml:space="preserve">Patient Gravity Well (Months 1–10)</w:t>
      </w:r>
    </w:p>
    <w:p>
      <w:pPr>
        <w:pStyle w:val="ListParagraph"/>
        <w:numPr>
          <w:ilvl w:val="0"/>
          <w:numId w:val="1"/>
        </w:numPr>
        <w:spacing w:after="60" w:before="60" w:line="240"/>
      </w:pPr>
      <w:r>
        <w:t xml:space="preserve">Free drug interaction checker, provider search, clinical trial finder</w:t>
      </w:r>
    </w:p>
    <w:p>
      <w:pPr>
        <w:pStyle w:val="ListParagraph"/>
        <w:numPr>
          <w:ilvl w:val="0"/>
          <w:numId w:val="1"/>
        </w:numPr>
        <w:spacing w:after="60" w:before="60" w:line="240"/>
      </w:pPr>
      <w:r>
        <w:t xml:space="preserve">Target: 500,000 monthly visitors by Month 10</w:t>
      </w:r>
    </w:p>
    <w:p>
      <w:pPr>
        <w:pStyle w:val="ListParagraph"/>
        <w:numPr>
          <w:ilvl w:val="0"/>
          <w:numId w:val="1"/>
        </w:numPr>
        <w:spacing w:after="60" w:before="60" w:line="240"/>
      </w:pPr>
      <w:r>
        <w:t xml:space="preserve">Drives organic awareness and provider credibility (network effects)</w:t>
      </w:r>
    </w:p>
    <w:p>
      <w:pPr>
        <w:pStyle w:val="Heading2"/>
        <w:pStyle w:val="Heading2"/>
        <w:spacing w:after="100" w:before="180" w:line="360"/>
        <w:jc w:val="left"/>
      </w:pPr>
      <w:r>
        <w:t xml:space="preserve">AI Agent Discovery (Months 6–12)</w:t>
      </w:r>
    </w:p>
    <w:p>
      <w:pPr>
        <w:pStyle w:val="ListParagraph"/>
        <w:numPr>
          <w:ilvl w:val="0"/>
          <w:numId w:val="1"/>
        </w:numPr>
        <w:spacing w:after="60" w:before="60" w:line="240"/>
      </w:pPr>
      <w:r>
        <w:t xml:space="preserve">llms.txt + JSON-LD → AI citations at scale</w:t>
      </w:r>
    </w:p>
    <w:p>
      <w:pPr>
        <w:pStyle w:val="ListParagraph"/>
        <w:numPr>
          <w:ilvl w:val="0"/>
          <w:numId w:val="1"/>
        </w:numPr>
        <w:spacing w:after="60" w:before="60" w:line="240"/>
      </w:pPr>
      <w:r>
        <w:t xml:space="preserve">Every major AI model (Claude, GPT, Gemini) can cite HKG data natively</w:t>
      </w:r>
    </w:p>
    <w:p>
      <w:pPr>
        <w:pStyle w:val="ListParagraph"/>
        <w:numPr>
          <w:ilvl w:val="0"/>
          <w:numId w:val="1"/>
        </w:numPr>
        <w:spacing w:after="60" w:before="60" w:line="240"/>
      </w:pPr>
      <w:r>
        <w:t xml:space="preserve">Target: AI citation share tracking by Month 12</w:t>
      </w:r>
    </w:p>
    <w:p>
      <w:pPr>
        <w:pStyle w:val="Heading2"/>
        <w:pStyle w:val="Heading2"/>
        <w:spacing w:after="100" w:before="180" w:line="360"/>
        <w:jc w:val="left"/>
      </w:pPr>
      <w:r>
        <w:t xml:space="preserve">Enterprise Sales (Months 3–12)</w:t>
      </w:r>
    </w:p>
    <w:p>
      <w:pPr>
        <w:pStyle w:val="ListParagraph"/>
        <w:numPr>
          <w:ilvl w:val="0"/>
          <w:numId w:val="1"/>
        </w:numPr>
        <w:spacing w:after="60" w:before="60" w:line="240"/>
      </w:pPr>
      <w:r>
        <w:t xml:space="preserve">John Bou's healthcare network: 1,000+ health systems, 700K+ managed providers</w:t>
      </w:r>
    </w:p>
    <w:p>
      <w:pPr>
        <w:pStyle w:val="ListParagraph"/>
        <w:numPr>
          <w:ilvl w:val="0"/>
          <w:numId w:val="1"/>
        </w:numPr>
        <w:spacing w:after="60" w:before="60" w:line="240"/>
      </w:pPr>
      <w:r>
        <w:t xml:space="preserve">Admin Lane sales: Credentialing engines, provider lifecycle management</w:t>
      </w:r>
    </w:p>
    <w:p>
      <w:pPr>
        <w:pStyle w:val="ListParagraph"/>
        <w:numPr>
          <w:ilvl w:val="0"/>
          <w:numId w:val="1"/>
        </w:numPr>
        <w:spacing w:after="60" w:before="60" w:line="240"/>
      </w:pPr>
      <w:r>
        <w:t xml:space="preserve">Target: 500+ enterprise customers by Month 12</w:t>
      </w:r>
    </w:p>
    <w:p>
      <w:pPr>
        <w:pStyle w:val="Heading2"/>
        <w:pStyle w:val="Heading2"/>
        <w:spacing w:after="100" w:before="180" w:line="360"/>
        <w:jc w:val="left"/>
      </w:pPr>
      <w:r>
        <w:t xml:space="preserve">Press &amp; Thought Leadership</w:t>
      </w:r>
    </w:p>
    <w:p>
      <w:pPr>
        <w:pStyle w:val="ListParagraph"/>
        <w:numPr>
          <w:ilvl w:val="0"/>
          <w:numId w:val="1"/>
        </w:numPr>
        <w:spacing w:after="60" w:before="60" w:line="240"/>
      </w:pPr>
      <w:r>
        <w:t xml:space="preserve">What My Mother Taught Me About AI - Chilly's mother (Kathleen Dahlgren, IBM, UCLA, MIT Press)</w:t>
      </w:r>
    </w:p>
    <w:p>
      <w:pPr>
        <w:pStyle w:val="ListParagraph"/>
        <w:numPr>
          <w:ilvl w:val="0"/>
          <w:numId w:val="1"/>
        </w:numPr>
        <w:spacing w:after="60" w:before="60" w:line="240"/>
      </w:pPr>
      <w:r>
        <w:t xml:space="preserve">Knowledge Garden pattern narrative — the horizontal platform play</w:t>
      </w:r>
    </w:p>
    <w:p>
      <w:pPr>
        <w:pStyle w:val="Heading2"/>
        <w:pStyle w:val="Heading2"/>
        <w:spacing w:after="100" w:before="180" w:line="360"/>
        <w:jc w:val="left"/>
      </w:pPr>
      <w:r>
        <w:t xml:space="preserve">Developer Community</w:t>
      </w:r>
    </w:p>
    <w:p>
      <w:pPr>
        <w:pStyle w:val="ListParagraph"/>
        <w:numPr>
          <w:ilvl w:val="0"/>
          <w:numId w:val="1"/>
        </w:numPr>
        <w:spacing w:after="60" w:before="60" w:line="240"/>
      </w:pPr>
      <w:r>
        <w:t xml:space="preserve">Open Machine Lane API → 100+ API consumers by Month 9</w:t>
      </w:r>
    </w:p>
    <w:p>
      <w:pPr>
        <w:pStyle w:val="ListParagraph"/>
        <w:numPr>
          <w:ilvl w:val="0"/>
          <w:numId w:val="1"/>
        </w:numPr>
        <w:spacing w:after="60" w:before="60" w:line="240"/>
      </w:pPr>
      <w:r>
        <w:t xml:space="preserve">MCP server as industry standard for healthcare AI agents</w:t>
      </w:r>
    </w:p>
    <w:r>
      <w:br w:type="page"/>
    </w:r>
    <w:p>
      <w:pPr>
        <w:pStyle w:val="Heading1"/>
        <w:pStyle w:val="Heading1"/>
        <w:spacing w:after="120" w:before="240" w:line="360"/>
        <w:jc w:val="left"/>
      </w:pPr>
      <w:r>
        <w:t xml:space="preserve">11. The Team</w:t>
      </w:r>
    </w:p>
    <w:p>
      <w:pPr>
        <w:pStyle w:val="Heading2"/>
        <w:pStyle w:val="Heading2"/>
        <w:spacing w:after="100" w:before="180" w:line="360"/>
        <w:jc w:val="left"/>
      </w:pPr>
      <w:r>
        <w:t xml:space="preserve">Charles Chilly Dahlgren — Co-Founder &amp; CTO</w:t>
      </w:r>
    </w:p>
    <w:p>
      <w:pPr>
        <w:pStyle w:val="ListParagraph"/>
        <w:numPr>
          <w:ilvl w:val="0"/>
          <w:numId w:val="1"/>
        </w:numPr>
        <w:spacing w:after="60" w:before="60" w:line="240"/>
      </w:pPr>
      <w:r>
        <w:t xml:space="preserve">Second-generation AI pioneer. Mother: Kathleen Dahlgren, IBM Senior Scientist, UCLA professor, MIT Press author of Naive Semantics for Natural Language Understanding</w:t>
      </w:r>
    </w:p>
    <w:p>
      <w:pPr>
        <w:pStyle w:val="ListParagraph"/>
        <w:numPr>
          <w:ilvl w:val="0"/>
          <w:numId w:val="1"/>
        </w:numPr>
        <w:spacing w:after="60" w:before="60" w:line="240"/>
      </w:pPr>
      <w:r>
        <w:t xml:space="preserve">NYU Film School, worked with Alex Kurtzman / Roberto Orci (Star Trek, Transformers)</w:t>
      </w:r>
    </w:p>
    <w:p>
      <w:pPr>
        <w:pStyle w:val="ListParagraph"/>
        <w:numPr>
          <w:ilvl w:val="0"/>
          <w:numId w:val="1"/>
        </w:numPr>
        <w:spacing w:after="60" w:before="60" w:line="240"/>
      </w:pPr>
      <w:r>
        <w:t xml:space="preserve">Won Magic Leap × Verizon 5G hackathon</w:t>
      </w:r>
    </w:p>
    <w:p>
      <w:pPr>
        <w:pStyle w:val="ListParagraph"/>
        <w:numPr>
          <w:ilvl w:val="0"/>
          <w:numId w:val="1"/>
        </w:numPr>
        <w:spacing w:after="60" w:before="60" w:line="240"/>
      </w:pPr>
      <w:r>
        <w:t xml:space="preserve">Ethereal Engine: Acquired by Infinite Reality, $75 million acquisition, $2.5 billion valuation</w:t>
      </w:r>
    </w:p>
    <w:p>
      <w:pPr>
        <w:pStyle w:val="ListParagraph"/>
        <w:numPr>
          <w:ilvl w:val="0"/>
          <w:numId w:val="1"/>
        </w:numPr>
        <w:spacing w:after="60" w:before="60" w:line="240"/>
      </w:pPr>
      <w:r>
        <w:t xml:space="preserve">Architected and deployed Knowledge Garden pattern across 3 verticals (BKG, OKG, HKG)</w:t>
      </w:r>
    </w:p>
    <w:p>
      <w:pPr>
        <w:pStyle w:val="Heading2"/>
        <w:pStyle w:val="Heading2"/>
        <w:spacing w:after="100" w:before="180" w:line="360"/>
        <w:jc w:val="left"/>
      </w:pPr>
      <w:r>
        <w:t xml:space="preserve">John Bou — Co-Founder &amp; CEO</w:t>
      </w:r>
    </w:p>
    <w:p>
      <w:pPr>
        <w:pStyle w:val="ListParagraph"/>
        <w:numPr>
          <w:ilvl w:val="0"/>
          <w:numId w:val="1"/>
        </w:numPr>
        <w:spacing w:after="60" w:before="60" w:line="240"/>
      </w:pPr>
      <w:r>
        <w:t xml:space="preserve">Co-founded Modio Health (2014), built to KLAS #1 credentialing platform (91/100 rating)</w:t>
      </w:r>
    </w:p>
    <w:p>
      <w:pPr>
        <w:pStyle w:val="ListParagraph"/>
        <w:numPr>
          <w:ilvl w:val="0"/>
          <w:numId w:val="1"/>
        </w:numPr>
        <w:spacing w:after="60" w:before="60" w:line="240"/>
      </w:pPr>
      <w:r>
        <w:t xml:space="preserve">Modio acquired by CHG Healthcare (2019)</w:t>
      </w:r>
    </w:p>
    <w:p>
      <w:pPr>
        <w:pStyle w:val="ListParagraph"/>
        <w:numPr>
          <w:ilvl w:val="0"/>
          <w:numId w:val="1"/>
        </w:numPr>
        <w:spacing w:after="60" w:before="60" w:line="240"/>
      </w:pPr>
      <w:r>
        <w:t xml:space="preserve">Currently President at CHG, managing 700,000+ providers for ~1,000 healthcare organizations</w:t>
      </w:r>
    </w:p>
    <w:p>
      <w:pPr>
        <w:pStyle w:val="ListParagraph"/>
        <w:numPr>
          <w:ilvl w:val="0"/>
          <w:numId w:val="1"/>
        </w:numPr>
        <w:spacing w:after="60" w:before="60" w:line="240"/>
      </w:pPr>
      <w:r>
        <w:t xml:space="preserve">15+ years healthcare IT experience</w:t>
      </w:r>
    </w:p>
    <w:p>
      <w:pPr>
        <w:pStyle w:val="ListParagraph"/>
        <w:numPr>
          <w:ilvl w:val="0"/>
          <w:numId w:val="1"/>
        </w:numPr>
        <w:spacing w:after="60" w:before="60" w:line="240"/>
      </w:pPr>
      <w:r>
        <w:t xml:space="preserve">Built and sold the market leader — now building the AI-native successor</w:t>
      </w:r>
    </w:p>
    <w:r>
      <w:br w:type="page"/>
    </w:r>
    <w:p>
      <w:pPr>
        <w:pStyle w:val="Heading1"/>
        <w:pStyle w:val="Heading1"/>
        <w:spacing w:after="120" w:before="240" w:line="360"/>
        <w:jc w:val="left"/>
      </w:pPr>
      <w:r>
        <w:t xml:space="preserve">12. Financial Projections</w:t>
      </w:r>
    </w:p>
    <w:p>
      <w:pPr>
        <w:pStyle w:val="Heading2"/>
        <w:pStyle w:val="Heading2"/>
        <w:spacing w:after="100" w:before="180" w:line="360"/>
        <w:jc w:val="left"/>
      </w:pPr>
      <w:r>
        <w:t xml:space="preserve">HKG-Only Revenue (5-Year Roadmap)</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gridCol w:w="100"/>
        <w:gridCol w:w="100"/>
      </w:tblGrid>
      <w:tr>
        <w:tc>
          <w:tcPr>
            <w:shd w:color="E7E6E6" w:val="clear"/>
            <w:tcMar>
              <w:top w:type="dxa" w:w="80"/>
              <w:left w:type="dxa" w:w="80"/>
              <w:bottom w:type="dxa" w:w="80"/>
              <w:right w:type="dxa" w:w="80"/>
            </w:tcMar>
            <w:vAlign w:val="center"/>
          </w:tcPr>
          <w:p>
            <w:pPr>
              <w:jc w:val="center"/>
            </w:pPr>
            <w:r>
              <w:t xml:space="preserve">Year</w:t>
            </w:r>
          </w:p>
        </w:tc>
        <w:tc>
          <w:tcPr>
            <w:shd w:color="E7E6E6" w:val="clear"/>
            <w:tcMar>
              <w:top w:type="dxa" w:w="80"/>
              <w:left w:type="dxa" w:w="80"/>
              <w:bottom w:type="dxa" w:w="80"/>
              <w:right w:type="dxa" w:w="80"/>
            </w:tcMar>
            <w:vAlign w:val="center"/>
          </w:tcPr>
          <w:p>
            <w:pPr>
              <w:jc w:val="center"/>
            </w:pPr>
            <w:r>
              <w:t xml:space="preserve">Admin Lane</w:t>
            </w:r>
          </w:p>
        </w:tc>
        <w:tc>
          <w:tcPr>
            <w:shd w:color="E7E6E6" w:val="clear"/>
            <w:tcMar>
              <w:top w:type="dxa" w:w="80"/>
              <w:left w:type="dxa" w:w="80"/>
              <w:bottom w:type="dxa" w:w="80"/>
              <w:right w:type="dxa" w:w="80"/>
            </w:tcMar>
            <w:vAlign w:val="center"/>
          </w:tcPr>
          <w:p>
            <w:pPr>
              <w:jc w:val="center"/>
            </w:pPr>
            <w:r>
              <w:t xml:space="preserve">Doctor Lane</w:t>
            </w:r>
          </w:p>
        </w:tc>
        <w:tc>
          <w:tcPr>
            <w:shd w:color="E7E6E6" w:val="clear"/>
            <w:tcMar>
              <w:top w:type="dxa" w:w="80"/>
              <w:left w:type="dxa" w:w="80"/>
              <w:bottom w:type="dxa" w:w="80"/>
              <w:right w:type="dxa" w:w="80"/>
            </w:tcMar>
            <w:vAlign w:val="center"/>
          </w:tcPr>
          <w:p>
            <w:pPr>
              <w:jc w:val="center"/>
            </w:pPr>
            <w:r>
              <w:t xml:space="preserve">Patient Lane</w:t>
            </w:r>
          </w:p>
        </w:tc>
        <w:tc>
          <w:tcPr>
            <w:shd w:color="E7E6E6" w:val="clear"/>
            <w:tcMar>
              <w:top w:type="dxa" w:w="80"/>
              <w:left w:type="dxa" w:w="80"/>
              <w:bottom w:type="dxa" w:w="80"/>
              <w:right w:type="dxa" w:w="80"/>
            </w:tcMar>
            <w:vAlign w:val="center"/>
          </w:tcPr>
          <w:p>
            <w:pPr>
              <w:jc w:val="center"/>
            </w:pPr>
            <w:r>
              <w:t xml:space="preserve">Machine Lane</w:t>
            </w:r>
          </w:p>
        </w:tc>
        <w:tc>
          <w:tcPr>
            <w:shd w:color="E7E6E6" w:val="clear"/>
            <w:tcMar>
              <w:top w:type="dxa" w:w="80"/>
              <w:left w:type="dxa" w:w="80"/>
              <w:bottom w:type="dxa" w:w="80"/>
              <w:right w:type="dxa" w:w="80"/>
            </w:tcMar>
            <w:vAlign w:val="center"/>
          </w:tcPr>
          <w:p>
            <w:pPr>
              <w:jc w:val="center"/>
            </w:pPr>
            <w:r>
              <w:t xml:space="preserve">Total ARR</w:t>
            </w:r>
          </w:p>
        </w:tc>
      </w:tr>
      <w:tr>
        <w:tc>
          <w:tcPr>
            <w:tcMar>
              <w:top w:type="dxa" w:w="80"/>
              <w:left w:type="dxa" w:w="80"/>
              <w:bottom w:type="dxa" w:w="80"/>
              <w:right w:type="dxa" w:w="80"/>
            </w:tcMar>
            <w:vAlign w:val="center"/>
          </w:tcPr>
          <w:p>
            <w:pPr>
              <w:jc w:val="center"/>
            </w:pPr>
            <w:r>
              <w:t xml:space="preserve">Year 1</w:t>
            </w:r>
          </w:p>
        </w:tc>
        <w:tc>
          <w:tcPr>
            <w:tcMar>
              <w:top w:type="dxa" w:w="80"/>
              <w:left w:type="dxa" w:w="80"/>
              <w:bottom w:type="dxa" w:w="80"/>
              <w:right w:type="dxa" w:w="80"/>
            </w:tcMar>
            <w:vAlign w:val="center"/>
          </w:tcPr>
          <w:p>
            <w:pPr>
              <w:jc w:val="center"/>
            </w:pPr>
            <w:r>
              <w:t xml:space="preserve">$100K</w:t>
            </w:r>
          </w:p>
        </w:tc>
        <w:tc>
          <w:tcPr>
            <w:tcMar>
              <w:top w:type="dxa" w:w="80"/>
              <w:left w:type="dxa" w:w="80"/>
              <w:bottom w:type="dxa" w:w="80"/>
              <w:right w:type="dxa" w:w="80"/>
            </w:tcMar>
            <w:vAlign w:val="center"/>
          </w:tcPr>
          <w:p>
            <w:pPr>
              <w:jc w:val="center"/>
            </w:pPr>
            <w:r>
              <w:t xml:space="preserve">$50K</w:t>
            </w:r>
          </w:p>
        </w:tc>
        <w:tc>
          <w:tcPr>
            <w:tcMar>
              <w:top w:type="dxa" w:w="80"/>
              <w:left w:type="dxa" w:w="80"/>
              <w:bottom w:type="dxa" w:w="80"/>
              <w:right w:type="dxa" w:w="80"/>
            </w:tcMar>
            <w:vAlign w:val="center"/>
          </w:tcPr>
          <w:p>
            <w:pPr>
              <w:jc w:val="center"/>
            </w:pPr>
            <w:r>
              <w:t xml:space="preserve">$250K</w:t>
            </w:r>
          </w:p>
        </w:tc>
        <w:tc>
          <w:tcPr>
            <w:tcMar>
              <w:top w:type="dxa" w:w="80"/>
              <w:left w:type="dxa" w:w="80"/>
              <w:bottom w:type="dxa" w:w="80"/>
              <w:right w:type="dxa" w:w="80"/>
            </w:tcMar>
            <w:vAlign w:val="center"/>
          </w:tcPr>
          <w:p>
            <w:pPr>
              <w:jc w:val="center"/>
            </w:pPr>
            <w:r>
              <w:t xml:space="preserve">$600K</w:t>
            </w:r>
          </w:p>
        </w:tc>
        <w:tc>
          <w:tcPr>
            <w:tcMar>
              <w:top w:type="dxa" w:w="80"/>
              <w:left w:type="dxa" w:w="80"/>
              <w:bottom w:type="dxa" w:w="80"/>
              <w:right w:type="dxa" w:w="80"/>
            </w:tcMar>
            <w:vAlign w:val="center"/>
          </w:tcPr>
          <w:p>
            <w:pPr>
              <w:jc w:val="center"/>
            </w:pPr>
            <w:r>
              <w:t xml:space="preserve">$1M</w:t>
            </w:r>
          </w:p>
        </w:tc>
      </w:tr>
      <w:tr>
        <w:tc>
          <w:tcPr>
            <w:tcMar>
              <w:top w:type="dxa" w:w="80"/>
              <w:left w:type="dxa" w:w="80"/>
              <w:bottom w:type="dxa" w:w="80"/>
              <w:right w:type="dxa" w:w="80"/>
            </w:tcMar>
            <w:vAlign w:val="center"/>
          </w:tcPr>
          <w:p>
            <w:pPr>
              <w:jc w:val="center"/>
            </w:pPr>
            <w:r>
              <w:t xml:space="preserve">Year 2</w:t>
            </w:r>
          </w:p>
        </w:tc>
        <w:tc>
          <w:tcPr>
            <w:tcMar>
              <w:top w:type="dxa" w:w="80"/>
              <w:left w:type="dxa" w:w="80"/>
              <w:bottom w:type="dxa" w:w="80"/>
              <w:right w:type="dxa" w:w="80"/>
            </w:tcMar>
            <w:vAlign w:val="center"/>
          </w:tcPr>
          <w:p>
            <w:pPr>
              <w:jc w:val="center"/>
            </w:pPr>
            <w:r>
              <w:t xml:space="preserve">$800K</w:t>
            </w:r>
          </w:p>
        </w:tc>
        <w:tc>
          <w:tcPr>
            <w:tcMar>
              <w:top w:type="dxa" w:w="80"/>
              <w:left w:type="dxa" w:w="80"/>
              <w:bottom w:type="dxa" w:w="80"/>
              <w:right w:type="dxa" w:w="80"/>
            </w:tcMar>
            <w:vAlign w:val="center"/>
          </w:tcPr>
          <w:p>
            <w:pPr>
              <w:jc w:val="center"/>
            </w:pPr>
            <w:r>
              <w:t xml:space="preserve">$400K</w:t>
            </w:r>
          </w:p>
        </w:tc>
        <w:tc>
          <w:tcPr>
            <w:tcMar>
              <w:top w:type="dxa" w:w="80"/>
              <w:left w:type="dxa" w:w="80"/>
              <w:bottom w:type="dxa" w:w="80"/>
              <w:right w:type="dxa" w:w="80"/>
            </w:tcMar>
            <w:vAlign w:val="center"/>
          </w:tcPr>
          <w:p>
            <w:pPr>
              <w:jc w:val="center"/>
            </w:pPr>
            <w:r>
              <w:t xml:space="preserve">$1.5M</w:t>
            </w:r>
          </w:p>
        </w:tc>
        <w:tc>
          <w:tcPr>
            <w:tcMar>
              <w:top w:type="dxa" w:w="80"/>
              <w:left w:type="dxa" w:w="80"/>
              <w:bottom w:type="dxa" w:w="80"/>
              <w:right w:type="dxa" w:w="80"/>
            </w:tcMar>
            <w:vAlign w:val="center"/>
          </w:tcPr>
          <w:p>
            <w:pPr>
              <w:jc w:val="center"/>
            </w:pPr>
            <w:r>
              <w:t xml:space="preserve">$2.3M</w:t>
            </w:r>
          </w:p>
        </w:tc>
        <w:tc>
          <w:tcPr>
            <w:tcMar>
              <w:top w:type="dxa" w:w="80"/>
              <w:left w:type="dxa" w:w="80"/>
              <w:bottom w:type="dxa" w:w="80"/>
              <w:right w:type="dxa" w:w="80"/>
            </w:tcMar>
            <w:vAlign w:val="center"/>
          </w:tcPr>
          <w:p>
            <w:pPr>
              <w:jc w:val="center"/>
            </w:pPr>
            <w:r>
              <w:t xml:space="preserve">$5M</w:t>
            </w:r>
          </w:p>
        </w:tc>
      </w:tr>
      <w:tr>
        <w:tc>
          <w:tcPr>
            <w:tcMar>
              <w:top w:type="dxa" w:w="80"/>
              <w:left w:type="dxa" w:w="80"/>
              <w:bottom w:type="dxa" w:w="80"/>
              <w:right w:type="dxa" w:w="80"/>
            </w:tcMar>
            <w:vAlign w:val="center"/>
          </w:tcPr>
          <w:p>
            <w:pPr>
              <w:jc w:val="center"/>
            </w:pPr>
            <w:r>
              <w:t xml:space="preserve">Year 3</w:t>
            </w:r>
          </w:p>
        </w:tc>
        <w:tc>
          <w:tcPr>
            <w:tcMar>
              <w:top w:type="dxa" w:w="80"/>
              <w:left w:type="dxa" w:w="80"/>
              <w:bottom w:type="dxa" w:w="80"/>
              <w:right w:type="dxa" w:w="80"/>
            </w:tcMar>
            <w:vAlign w:val="center"/>
          </w:tcPr>
          <w:p>
            <w:pPr>
              <w:jc w:val="center"/>
            </w:pPr>
            <w:r>
              <w:t xml:space="preserve">$6M</w:t>
            </w:r>
          </w:p>
        </w:tc>
        <w:tc>
          <w:tcPr>
            <w:tcMar>
              <w:top w:type="dxa" w:w="80"/>
              <w:left w:type="dxa" w:w="80"/>
              <w:bottom w:type="dxa" w:w="80"/>
              <w:right w:type="dxa" w:w="80"/>
            </w:tcMar>
            <w:vAlign w:val="center"/>
          </w:tcPr>
          <w:p>
            <w:pPr>
              <w:jc w:val="center"/>
            </w:pPr>
            <w:r>
              <w:t xml:space="preserve">$3M</w:t>
            </w:r>
          </w:p>
        </w:tc>
        <w:tc>
          <w:tcPr>
            <w:tcMar>
              <w:top w:type="dxa" w:w="80"/>
              <w:left w:type="dxa" w:w="80"/>
              <w:bottom w:type="dxa" w:w="80"/>
              <w:right w:type="dxa" w:w="80"/>
            </w:tcMar>
            <w:vAlign w:val="center"/>
          </w:tcPr>
          <w:p>
            <w:pPr>
              <w:jc w:val="center"/>
            </w:pPr>
            <w:r>
              <w:t xml:space="preserve">$8M</w:t>
            </w:r>
          </w:p>
        </w:tc>
        <w:tc>
          <w:tcPr>
            <w:tcMar>
              <w:top w:type="dxa" w:w="80"/>
              <w:left w:type="dxa" w:w="80"/>
              <w:bottom w:type="dxa" w:w="80"/>
              <w:right w:type="dxa" w:w="80"/>
            </w:tcMar>
            <w:vAlign w:val="center"/>
          </w:tcPr>
          <w:p>
            <w:pPr>
              <w:jc w:val="center"/>
            </w:pPr>
            <w:r>
              <w:t xml:space="preserve">$8M</w:t>
            </w:r>
          </w:p>
        </w:tc>
        <w:tc>
          <w:tcPr>
            <w:tcMar>
              <w:top w:type="dxa" w:w="80"/>
              <w:left w:type="dxa" w:w="80"/>
              <w:bottom w:type="dxa" w:w="80"/>
              <w:right w:type="dxa" w:w="80"/>
            </w:tcMar>
            <w:vAlign w:val="center"/>
          </w:tcPr>
          <w:p>
            <w:pPr>
              <w:jc w:val="center"/>
            </w:pPr>
            <w:r>
              <w:t xml:space="preserve">$25M</w:t>
            </w:r>
          </w:p>
        </w:tc>
      </w:tr>
      <w:tr>
        <w:tc>
          <w:tcPr>
            <w:tcMar>
              <w:top w:type="dxa" w:w="80"/>
              <w:left w:type="dxa" w:w="80"/>
              <w:bottom w:type="dxa" w:w="80"/>
              <w:right w:type="dxa" w:w="80"/>
            </w:tcMar>
            <w:vAlign w:val="center"/>
          </w:tcPr>
          <w:p>
            <w:pPr>
              <w:jc w:val="center"/>
            </w:pPr>
            <w:r>
              <w:t xml:space="preserve">Year 4</w:t>
            </w:r>
          </w:p>
        </w:tc>
        <w:tc>
          <w:tcPr>
            <w:tcMar>
              <w:top w:type="dxa" w:w="80"/>
              <w:left w:type="dxa" w:w="80"/>
              <w:bottom w:type="dxa" w:w="80"/>
              <w:right w:type="dxa" w:w="80"/>
            </w:tcMar>
            <w:vAlign w:val="center"/>
          </w:tcPr>
          <w:p>
            <w:pPr>
              <w:jc w:val="center"/>
            </w:pPr>
            <w:r>
              <w:t xml:space="preserve">$20M</w:t>
            </w:r>
          </w:p>
        </w:tc>
        <w:tc>
          <w:tcPr>
            <w:tcMar>
              <w:top w:type="dxa" w:w="80"/>
              <w:left w:type="dxa" w:w="80"/>
              <w:bottom w:type="dxa" w:w="80"/>
              <w:right w:type="dxa" w:w="80"/>
            </w:tcMar>
            <w:vAlign w:val="center"/>
          </w:tcPr>
          <w:p>
            <w:pPr>
              <w:jc w:val="center"/>
            </w:pPr>
            <w:r>
              <w:t xml:space="preserve">$15M</w:t>
            </w:r>
          </w:p>
        </w:tc>
        <w:tc>
          <w:tcPr>
            <w:tcMar>
              <w:top w:type="dxa" w:w="80"/>
              <w:left w:type="dxa" w:w="80"/>
              <w:bottom w:type="dxa" w:w="80"/>
              <w:right w:type="dxa" w:w="80"/>
            </w:tcMar>
            <w:vAlign w:val="center"/>
          </w:tcPr>
          <w:p>
            <w:pPr>
              <w:jc w:val="center"/>
            </w:pPr>
            <w:r>
              <w:t xml:space="preserve">$25M</w:t>
            </w:r>
          </w:p>
        </w:tc>
        <w:tc>
          <w:tcPr>
            <w:tcMar>
              <w:top w:type="dxa" w:w="80"/>
              <w:left w:type="dxa" w:w="80"/>
              <w:bottom w:type="dxa" w:w="80"/>
              <w:right w:type="dxa" w:w="80"/>
            </w:tcMar>
            <w:vAlign w:val="center"/>
          </w:tcPr>
          <w:p>
            <w:pPr>
              <w:jc w:val="center"/>
            </w:pPr>
            <w:r>
              <w:t xml:space="preserve">$20M</w:t>
            </w:r>
          </w:p>
        </w:tc>
        <w:tc>
          <w:tcPr>
            <w:tcMar>
              <w:top w:type="dxa" w:w="80"/>
              <w:left w:type="dxa" w:w="80"/>
              <w:bottom w:type="dxa" w:w="80"/>
              <w:right w:type="dxa" w:w="80"/>
            </w:tcMar>
            <w:vAlign w:val="center"/>
          </w:tcPr>
          <w:p>
            <w:pPr>
              <w:jc w:val="center"/>
            </w:pPr>
            <w:r>
              <w:t xml:space="preserve">$80M</w:t>
            </w:r>
          </w:p>
        </w:tc>
      </w:tr>
      <w:tr>
        <w:tc>
          <w:tcPr>
            <w:tcMar>
              <w:top w:type="dxa" w:w="80"/>
              <w:left w:type="dxa" w:w="80"/>
              <w:bottom w:type="dxa" w:w="80"/>
              <w:right w:type="dxa" w:w="80"/>
            </w:tcMar>
            <w:vAlign w:val="center"/>
          </w:tcPr>
          <w:p>
            <w:pPr>
              <w:jc w:val="center"/>
            </w:pPr>
            <w:r>
              <w:t xml:space="preserve">Year 5</w:t>
            </w:r>
          </w:p>
        </w:tc>
        <w:tc>
          <w:tcPr>
            <w:tcMar>
              <w:top w:type="dxa" w:w="80"/>
              <w:left w:type="dxa" w:w="80"/>
              <w:bottom w:type="dxa" w:w="80"/>
              <w:right w:type="dxa" w:w="80"/>
            </w:tcMar>
            <w:vAlign w:val="center"/>
          </w:tcPr>
          <w:p>
            <w:pPr>
              <w:jc w:val="center"/>
            </w:pPr>
            <w:r>
              <w:t xml:space="preserve">$60M</w:t>
            </w:r>
          </w:p>
        </w:tc>
        <w:tc>
          <w:tcPr>
            <w:tcMar>
              <w:top w:type="dxa" w:w="80"/>
              <w:left w:type="dxa" w:w="80"/>
              <w:bottom w:type="dxa" w:w="80"/>
              <w:right w:type="dxa" w:w="80"/>
            </w:tcMar>
            <w:vAlign w:val="center"/>
          </w:tcPr>
          <w:p>
            <w:pPr>
              <w:jc w:val="center"/>
            </w:pPr>
            <w:r>
              <w:t xml:space="preserve">$50M</w:t>
            </w:r>
          </w:p>
        </w:tc>
        <w:tc>
          <w:tcPr>
            <w:tcMar>
              <w:top w:type="dxa" w:w="80"/>
              <w:left w:type="dxa" w:w="80"/>
              <w:bottom w:type="dxa" w:w="80"/>
              <w:right w:type="dxa" w:w="80"/>
            </w:tcMar>
            <w:vAlign w:val="center"/>
          </w:tcPr>
          <w:p>
            <w:pPr>
              <w:jc w:val="center"/>
            </w:pPr>
            <w:r>
              <w:t xml:space="preserve">$60M</w:t>
            </w:r>
          </w:p>
        </w:tc>
        <w:tc>
          <w:tcPr>
            <w:tcMar>
              <w:top w:type="dxa" w:w="80"/>
              <w:left w:type="dxa" w:w="80"/>
              <w:bottom w:type="dxa" w:w="80"/>
              <w:right w:type="dxa" w:w="80"/>
            </w:tcMar>
            <w:vAlign w:val="center"/>
          </w:tcPr>
          <w:p>
            <w:pPr>
              <w:jc w:val="center"/>
            </w:pPr>
            <w:r>
              <w:t xml:space="preserve">$30M</w:t>
            </w:r>
          </w:p>
        </w:tc>
        <w:tc>
          <w:tcPr>
            <w:tcMar>
              <w:top w:type="dxa" w:w="80"/>
              <w:left w:type="dxa" w:w="80"/>
              <w:bottom w:type="dxa" w:w="80"/>
              <w:right w:type="dxa" w:w="80"/>
            </w:tcMar>
            <w:vAlign w:val="center"/>
          </w:tcPr>
          <w:p>
            <w:pPr>
              <w:jc w:val="center"/>
            </w:pPr>
            <w:r>
              <w:t xml:space="preserve">$200M</w:t>
            </w:r>
          </w:p>
        </w:tc>
      </w:tr>
    </w:tbl>
    <w:p>
      <w:pPr>
        <w:pStyle w:val="Heading2"/>
        <w:pStyle w:val="Heading2"/>
        <w:spacing w:after="100" w:before="180" w:line="360"/>
        <w:jc w:val="left"/>
      </w:pPr>
      <w:r>
        <w:t xml:space="preserve">All Verticals Combined (5-Year Roadmap)</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tblGrid>
      <w:tr>
        <w:tc>
          <w:tcPr>
            <w:shd w:color="E7E6E6" w:val="clear"/>
            <w:tcMar>
              <w:top w:type="dxa" w:w="80"/>
              <w:left w:type="dxa" w:w="80"/>
              <w:bottom w:type="dxa" w:w="80"/>
              <w:right w:type="dxa" w:w="80"/>
            </w:tcMar>
            <w:vAlign w:val="center"/>
          </w:tcPr>
          <w:p>
            <w:pPr>
              <w:jc w:val="center"/>
            </w:pPr>
            <w:r>
              <w:t xml:space="preserve">Year</w:t>
            </w:r>
          </w:p>
        </w:tc>
        <w:tc>
          <w:tcPr>
            <w:shd w:color="E7E6E6" w:val="clear"/>
            <w:tcMar>
              <w:top w:type="dxa" w:w="80"/>
              <w:left w:type="dxa" w:w="80"/>
              <w:bottom w:type="dxa" w:w="80"/>
              <w:right w:type="dxa" w:w="80"/>
            </w:tcMar>
            <w:vAlign w:val="center"/>
          </w:tcPr>
          <w:p>
            <w:pPr>
              <w:jc w:val="center"/>
            </w:pPr>
            <w:r>
              <w:t xml:space="preserve">Total ARR</w:t>
            </w:r>
          </w:p>
        </w:tc>
        <w:tc>
          <w:tcPr>
            <w:shd w:color="E7E6E6" w:val="clear"/>
            <w:tcMar>
              <w:top w:type="dxa" w:w="80"/>
              <w:left w:type="dxa" w:w="80"/>
              <w:bottom w:type="dxa" w:w="80"/>
              <w:right w:type="dxa" w:w="80"/>
            </w:tcMar>
            <w:vAlign w:val="center"/>
          </w:tcPr>
          <w:p>
            <w:pPr>
              <w:jc w:val="center"/>
            </w:pPr>
            <w:r>
              <w:t xml:space="preserve">Growth</w:t>
            </w:r>
          </w:p>
        </w:tc>
      </w:tr>
      <w:tr>
        <w:tc>
          <w:tcPr>
            <w:tcMar>
              <w:top w:type="dxa" w:w="80"/>
              <w:left w:type="dxa" w:w="80"/>
              <w:bottom w:type="dxa" w:w="80"/>
              <w:right w:type="dxa" w:w="80"/>
            </w:tcMar>
            <w:vAlign w:val="center"/>
          </w:tcPr>
          <w:p>
            <w:pPr>
              <w:jc w:val="center"/>
            </w:pPr>
            <w:r>
              <w:t xml:space="preserve">Year 1</w:t>
            </w:r>
          </w:p>
        </w:tc>
        <w:tc>
          <w:tcPr>
            <w:tcMar>
              <w:top w:type="dxa" w:w="80"/>
              <w:left w:type="dxa" w:w="80"/>
              <w:bottom w:type="dxa" w:w="80"/>
              <w:right w:type="dxa" w:w="80"/>
            </w:tcMar>
            <w:vAlign w:val="center"/>
          </w:tcPr>
          <w:p>
            <w:pPr>
              <w:jc w:val="center"/>
            </w:pPr>
            <w:r>
              <w:t xml:space="preserve">$1.7M</w:t>
            </w:r>
          </w:p>
        </w:tc>
        <w:tc>
          <w:tcPr>
            <w:tcMar>
              <w:top w:type="dxa" w:w="80"/>
              <w:left w:type="dxa" w:w="80"/>
              <w:bottom w:type="dxa" w:w="80"/>
              <w:right w:type="dxa" w:w="80"/>
            </w:tcMar>
            <w:vAlign w:val="center"/>
          </w:tcPr>
          <w:p>
            <w:pPr>
              <w:jc w:val="center"/>
            </w:pPr>
            <w:r>
              <w:t xml:space="preserve">N/A</w:t>
            </w:r>
          </w:p>
        </w:tc>
      </w:tr>
      <w:tr>
        <w:tc>
          <w:tcPr>
            <w:tcMar>
              <w:top w:type="dxa" w:w="80"/>
              <w:left w:type="dxa" w:w="80"/>
              <w:bottom w:type="dxa" w:w="80"/>
              <w:right w:type="dxa" w:w="80"/>
            </w:tcMar>
            <w:vAlign w:val="center"/>
          </w:tcPr>
          <w:p>
            <w:pPr>
              <w:jc w:val="center"/>
            </w:pPr>
            <w:r>
              <w:t xml:space="preserve">Year 2</w:t>
            </w:r>
          </w:p>
        </w:tc>
        <w:tc>
          <w:tcPr>
            <w:tcMar>
              <w:top w:type="dxa" w:w="80"/>
              <w:left w:type="dxa" w:w="80"/>
              <w:bottom w:type="dxa" w:w="80"/>
              <w:right w:type="dxa" w:w="80"/>
            </w:tcMar>
            <w:vAlign w:val="center"/>
          </w:tcPr>
          <w:p>
            <w:pPr>
              <w:jc w:val="center"/>
            </w:pPr>
            <w:r>
              <w:t xml:space="preserve">$9M</w:t>
            </w:r>
          </w:p>
        </w:tc>
        <w:tc>
          <w:tcPr>
            <w:tcMar>
              <w:top w:type="dxa" w:w="80"/>
              <w:left w:type="dxa" w:w="80"/>
              <w:bottom w:type="dxa" w:w="80"/>
              <w:right w:type="dxa" w:w="80"/>
            </w:tcMar>
            <w:vAlign w:val="center"/>
          </w:tcPr>
          <w:p>
            <w:pPr>
              <w:jc w:val="center"/>
            </w:pPr>
            <w:r>
              <w:t xml:space="preserve">429%</w:t>
            </w:r>
          </w:p>
        </w:tc>
      </w:tr>
      <w:tr>
        <w:tc>
          <w:tcPr>
            <w:tcMar>
              <w:top w:type="dxa" w:w="80"/>
              <w:left w:type="dxa" w:w="80"/>
              <w:bottom w:type="dxa" w:w="80"/>
              <w:right w:type="dxa" w:w="80"/>
            </w:tcMar>
            <w:vAlign w:val="center"/>
          </w:tcPr>
          <w:p>
            <w:pPr>
              <w:jc w:val="center"/>
            </w:pPr>
            <w:r>
              <w:t xml:space="preserve">Year 3</w:t>
            </w:r>
          </w:p>
        </w:tc>
        <w:tc>
          <w:tcPr>
            <w:tcMar>
              <w:top w:type="dxa" w:w="80"/>
              <w:left w:type="dxa" w:w="80"/>
              <w:bottom w:type="dxa" w:w="80"/>
              <w:right w:type="dxa" w:w="80"/>
            </w:tcMar>
            <w:vAlign w:val="center"/>
          </w:tcPr>
          <w:p>
            <w:pPr>
              <w:jc w:val="center"/>
            </w:pPr>
            <w:r>
              <w:t xml:space="preserve">$58M</w:t>
            </w:r>
          </w:p>
        </w:tc>
        <w:tc>
          <w:tcPr>
            <w:tcMar>
              <w:top w:type="dxa" w:w="80"/>
              <w:left w:type="dxa" w:w="80"/>
              <w:bottom w:type="dxa" w:w="80"/>
              <w:right w:type="dxa" w:w="80"/>
            </w:tcMar>
            <w:vAlign w:val="center"/>
          </w:tcPr>
          <w:p>
            <w:pPr>
              <w:jc w:val="center"/>
            </w:pPr>
            <w:r>
              <w:t xml:space="preserve">544%</w:t>
            </w:r>
          </w:p>
        </w:tc>
      </w:tr>
      <w:tr>
        <w:tc>
          <w:tcPr>
            <w:tcMar>
              <w:top w:type="dxa" w:w="80"/>
              <w:left w:type="dxa" w:w="80"/>
              <w:bottom w:type="dxa" w:w="80"/>
              <w:right w:type="dxa" w:w="80"/>
            </w:tcMar>
            <w:vAlign w:val="center"/>
          </w:tcPr>
          <w:p>
            <w:pPr>
              <w:jc w:val="center"/>
            </w:pPr>
            <w:r>
              <w:t xml:space="preserve">Year 4</w:t>
            </w:r>
          </w:p>
        </w:tc>
        <w:tc>
          <w:tcPr>
            <w:tcMar>
              <w:top w:type="dxa" w:w="80"/>
              <w:left w:type="dxa" w:w="80"/>
              <w:bottom w:type="dxa" w:w="80"/>
              <w:right w:type="dxa" w:w="80"/>
            </w:tcMar>
            <w:vAlign w:val="center"/>
          </w:tcPr>
          <w:p>
            <w:pPr>
              <w:jc w:val="center"/>
            </w:pPr>
            <w:r>
              <w:t xml:space="preserve">$228M</w:t>
            </w:r>
          </w:p>
        </w:tc>
        <w:tc>
          <w:tcPr>
            <w:tcMar>
              <w:top w:type="dxa" w:w="80"/>
              <w:left w:type="dxa" w:w="80"/>
              <w:bottom w:type="dxa" w:w="80"/>
              <w:right w:type="dxa" w:w="80"/>
            </w:tcMar>
            <w:vAlign w:val="center"/>
          </w:tcPr>
          <w:p>
            <w:pPr>
              <w:jc w:val="center"/>
            </w:pPr>
            <w:r>
              <w:t xml:space="preserve">293%</w:t>
            </w:r>
          </w:p>
        </w:tc>
      </w:tr>
      <w:tr>
        <w:tc>
          <w:tcPr>
            <w:tcMar>
              <w:top w:type="dxa" w:w="80"/>
              <w:left w:type="dxa" w:w="80"/>
              <w:bottom w:type="dxa" w:w="80"/>
              <w:right w:type="dxa" w:w="80"/>
            </w:tcMar>
            <w:vAlign w:val="center"/>
          </w:tcPr>
          <w:p>
            <w:pPr>
              <w:jc w:val="center"/>
            </w:pPr>
            <w:r>
              <w:t xml:space="preserve">Year 5</w:t>
            </w:r>
          </w:p>
        </w:tc>
        <w:tc>
          <w:tcPr>
            <w:tcMar>
              <w:top w:type="dxa" w:w="80"/>
              <w:left w:type="dxa" w:w="80"/>
              <w:bottom w:type="dxa" w:w="80"/>
              <w:right w:type="dxa" w:w="80"/>
            </w:tcMar>
            <w:vAlign w:val="center"/>
          </w:tcPr>
          <w:p>
            <w:pPr>
              <w:jc w:val="center"/>
            </w:pPr>
            <w:r>
              <w:t xml:space="preserve">$710M</w:t>
            </w:r>
          </w:p>
        </w:tc>
        <w:tc>
          <w:tcPr>
            <w:tcMar>
              <w:top w:type="dxa" w:w="80"/>
              <w:left w:type="dxa" w:w="80"/>
              <w:bottom w:type="dxa" w:w="80"/>
              <w:right w:type="dxa" w:w="80"/>
            </w:tcMar>
            <w:vAlign w:val="center"/>
          </w:tcPr>
          <w:p>
            <w:pPr>
              <w:jc w:val="center"/>
            </w:pPr>
            <w:r>
              <w:t xml:space="preserve">211%</w:t>
            </w:r>
          </w:p>
        </w:tc>
      </w:tr>
    </w:tbl>
    <w:p>
      <w:pPr>
        <w:spacing w:after="120" w:before="0" w:line="240"/>
        <w:jc w:val="left"/>
      </w:pPr>
      <w:r>
        <w:t xml:space="preserve">Assumptions: 3–4 new verticals in production by Year 3. Admin lane CLV: $200K–$500K. Machine lane becomes dominant revenue stream (50%+ by Year 5).</w:t>
      </w:r>
    </w:p>
    <w:r>
      <w:br w:type="page"/>
    </w:r>
    <w:p>
      <w:pPr>
        <w:pStyle w:val="Heading1"/>
        <w:pStyle w:val="Heading1"/>
        <w:spacing w:after="120" w:before="240" w:line="360"/>
        <w:jc w:val="left"/>
      </w:pPr>
      <w:r>
        <w:t xml:space="preserve">13. The Ask</w:t>
      </w:r>
    </w:p>
    <w:p>
      <w:pPr>
        <w:pStyle w:val="Heading2"/>
        <w:pStyle w:val="Heading2"/>
        <w:spacing w:after="100" w:before="180" w:line="360"/>
        <w:jc w:val="left"/>
      </w:pPr>
      <w:r>
        <w:t xml:space="preserve">Seed Round: $5–8 Million</w:t>
      </w:r>
    </w:p>
    <w:p>
      <w:pPr>
        <w:pStyle w:val="Heading2"/>
        <w:pStyle w:val="Heading2"/>
        <w:spacing w:after="100" w:before="180" w:line="360"/>
        <w:jc w:val="left"/>
      </w:pPr>
      <w:r>
        <w:t xml:space="preserve">Valuation: $25–40 Million Post-Money</w:t>
      </w:r>
    </w:p>
    <w:p>
      <w:pPr>
        <w:pStyle w:val="Heading2"/>
        <w:pStyle w:val="Heading2"/>
        <w:spacing w:after="100" w:before="180" w:line="360"/>
        <w:jc w:val="left"/>
      </w:pPr>
      <w:r>
        <w:t xml:space="preserve">Use of Funds</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tblGrid>
      <w:tr>
        <w:tc>
          <w:tcPr>
            <w:shd w:color="E7E6E6" w:val="clear"/>
            <w:tcMar>
              <w:top w:type="dxa" w:w="80"/>
              <w:left w:type="dxa" w:w="80"/>
              <w:bottom w:type="dxa" w:w="80"/>
              <w:right w:type="dxa" w:w="80"/>
            </w:tcMar>
            <w:vAlign w:val="center"/>
          </w:tcPr>
          <w:p>
            <w:pPr>
              <w:jc w:val="center"/>
            </w:pPr>
            <w:r>
              <w:t xml:space="preserve">Category</w:t>
            </w:r>
          </w:p>
        </w:tc>
        <w:tc>
          <w:tcPr>
            <w:shd w:color="E7E6E6" w:val="clear"/>
            <w:tcMar>
              <w:top w:type="dxa" w:w="80"/>
              <w:left w:type="dxa" w:w="80"/>
              <w:bottom w:type="dxa" w:w="80"/>
              <w:right w:type="dxa" w:w="80"/>
            </w:tcMar>
            <w:vAlign w:val="center"/>
          </w:tcPr>
          <w:p>
            <w:pPr>
              <w:jc w:val="center"/>
            </w:pPr>
            <w:r>
              <w:t xml:space="preserve">Amount</w:t>
            </w:r>
          </w:p>
        </w:tc>
        <w:tc>
          <w:tcPr>
            <w:shd w:color="E7E6E6" w:val="clear"/>
            <w:tcMar>
              <w:top w:type="dxa" w:w="80"/>
              <w:left w:type="dxa" w:w="80"/>
              <w:bottom w:type="dxa" w:w="80"/>
              <w:right w:type="dxa" w:w="80"/>
            </w:tcMar>
            <w:vAlign w:val="center"/>
          </w:tcPr>
          <w:p>
            <w:pPr>
              <w:jc w:val="center"/>
            </w:pPr>
            <w:r>
              <w:t xml:space="preserve">Purpose</w:t>
            </w:r>
          </w:p>
        </w:tc>
      </w:tr>
      <w:tr>
        <w:tc>
          <w:tcPr>
            <w:tcMar>
              <w:top w:type="dxa" w:w="80"/>
              <w:left w:type="dxa" w:w="80"/>
              <w:bottom w:type="dxa" w:w="80"/>
              <w:right w:type="dxa" w:w="80"/>
            </w:tcMar>
            <w:vAlign w:val="center"/>
          </w:tcPr>
          <w:p>
            <w:pPr>
              <w:jc w:val="center"/>
            </w:pPr>
            <w:r>
              <w:t xml:space="preserve">Engineering</w:t>
            </w:r>
          </w:p>
        </w:tc>
        <w:tc>
          <w:tcPr>
            <w:tcMar>
              <w:top w:type="dxa" w:w="80"/>
              <w:left w:type="dxa" w:w="80"/>
              <w:bottom w:type="dxa" w:w="80"/>
              <w:right w:type="dxa" w:w="80"/>
            </w:tcMar>
            <w:vAlign w:val="center"/>
          </w:tcPr>
          <w:p>
            <w:pPr>
              <w:jc w:val="center"/>
            </w:pPr>
            <w:r>
              <w:t xml:space="preserve">$2M</w:t>
            </w:r>
          </w:p>
        </w:tc>
        <w:tc>
          <w:tcPr>
            <w:tcMar>
              <w:top w:type="dxa" w:w="80"/>
              <w:left w:type="dxa" w:w="80"/>
              <w:bottom w:type="dxa" w:w="80"/>
              <w:right w:type="dxa" w:w="80"/>
            </w:tcMar>
            <w:vAlign w:val="center"/>
          </w:tcPr>
          <w:p>
            <w:pPr>
              <w:jc w:val="center"/>
            </w:pPr>
            <w:r>
              <w:t xml:space="preserve">VP Engineering hire, team expansion (3 senior engineers)</w:t>
            </w:r>
          </w:p>
        </w:tc>
      </w:tr>
      <w:tr>
        <w:tc>
          <w:tcPr>
            <w:tcMar>
              <w:top w:type="dxa" w:w="80"/>
              <w:left w:type="dxa" w:w="80"/>
              <w:bottom w:type="dxa" w:w="80"/>
              <w:right w:type="dxa" w:w="80"/>
            </w:tcMar>
            <w:vAlign w:val="center"/>
          </w:tcPr>
          <w:p>
            <w:pPr>
              <w:jc w:val="center"/>
            </w:pPr>
            <w:r>
              <w:t xml:space="preserve">Product &amp; Admin Lane</w:t>
            </w:r>
          </w:p>
        </w:tc>
        <w:tc>
          <w:tcPr>
            <w:tcMar>
              <w:top w:type="dxa" w:w="80"/>
              <w:left w:type="dxa" w:w="80"/>
              <w:bottom w:type="dxa" w:w="80"/>
              <w:right w:type="dxa" w:w="80"/>
            </w:tcMar>
            <w:vAlign w:val="center"/>
          </w:tcPr>
          <w:p>
            <w:pPr>
              <w:jc w:val="center"/>
            </w:pPr>
            <w:r>
              <w:t xml:space="preserve">$1.5M</w:t>
            </w:r>
          </w:p>
        </w:tc>
        <w:tc>
          <w:tcPr>
            <w:tcMar>
              <w:top w:type="dxa" w:w="80"/>
              <w:left w:type="dxa" w:w="80"/>
              <w:bottom w:type="dxa" w:w="80"/>
              <w:right w:type="dxa" w:w="80"/>
            </w:tcMar>
            <w:vAlign w:val="center"/>
          </w:tcPr>
          <w:p>
            <w:pPr>
              <w:jc w:val="center"/>
            </w:pPr>
            <w:r>
              <w:t xml:space="preserve">Complete Admin Lane MLP, go-to-market for enterprise</w:t>
            </w:r>
          </w:p>
        </w:tc>
      </w:tr>
      <w:tr>
        <w:tc>
          <w:tcPr>
            <w:tcMar>
              <w:top w:type="dxa" w:w="80"/>
              <w:left w:type="dxa" w:w="80"/>
              <w:bottom w:type="dxa" w:w="80"/>
              <w:right w:type="dxa" w:w="80"/>
            </w:tcMar>
            <w:vAlign w:val="center"/>
          </w:tcPr>
          <w:p>
            <w:pPr>
              <w:jc w:val="center"/>
            </w:pPr>
            <w:r>
              <w:t xml:space="preserve">Data &amp; Machine Lane</w:t>
            </w:r>
          </w:p>
        </w:tc>
        <w:tc>
          <w:tcPr>
            <w:tcMar>
              <w:top w:type="dxa" w:w="80"/>
              <w:left w:type="dxa" w:w="80"/>
              <w:bottom w:type="dxa" w:w="80"/>
              <w:right w:type="dxa" w:w="80"/>
            </w:tcMar>
            <w:vAlign w:val="center"/>
          </w:tcPr>
          <w:p>
            <w:pPr>
              <w:jc w:val="center"/>
            </w:pPr>
            <w:r>
              <w:t xml:space="preserve">$1M</w:t>
            </w:r>
          </w:p>
        </w:tc>
        <w:tc>
          <w:tcPr>
            <w:tcMar>
              <w:top w:type="dxa" w:w="80"/>
              <w:left w:type="dxa" w:w="80"/>
              <w:bottom w:type="dxa" w:w="80"/>
              <w:right w:type="dxa" w:w="80"/>
            </w:tcMar>
            <w:vAlign w:val="center"/>
          </w:tcPr>
          <w:p>
            <w:pPr>
              <w:jc w:val="center"/>
            </w:pPr>
            <w:r>
              <w:t xml:space="preserve">Complete LOINC load (108K), SAM.gov integration, API tier deployment</w:t>
            </w:r>
          </w:p>
        </w:tc>
      </w:tr>
      <w:tr>
        <w:tc>
          <w:tcPr>
            <w:tcMar>
              <w:top w:type="dxa" w:w="80"/>
              <w:left w:type="dxa" w:w="80"/>
              <w:bottom w:type="dxa" w:w="80"/>
              <w:right w:type="dxa" w:w="80"/>
            </w:tcMar>
            <w:vAlign w:val="center"/>
          </w:tcPr>
          <w:p>
            <w:pPr>
              <w:jc w:val="center"/>
            </w:pPr>
            <w:r>
              <w:t xml:space="preserve">Operations &amp; BKG Revenue</w:t>
            </w:r>
          </w:p>
        </w:tc>
        <w:tc>
          <w:tcPr>
            <w:tcMar>
              <w:top w:type="dxa" w:w="80"/>
              <w:left w:type="dxa" w:w="80"/>
              <w:bottom w:type="dxa" w:w="80"/>
              <w:right w:type="dxa" w:w="80"/>
            </w:tcMar>
            <w:vAlign w:val="center"/>
          </w:tcPr>
          <w:p>
            <w:pPr>
              <w:jc w:val="center"/>
            </w:pPr>
            <w:r>
              <w:t xml:space="preserve">$0.8M</w:t>
            </w:r>
          </w:p>
        </w:tc>
        <w:tc>
          <w:tcPr>
            <w:tcMar>
              <w:top w:type="dxa" w:w="80"/>
              <w:left w:type="dxa" w:w="80"/>
              <w:bottom w:type="dxa" w:w="80"/>
              <w:right w:type="dxa" w:w="80"/>
            </w:tcMar>
            <w:vAlign w:val="center"/>
          </w:tcPr>
          <w:p>
            <w:pPr>
              <w:jc w:val="center"/>
            </w:pPr>
            <w:r>
              <w:t xml:space="preserve">Operations team, close BKG revenue deals, platform operations</w:t>
            </w:r>
          </w:p>
        </w:tc>
      </w:tr>
      <w:tr>
        <w:tc>
          <w:tcPr>
            <w:tcMar>
              <w:top w:type="dxa" w:w="80"/>
              <w:left w:type="dxa" w:w="80"/>
              <w:bottom w:type="dxa" w:w="80"/>
              <w:right w:type="dxa" w:w="80"/>
            </w:tcMar>
            <w:vAlign w:val="center"/>
          </w:tcPr>
          <w:p>
            <w:pPr>
              <w:jc w:val="center"/>
            </w:pPr>
            <w:r>
              <w:t xml:space="preserve">New Verticals</w:t>
            </w:r>
          </w:p>
        </w:tc>
        <w:tc>
          <w:tcPr>
            <w:tcMar>
              <w:top w:type="dxa" w:w="80"/>
              <w:left w:type="dxa" w:w="80"/>
              <w:bottom w:type="dxa" w:w="80"/>
              <w:right w:type="dxa" w:w="80"/>
            </w:tcMar>
            <w:vAlign w:val="center"/>
          </w:tcPr>
          <w:p>
            <w:pPr>
              <w:jc w:val="center"/>
            </w:pPr>
            <w:r>
              <w:t xml:space="preserve">$0.7M</w:t>
            </w:r>
          </w:p>
        </w:tc>
        <w:tc>
          <w:tcPr>
            <w:tcMar>
              <w:top w:type="dxa" w:w="80"/>
              <w:left w:type="dxa" w:w="80"/>
              <w:bottom w:type="dxa" w:w="80"/>
              <w:right w:type="dxa" w:w="80"/>
            </w:tcMar>
            <w:vAlign w:val="center"/>
          </w:tcPr>
          <w:p>
            <w:pPr>
              <w:jc w:val="center"/>
            </w:pPr>
            <w:r>
              <w:t xml:space="preserve">Scope and design Legal and Education verticals</w:t>
            </w:r>
          </w:p>
        </w:tc>
      </w:tr>
    </w:tbl>
    <w:p>
      <w:pPr>
        <w:pStyle w:val="Heading2"/>
        <w:pStyle w:val="Heading2"/>
        <w:spacing w:after="100" w:before="180" w:line="360"/>
        <w:jc w:val="left"/>
      </w:pPr>
      <w:r>
        <w:t xml:space="preserve">Priority Investors</w:t>
      </w:r>
    </w:p>
    <w:p>
      <w:pPr>
        <w:pStyle w:val="ListParagraph"/>
        <w:numPr>
          <w:ilvl w:val="0"/>
          <w:numId w:val="1"/>
        </w:numPr>
        <w:spacing w:after="60" w:before="60" w:line="240"/>
      </w:pPr>
      <w:r>
        <w:t xml:space="preserve">a16z Bio + AI (healthcare + AI thesis)</w:t>
      </w:r>
    </w:p>
    <w:p>
      <w:pPr>
        <w:pStyle w:val="ListParagraph"/>
        <w:numPr>
          <w:ilvl w:val="0"/>
          <w:numId w:val="1"/>
        </w:numPr>
        <w:spacing w:after="60" w:before="60" w:line="240"/>
      </w:pPr>
      <w:r>
        <w:t xml:space="preserve">General Catalyst (health fund + platform plays)</w:t>
      </w:r>
    </w:p>
    <w:p>
      <w:pPr>
        <w:pStyle w:val="ListParagraph"/>
        <w:numPr>
          <w:ilvl w:val="0"/>
          <w:numId w:val="1"/>
        </w:numPr>
        <w:spacing w:after="60" w:before="60" w:line="240"/>
      </w:pPr>
      <w:r>
        <w:t xml:space="preserve">Founders Fund (infrastructure + moonshots)</w:t>
      </w:r>
    </w:p>
    <w:p>
      <w:pPr>
        <w:pStyle w:val="ListParagraph"/>
        <w:numPr>
          <w:ilvl w:val="0"/>
          <w:numId w:val="1"/>
        </w:numPr>
        <w:spacing w:after="60" w:before="60" w:line="240"/>
      </w:pPr>
      <w:r>
        <w:t xml:space="preserve">Oak HC/FT (healthcare technology)</w:t>
      </w:r>
    </w:p>
    <w:p>
      <w:pPr>
        <w:pStyle w:val="ListParagraph"/>
        <w:numPr>
          <w:ilvl w:val="0"/>
          <w:numId w:val="1"/>
        </w:numPr>
        <w:spacing w:after="60" w:before="60" w:line="240"/>
      </w:pPr>
      <w:r>
        <w:t xml:space="preserve">Transformation Capital (data-first healthcare)</w:t>
      </w:r>
    </w:p>
    <w:p>
      <w:pPr>
        <w:pStyle w:val="ListParagraph"/>
        <w:numPr>
          <w:ilvl w:val="0"/>
          <w:numId w:val="1"/>
        </w:numPr>
        <w:spacing w:after="60" w:before="60" w:line="240"/>
      </w:pPr>
      <w:r>
        <w:t xml:space="preserve">SignalFire (knowledge graphs + AI)</w:t>
      </w:r>
    </w:p>
    <w:p>
      <w:pPr>
        <w:pStyle w:val="Heading2"/>
        <w:pStyle w:val="Heading2"/>
        <w:spacing w:after="100" w:before="180" w:line="360"/>
        <w:jc w:val="left"/>
      </w:pPr>
      <w:r>
        <w:t xml:space="preserve">Strategic Investors</w:t>
      </w:r>
    </w:p>
    <w:p>
      <w:pPr>
        <w:pStyle w:val="ListParagraph"/>
        <w:numPr>
          <w:ilvl w:val="0"/>
          <w:numId w:val="1"/>
        </w:numPr>
        <w:spacing w:after="60" w:before="60" w:line="240"/>
      </w:pPr>
      <w:r>
        <w:t xml:space="preserve">Google Ventures (healthcare AI)</w:t>
      </w:r>
    </w:p>
    <w:p>
      <w:pPr>
        <w:pStyle w:val="ListParagraph"/>
        <w:numPr>
          <w:ilvl w:val="0"/>
          <w:numId w:val="1"/>
        </w:numPr>
        <w:spacing w:after="60" w:before="60" w:line="240"/>
      </w:pPr>
      <w:r>
        <w:t xml:space="preserve">Salesforce Ventures (platform CRM)</w:t>
      </w:r>
    </w:p>
    <w:p>
      <w:pPr>
        <w:pStyle w:val="ListParagraph"/>
        <w:numPr>
          <w:ilvl w:val="0"/>
          <w:numId w:val="1"/>
        </w:numPr>
        <w:spacing w:after="60" w:before="60" w:line="240"/>
      </w:pPr>
      <w:r>
        <w:t xml:space="preserve">Microsoft M12 (healthcare + cloud)</w:t>
      </w:r>
    </w:p>
    <w:r>
      <w:br w:type="page"/>
    </w:r>
    <w:p>
      <w:pPr>
        <w:pStyle w:val="Heading1"/>
        <w:pStyle w:val="Heading1"/>
        <w:spacing w:after="120" w:before="240" w:line="360"/>
        <w:jc w:val="left"/>
      </w:pPr>
      <w:r>
        <w:t xml:space="preserve">14. The Path to $1 Trillion</w:t>
      </w:r>
    </w:p>
    <w:p>
      <w:pPr>
        <w:pStyle w:val="Heading2"/>
        <w:pStyle w:val="Heading2"/>
        <w:spacing w:after="100" w:before="180" w:line="360"/>
        <w:jc w:val="left"/>
      </w:pPr>
      <w:r>
        <w:t xml:space="preserve">$1 Billion (Year 3)</w:t>
      </w:r>
    </w:p>
    <w:p>
      <w:pPr>
        <w:spacing w:after="120" w:before="0" w:line="240"/>
        <w:jc w:val="left"/>
      </w:pPr>
      <w:r>
        <w:t xml:space="preserve">US healthcare dominance. 10,000+ enterprise customers. HKG recognized as the knowledge layer beneath all clinical AI.</w:t>
      </w:r>
    </w:p>
    <w:p>
      <w:pPr>
        <w:pStyle w:val="Heading2"/>
        <w:pStyle w:val="Heading2"/>
        <w:spacing w:after="100" w:before="180" w:line="360"/>
        <w:jc w:val="left"/>
      </w:pPr>
      <w:r>
        <w:t xml:space="preserve">$10 Billion (Year 5)</w:t>
      </w:r>
    </w:p>
    <w:p>
      <w:pPr>
        <w:spacing w:after="120" w:before="0" w:line="240"/>
        <w:jc w:val="left"/>
      </w:pPr>
      <w:r>
        <w:t xml:space="preserve">Multi-vertical scale (3–4 verticals at $100M+ ARR each). International expansion (EU, APAC, China).</w:t>
      </w:r>
    </w:p>
    <w:p>
      <w:pPr>
        <w:pStyle w:val="Heading2"/>
        <w:pStyle w:val="Heading2"/>
        <w:spacing w:after="100" w:before="180" w:line="360"/>
        <w:jc w:val="left"/>
      </w:pPr>
      <w:r>
        <w:t xml:space="preserve">$100 Billion (Year 8)</w:t>
      </w:r>
    </w:p>
    <w:p>
      <w:pPr>
        <w:spacing w:after="120" w:before="0" w:line="240"/>
        <w:jc w:val="left"/>
      </w:pPr>
      <w:r>
        <w:t xml:space="preserve">The data layer. Every EHR, insurance platform, pharma R&amp;D pipeline, government health ministry connects to HKG as the reference knowledge graph.</w:t>
      </w:r>
    </w:p>
    <w:p>
      <w:pPr>
        <w:pStyle w:val="Heading2"/>
        <w:pStyle w:val="Heading2"/>
        <w:spacing w:after="100" w:before="180" w:line="360"/>
        <w:jc w:val="left"/>
      </w:pPr>
      <w:r>
        <w:t xml:space="preserve">$1 Trillion (Year 12+)</w:t>
      </w:r>
    </w:p>
    <w:p>
      <w:pPr>
        <w:spacing w:after="120" w:before="0" w:line="240"/>
        <w:jc w:val="left"/>
      </w:pPr>
      <w:r>
        <w:t xml:space="preserve">Invisible infrastructure. What Visa is to payments, Knowledge Gardens is to industry knowledge. Used by 1+ billion people daily.</w:t>
      </w:r>
    </w:p>
    <w:r>
      <w:br w:type="page"/>
    </w:r>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2026-04-12T09:04:26.819Z</dcterms:created>
  <dcterms:modified xsi:type="dcterms:W3CDTF">2026-04-12T09:04:26.820Z</dcterms:modified>
</cp:coreProperties>
</file>

<file path=docProps/custom.xml><?xml version="1.0" encoding="utf-8"?>
<Properties xmlns="http://schemas.openxmlformats.org/officeDocument/2006/custom-properties" xmlns:vt="http://schemas.openxmlformats.org/officeDocument/2006/docPropsVTypes"/>
</file>