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`category VARCHAR(50)` 自定义分类</w:t>
      </w:r>
    </w:p>
    <w:p>
      <w:pPr>
        <w:pStyle w:val="ListBullet"/>
      </w:pPr>
      <w:r>
        <w:t>`GET /blog/categories` DISTINCT 返回分类列表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前端水平分类筛选条 + 编辑器 el-select filterable allow-create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StorageSyncRunner</w:t>
      </w:r>
    </w:p>
    <w:p>
      <w:pPr>
        <w:pStyle w:val="ListBullet"/>
      </w:pPr>
      <w:r>
        <w:t>**关键表**: sys_storage_device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一键同步 `POST /storage/sync`(@Async 独立 bean,按顶层目录建相册,content_photo.source_path 去重)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