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CE5" w:rsidRPr="00E94EFD" w:rsidRDefault="00E94EFD" w:rsidP="00E94EFD">
      <w:pPr>
        <w:jc w:val="center"/>
        <w:rPr>
          <w:rFonts w:cs="Times New Roman"/>
          <w:sz w:val="96"/>
          <w:szCs w:val="96"/>
        </w:rPr>
      </w:pPr>
      <w:r w:rsidRPr="00E94EFD">
        <w:rPr>
          <w:rFonts w:cs="Times New Roman"/>
          <w:sz w:val="96"/>
          <w:szCs w:val="96"/>
        </w:rPr>
        <w:t>BHUTAN INFORMATION AND COMMUNICATIONS TECHNOLOGY POLICY AND STRATEGIES</w:t>
      </w:r>
    </w:p>
    <w:p w:rsidR="00E94EFD" w:rsidRDefault="00E94EFD" w:rsidP="00E94EFD">
      <w:pPr>
        <w:jc w:val="center"/>
        <w:rPr>
          <w:rFonts w:cs="Times New Roman"/>
          <w:sz w:val="96"/>
          <w:szCs w:val="96"/>
        </w:rPr>
      </w:pPr>
    </w:p>
    <w:p w:rsidR="00E94EFD" w:rsidRDefault="00E94EFD" w:rsidP="00E94EFD">
      <w:pPr>
        <w:jc w:val="center"/>
        <w:rPr>
          <w:rFonts w:cs="Times New Roman"/>
          <w:sz w:val="96"/>
          <w:szCs w:val="96"/>
        </w:rPr>
      </w:pPr>
    </w:p>
    <w:p w:rsidR="00E94EFD" w:rsidRDefault="00E94EFD" w:rsidP="00E94EFD">
      <w:pPr>
        <w:jc w:val="center"/>
        <w:rPr>
          <w:rFonts w:cs="Times New Roman"/>
          <w:sz w:val="96"/>
          <w:szCs w:val="96"/>
        </w:rPr>
      </w:pPr>
    </w:p>
    <w:p w:rsidR="00E94EFD" w:rsidRDefault="00E94EFD" w:rsidP="00E94EFD">
      <w:pPr>
        <w:jc w:val="center"/>
        <w:rPr>
          <w:rFonts w:cs="Times New Roman"/>
          <w:sz w:val="96"/>
          <w:szCs w:val="96"/>
        </w:rPr>
      </w:pPr>
    </w:p>
    <w:p w:rsidR="00E94EFD" w:rsidRDefault="00E94EFD" w:rsidP="00E94EFD">
      <w:pPr>
        <w:jc w:val="center"/>
        <w:rPr>
          <w:rFonts w:cs="Times New Roman"/>
          <w:sz w:val="96"/>
          <w:szCs w:val="96"/>
        </w:rPr>
      </w:pPr>
    </w:p>
    <w:p w:rsidR="00815C40" w:rsidRDefault="00815C40" w:rsidP="00815C40">
      <w:pPr>
        <w:rPr>
          <w:rFonts w:cs="Times New Roman"/>
          <w:sz w:val="96"/>
          <w:szCs w:val="96"/>
        </w:rPr>
      </w:pPr>
    </w:p>
    <w:p w:rsidR="00815C40" w:rsidRDefault="00815C40" w:rsidP="00815C40">
      <w:pPr>
        <w:rPr>
          <w:rFonts w:cs="Times New Roman"/>
          <w:sz w:val="96"/>
          <w:szCs w:val="96"/>
        </w:rPr>
      </w:pPr>
    </w:p>
    <w:p w:rsidR="00E94EFD" w:rsidRDefault="00E94EFD" w:rsidP="00E94EFD">
      <w:pPr>
        <w:pStyle w:val="Heading1"/>
      </w:pPr>
      <w:r>
        <w:t>Executive Summary</w:t>
      </w:r>
    </w:p>
    <w:p w:rsidR="00E94EFD" w:rsidRDefault="00E94EFD" w:rsidP="00E94EFD">
      <w:pPr>
        <w:rPr>
          <w:rFonts w:cs="Times New Roman"/>
          <w:szCs w:val="24"/>
        </w:rPr>
      </w:pPr>
    </w:p>
    <w:p w:rsidR="00E94EFD" w:rsidRDefault="00E94EFD" w:rsidP="00E94EFD">
      <w:pPr>
        <w:rPr>
          <w:rFonts w:cs="Times New Roman"/>
          <w:szCs w:val="24"/>
        </w:rPr>
      </w:pPr>
      <w:r>
        <w:rPr>
          <w:rFonts w:cs="Times New Roman"/>
          <w:szCs w:val="24"/>
        </w:rPr>
        <w:t>The BIPS process involved stakeholders from Government, semi-government and the private sector. Five committees were formed along the lines of the Digital Opportunity Initiative covering Policy, Infrastructure, Human Capacity, Content and Applications, and Enterprise. With inputs from open consultative workshops and previous ICT studies, the committees formulated strategies and activities designed to progress Bhutan’s ICT development.</w:t>
      </w:r>
    </w:p>
    <w:p w:rsidR="00E94EFD" w:rsidRDefault="00E94EFD" w:rsidP="00E94EFD">
      <w:pPr>
        <w:rPr>
          <w:rFonts w:cs="Times New Roman"/>
          <w:szCs w:val="24"/>
        </w:rPr>
      </w:pPr>
      <w:r>
        <w:rPr>
          <w:rFonts w:cs="Times New Roman"/>
          <w:szCs w:val="24"/>
        </w:rPr>
        <w:t>Three overall policy objectives underpin the initiatives:</w:t>
      </w:r>
    </w:p>
    <w:p w:rsidR="00E94EFD" w:rsidRDefault="00E94EFD" w:rsidP="00E94EFD">
      <w:pPr>
        <w:pStyle w:val="ListParagraph"/>
        <w:numPr>
          <w:ilvl w:val="0"/>
          <w:numId w:val="2"/>
        </w:numPr>
        <w:rPr>
          <w:rFonts w:cs="Times New Roman"/>
          <w:szCs w:val="24"/>
        </w:rPr>
      </w:pPr>
      <w:r>
        <w:rPr>
          <w:rFonts w:cs="Times New Roman"/>
          <w:szCs w:val="24"/>
        </w:rPr>
        <w:t>To use ICT for good Governance</w:t>
      </w:r>
    </w:p>
    <w:p w:rsidR="00E94EFD" w:rsidRDefault="00E94EFD" w:rsidP="00E94EFD">
      <w:pPr>
        <w:pStyle w:val="ListParagraph"/>
        <w:numPr>
          <w:ilvl w:val="0"/>
          <w:numId w:val="2"/>
        </w:numPr>
        <w:rPr>
          <w:rFonts w:cs="Times New Roman"/>
          <w:szCs w:val="24"/>
        </w:rPr>
      </w:pPr>
      <w:r>
        <w:rPr>
          <w:rFonts w:cs="Times New Roman"/>
          <w:szCs w:val="24"/>
        </w:rPr>
        <w:t>To create a Bhutanese info-culture; and</w:t>
      </w:r>
    </w:p>
    <w:p w:rsidR="00E94EFD" w:rsidRDefault="00E94EFD" w:rsidP="00E94EFD">
      <w:pPr>
        <w:pStyle w:val="ListParagraph"/>
        <w:numPr>
          <w:ilvl w:val="0"/>
          <w:numId w:val="2"/>
        </w:numPr>
        <w:rPr>
          <w:rFonts w:cs="Times New Roman"/>
          <w:szCs w:val="24"/>
        </w:rPr>
      </w:pPr>
      <w:r>
        <w:rPr>
          <w:rFonts w:cs="Times New Roman"/>
          <w:szCs w:val="24"/>
        </w:rPr>
        <w:t>To create a “High-Tech Habitat”</w:t>
      </w:r>
    </w:p>
    <w:p w:rsidR="00E94EFD" w:rsidRDefault="007C3F25" w:rsidP="00E94EFD">
      <w:pPr>
        <w:rPr>
          <w:rFonts w:cs="Times New Roman"/>
          <w:szCs w:val="24"/>
        </w:rPr>
      </w:pPr>
      <w:r>
        <w:rPr>
          <w:rFonts w:cs="Times New Roman"/>
          <w:szCs w:val="24"/>
        </w:rPr>
        <w:t>Policy: To make governance transparent, efficient and inclusive, introducing a modern legal and regulatory framework, strengthening the relevant policy and regulatory bodies and investigating ways to fund ICT and reduce the costs ICT services.</w:t>
      </w:r>
    </w:p>
    <w:p w:rsidR="007C3F25" w:rsidRDefault="007C3F25" w:rsidP="00E94EFD">
      <w:pPr>
        <w:rPr>
          <w:rFonts w:cs="Times New Roman"/>
          <w:szCs w:val="24"/>
        </w:rPr>
      </w:pPr>
      <w:r>
        <w:rPr>
          <w:rFonts w:cs="Times New Roman"/>
          <w:szCs w:val="24"/>
        </w:rPr>
        <w:t>Infrastructure: Focus on implementing the liberalized and competitive infrastructure market, and increasing coordination between infrastructure providers, and ensuring that there is affordable, fast, secure, sustainable and appropriate ICT infrastructure throughout Bhutan.</w:t>
      </w:r>
    </w:p>
    <w:p w:rsidR="007C3F25" w:rsidRDefault="007C3F25" w:rsidP="00E94EFD">
      <w:pPr>
        <w:rPr>
          <w:rFonts w:cs="Times New Roman"/>
          <w:szCs w:val="24"/>
        </w:rPr>
      </w:pPr>
      <w:r>
        <w:rPr>
          <w:rFonts w:cs="Times New Roman"/>
          <w:szCs w:val="24"/>
        </w:rPr>
        <w:t xml:space="preserve">Human Capacity: Aimed at ensuring appropriate ICT awareness and skills from basic computer literacy to the High level technical skills to boost ICT industry. </w:t>
      </w:r>
      <w:proofErr w:type="gramStart"/>
      <w:r>
        <w:rPr>
          <w:rFonts w:cs="Times New Roman"/>
          <w:szCs w:val="24"/>
        </w:rPr>
        <w:t>Activities aims</w:t>
      </w:r>
      <w:proofErr w:type="gramEnd"/>
      <w:r>
        <w:rPr>
          <w:rFonts w:cs="Times New Roman"/>
          <w:szCs w:val="24"/>
        </w:rPr>
        <w:t xml:space="preserve"> to improve </w:t>
      </w:r>
      <w:proofErr w:type="spellStart"/>
      <w:r>
        <w:rPr>
          <w:rFonts w:cs="Times New Roman"/>
          <w:szCs w:val="24"/>
        </w:rPr>
        <w:t>trainaing</w:t>
      </w:r>
      <w:proofErr w:type="spellEnd"/>
      <w:r>
        <w:rPr>
          <w:rFonts w:cs="Times New Roman"/>
          <w:szCs w:val="24"/>
        </w:rPr>
        <w:t xml:space="preserve"> institutions, including through developing centre of excellence to boost the quality and accredit ICT training institutes.</w:t>
      </w:r>
    </w:p>
    <w:p w:rsidR="00666D24" w:rsidRDefault="00666D24" w:rsidP="00E94EFD">
      <w:pPr>
        <w:rPr>
          <w:rFonts w:cs="Times New Roman"/>
          <w:szCs w:val="24"/>
        </w:rPr>
      </w:pPr>
      <w:r>
        <w:rPr>
          <w:rFonts w:cs="Times New Roman"/>
          <w:szCs w:val="24"/>
        </w:rPr>
        <w:t>Content and Applications: Establishing framework for e-</w:t>
      </w:r>
      <w:proofErr w:type="spellStart"/>
      <w:r>
        <w:rPr>
          <w:rFonts w:cs="Times New Roman"/>
          <w:szCs w:val="24"/>
        </w:rPr>
        <w:t>bussinss</w:t>
      </w:r>
      <w:proofErr w:type="spellEnd"/>
      <w:r>
        <w:rPr>
          <w:rFonts w:cs="Times New Roman"/>
          <w:szCs w:val="24"/>
        </w:rPr>
        <w:t xml:space="preserve">. </w:t>
      </w:r>
    </w:p>
    <w:p w:rsidR="00666D24" w:rsidRDefault="00666D24" w:rsidP="00E94EFD">
      <w:pPr>
        <w:rPr>
          <w:rFonts w:cs="Times New Roman"/>
          <w:szCs w:val="24"/>
        </w:rPr>
      </w:pPr>
      <w:r>
        <w:rPr>
          <w:rFonts w:cs="Times New Roman"/>
          <w:szCs w:val="24"/>
        </w:rPr>
        <w:t>Enterprise</w:t>
      </w:r>
    </w:p>
    <w:p w:rsidR="00666D24" w:rsidRDefault="00666D24" w:rsidP="00E94EFD">
      <w:pPr>
        <w:rPr>
          <w:rFonts w:cs="Times New Roman"/>
          <w:szCs w:val="24"/>
        </w:rPr>
      </w:pPr>
      <w:r>
        <w:rPr>
          <w:rFonts w:cs="Times New Roman"/>
          <w:szCs w:val="24"/>
        </w:rPr>
        <w:t>The newly-established ICT units across all Ministry and autonomous agencies will be requested to monitor progress through a system of bi-annual progress reporting to the cabinet.</w:t>
      </w:r>
    </w:p>
    <w:p w:rsidR="005A6873" w:rsidRPr="005A6873" w:rsidRDefault="005A6873" w:rsidP="005A6873">
      <w:pPr>
        <w:autoSpaceDE w:val="0"/>
        <w:autoSpaceDN w:val="0"/>
        <w:adjustRightInd w:val="0"/>
        <w:spacing w:after="0" w:line="240" w:lineRule="auto"/>
        <w:rPr>
          <w:rFonts w:ascii="Arial" w:hAnsi="Arial" w:cs="Arial"/>
          <w:color w:val="000000"/>
          <w:sz w:val="21"/>
          <w:szCs w:val="21"/>
        </w:rPr>
      </w:pPr>
      <w:proofErr w:type="gramStart"/>
      <w:r w:rsidRPr="005A6873">
        <w:rPr>
          <w:rFonts w:ascii="Arial" w:hAnsi="Arial" w:cs="Arial"/>
          <w:b/>
          <w:bCs/>
          <w:i/>
          <w:iCs/>
          <w:color w:val="000000"/>
          <w:sz w:val="26"/>
          <w:szCs w:val="26"/>
        </w:rPr>
        <w:t>P</w:t>
      </w:r>
      <w:r w:rsidRPr="005A6873">
        <w:rPr>
          <w:rFonts w:ascii="Arial" w:hAnsi="Arial" w:cs="Arial"/>
          <w:b/>
          <w:bCs/>
          <w:i/>
          <w:iCs/>
          <w:color w:val="000000"/>
          <w:sz w:val="21"/>
          <w:szCs w:val="21"/>
        </w:rPr>
        <w:t xml:space="preserve">OLICY </w:t>
      </w:r>
      <w:r>
        <w:rPr>
          <w:rFonts w:ascii="Arial" w:hAnsi="Arial" w:cs="Arial"/>
          <w:b/>
          <w:bCs/>
          <w:i/>
          <w:iCs/>
          <w:color w:val="000000"/>
          <w:sz w:val="21"/>
          <w:szCs w:val="21"/>
        </w:rPr>
        <w:t xml:space="preserve"> </w:t>
      </w:r>
      <w:r w:rsidRPr="005A6873">
        <w:rPr>
          <w:rFonts w:ascii="Arial" w:hAnsi="Arial" w:cs="Arial"/>
          <w:b/>
          <w:bCs/>
          <w:color w:val="000000"/>
          <w:sz w:val="22"/>
        </w:rPr>
        <w:t>Strategy</w:t>
      </w:r>
      <w:proofErr w:type="gramEnd"/>
      <w:r w:rsidRPr="005A6873">
        <w:rPr>
          <w:rFonts w:ascii="Arial" w:hAnsi="Arial" w:cs="Arial"/>
          <w:b/>
          <w:bCs/>
          <w:color w:val="000000"/>
          <w:sz w:val="22"/>
        </w:rPr>
        <w:t xml:space="preserve"> P1. By 2010, use ICTs to make governance more inclusive, efficient, accountable and transparent Strategic Activities</w:t>
      </w:r>
    </w:p>
    <w:tbl>
      <w:tblPr>
        <w:tblW w:w="10001" w:type="dxa"/>
        <w:tblInd w:w="108" w:type="dxa"/>
        <w:tblBorders>
          <w:top w:val="nil"/>
          <w:left w:val="nil"/>
          <w:bottom w:val="nil"/>
          <w:right w:val="nil"/>
        </w:tblBorders>
        <w:tblLayout w:type="fixed"/>
        <w:tblLook w:val="0000"/>
      </w:tblPr>
      <w:tblGrid>
        <w:gridCol w:w="1991"/>
        <w:gridCol w:w="2059"/>
        <w:gridCol w:w="2048"/>
        <w:gridCol w:w="22"/>
        <w:gridCol w:w="1890"/>
        <w:gridCol w:w="1980"/>
        <w:gridCol w:w="11"/>
      </w:tblGrid>
      <w:tr w:rsidR="005A6873" w:rsidRPr="005A6873" w:rsidTr="005A6873">
        <w:tblPrEx>
          <w:tblCellMar>
            <w:top w:w="0" w:type="dxa"/>
            <w:bottom w:w="0" w:type="dxa"/>
          </w:tblCellMar>
        </w:tblPrEx>
        <w:trPr>
          <w:gridAfter w:val="1"/>
          <w:wAfter w:w="11" w:type="dxa"/>
          <w:trHeight w:val="278"/>
        </w:trPr>
        <w:tc>
          <w:tcPr>
            <w:tcW w:w="4050" w:type="dxa"/>
            <w:gridSpan w:val="2"/>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ind w:right="-108"/>
              <w:jc w:val="both"/>
              <w:rPr>
                <w:rFonts w:ascii="Arial" w:hAnsi="Arial" w:cs="Arial"/>
                <w:color w:val="000000"/>
                <w:sz w:val="22"/>
              </w:rPr>
            </w:pPr>
            <w:r>
              <w:rPr>
                <w:rFonts w:ascii="Arial" w:hAnsi="Arial" w:cs="Arial"/>
                <w:color w:val="000000"/>
                <w:sz w:val="22"/>
              </w:rPr>
              <w:t xml:space="preserve">                                         </w:t>
            </w:r>
          </w:p>
        </w:tc>
        <w:tc>
          <w:tcPr>
            <w:tcW w:w="2070" w:type="dxa"/>
            <w:gridSpan w:val="2"/>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b/>
                <w:bCs/>
                <w:color w:val="000000"/>
                <w:sz w:val="22"/>
              </w:rPr>
              <w:t xml:space="preserve">Lead Agency </w:t>
            </w:r>
          </w:p>
        </w:tc>
        <w:tc>
          <w:tcPr>
            <w:tcW w:w="1890"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b/>
                <w:bCs/>
                <w:color w:val="000000"/>
                <w:sz w:val="22"/>
              </w:rPr>
              <w:t xml:space="preserve">Timeframe </w:t>
            </w:r>
          </w:p>
        </w:tc>
        <w:tc>
          <w:tcPr>
            <w:tcW w:w="1980"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b/>
                <w:bCs/>
                <w:color w:val="000000"/>
                <w:sz w:val="22"/>
              </w:rPr>
              <w:t xml:space="preserve">Status </w:t>
            </w:r>
          </w:p>
        </w:tc>
      </w:tr>
      <w:tr w:rsidR="005A6873" w:rsidRPr="005A6873" w:rsidTr="005A6873">
        <w:tblPrEx>
          <w:tblCellMar>
            <w:top w:w="0" w:type="dxa"/>
            <w:bottom w:w="0" w:type="dxa"/>
          </w:tblCellMar>
        </w:tblPrEx>
        <w:trPr>
          <w:trHeight w:val="272"/>
        </w:trPr>
        <w:tc>
          <w:tcPr>
            <w:tcW w:w="1991"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P1.1 </w:t>
            </w:r>
          </w:p>
        </w:tc>
        <w:tc>
          <w:tcPr>
            <w:tcW w:w="2059"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Establish policies on information-sharing between agencies </w:t>
            </w:r>
          </w:p>
        </w:tc>
        <w:tc>
          <w:tcPr>
            <w:tcW w:w="2048"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proofErr w:type="spellStart"/>
            <w:r w:rsidRPr="005A6873">
              <w:rPr>
                <w:rFonts w:ascii="Arial" w:hAnsi="Arial" w:cs="Arial"/>
                <w:color w:val="000000"/>
                <w:sz w:val="22"/>
              </w:rPr>
              <w:t>MoIC</w:t>
            </w:r>
            <w:proofErr w:type="spellEnd"/>
            <w:r w:rsidRPr="005A6873">
              <w:rPr>
                <w:rFonts w:ascii="Arial" w:hAnsi="Arial" w:cs="Arial"/>
                <w:color w:val="000000"/>
                <w:sz w:val="22"/>
              </w:rPr>
              <w:t xml:space="preserve"> </w:t>
            </w:r>
          </w:p>
        </w:tc>
        <w:tc>
          <w:tcPr>
            <w:tcW w:w="1912" w:type="dxa"/>
            <w:gridSpan w:val="2"/>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2005 </w:t>
            </w:r>
          </w:p>
        </w:tc>
        <w:tc>
          <w:tcPr>
            <w:tcW w:w="1991" w:type="dxa"/>
            <w:gridSpan w:val="2"/>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Policy endorsed by Government in 2006 </w:t>
            </w:r>
          </w:p>
        </w:tc>
      </w:tr>
      <w:tr w:rsidR="005A6873" w:rsidRPr="005A6873" w:rsidTr="005A6873">
        <w:tblPrEx>
          <w:tblCellMar>
            <w:top w:w="0" w:type="dxa"/>
            <w:bottom w:w="0" w:type="dxa"/>
          </w:tblCellMar>
        </w:tblPrEx>
        <w:trPr>
          <w:trHeight w:val="272"/>
        </w:trPr>
        <w:tc>
          <w:tcPr>
            <w:tcW w:w="1991"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P1.1a </w:t>
            </w:r>
          </w:p>
        </w:tc>
        <w:tc>
          <w:tcPr>
            <w:tcW w:w="2059"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Implement the Policy Guideline on Information Sharing </w:t>
            </w:r>
          </w:p>
        </w:tc>
        <w:tc>
          <w:tcPr>
            <w:tcW w:w="2048"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proofErr w:type="spellStart"/>
            <w:r w:rsidRPr="005A6873">
              <w:rPr>
                <w:rFonts w:ascii="Arial" w:hAnsi="Arial" w:cs="Arial"/>
                <w:color w:val="000000"/>
                <w:sz w:val="22"/>
              </w:rPr>
              <w:t>DoIM</w:t>
            </w:r>
            <w:proofErr w:type="spellEnd"/>
            <w:r w:rsidRPr="005A6873">
              <w:rPr>
                <w:rFonts w:ascii="Arial" w:hAnsi="Arial" w:cs="Arial"/>
                <w:color w:val="000000"/>
                <w:sz w:val="22"/>
              </w:rPr>
              <w:t xml:space="preserve">, DIT </w:t>
            </w:r>
          </w:p>
        </w:tc>
        <w:tc>
          <w:tcPr>
            <w:tcW w:w="1912" w:type="dxa"/>
            <w:gridSpan w:val="2"/>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2008 </w:t>
            </w:r>
          </w:p>
        </w:tc>
        <w:tc>
          <w:tcPr>
            <w:tcW w:w="1991" w:type="dxa"/>
            <w:gridSpan w:val="2"/>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Ongoing </w:t>
            </w:r>
          </w:p>
        </w:tc>
      </w:tr>
      <w:tr w:rsidR="005A6873" w:rsidRPr="005A6873" w:rsidTr="005A6873">
        <w:tblPrEx>
          <w:tblCellMar>
            <w:top w:w="0" w:type="dxa"/>
            <w:bottom w:w="0" w:type="dxa"/>
          </w:tblCellMar>
        </w:tblPrEx>
        <w:trPr>
          <w:trHeight w:val="778"/>
        </w:trPr>
        <w:tc>
          <w:tcPr>
            <w:tcW w:w="1991"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P1.2 </w:t>
            </w:r>
          </w:p>
        </w:tc>
        <w:tc>
          <w:tcPr>
            <w:tcW w:w="2059"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Establish policies on ICT security </w:t>
            </w:r>
          </w:p>
        </w:tc>
        <w:tc>
          <w:tcPr>
            <w:tcW w:w="2048"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proofErr w:type="spellStart"/>
            <w:r w:rsidRPr="005A6873">
              <w:rPr>
                <w:rFonts w:ascii="Arial" w:hAnsi="Arial" w:cs="Arial"/>
                <w:color w:val="000000"/>
                <w:sz w:val="22"/>
              </w:rPr>
              <w:t>MoIC</w:t>
            </w:r>
            <w:proofErr w:type="spellEnd"/>
            <w:r w:rsidRPr="005A6873">
              <w:rPr>
                <w:rFonts w:ascii="Arial" w:hAnsi="Arial" w:cs="Arial"/>
                <w:color w:val="000000"/>
                <w:sz w:val="22"/>
              </w:rPr>
              <w:t xml:space="preserve">/DIT </w:t>
            </w:r>
          </w:p>
        </w:tc>
        <w:tc>
          <w:tcPr>
            <w:tcW w:w="1912" w:type="dxa"/>
            <w:gridSpan w:val="2"/>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2007 </w:t>
            </w:r>
          </w:p>
        </w:tc>
        <w:tc>
          <w:tcPr>
            <w:tcW w:w="1991" w:type="dxa"/>
            <w:gridSpan w:val="2"/>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Information Management Security Policy submitted and approved by </w:t>
            </w:r>
            <w:r w:rsidRPr="005A6873">
              <w:rPr>
                <w:rFonts w:ascii="Arial" w:hAnsi="Arial" w:cs="Arial"/>
                <w:color w:val="000000"/>
                <w:sz w:val="22"/>
              </w:rPr>
              <w:lastRenderedPageBreak/>
              <w:t xml:space="preserve">Cabinet. Other details are being worked out </w:t>
            </w:r>
          </w:p>
        </w:tc>
      </w:tr>
      <w:tr w:rsidR="005A6873" w:rsidRPr="005A6873" w:rsidTr="005A6873">
        <w:tblPrEx>
          <w:tblCellMar>
            <w:top w:w="0" w:type="dxa"/>
            <w:bottom w:w="0" w:type="dxa"/>
          </w:tblCellMar>
        </w:tblPrEx>
        <w:trPr>
          <w:trHeight w:val="651"/>
        </w:trPr>
        <w:tc>
          <w:tcPr>
            <w:tcW w:w="1991"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lastRenderedPageBreak/>
              <w:t xml:space="preserve">P1.3 </w:t>
            </w:r>
          </w:p>
        </w:tc>
        <w:tc>
          <w:tcPr>
            <w:tcW w:w="2059"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Encourage use of free and open source software </w:t>
            </w:r>
          </w:p>
        </w:tc>
        <w:tc>
          <w:tcPr>
            <w:tcW w:w="2048"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DIT </w:t>
            </w:r>
          </w:p>
        </w:tc>
        <w:tc>
          <w:tcPr>
            <w:tcW w:w="1912" w:type="dxa"/>
            <w:gridSpan w:val="2"/>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2008 </w:t>
            </w:r>
          </w:p>
        </w:tc>
        <w:tc>
          <w:tcPr>
            <w:tcW w:w="1991" w:type="dxa"/>
            <w:gridSpan w:val="2"/>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Ongoing- Dzongkha localization open source development and backend server in place </w:t>
            </w:r>
          </w:p>
        </w:tc>
      </w:tr>
      <w:tr w:rsidR="005A6873" w:rsidRPr="005A6873" w:rsidTr="005A6873">
        <w:tblPrEx>
          <w:tblCellMar>
            <w:top w:w="0" w:type="dxa"/>
            <w:bottom w:w="0" w:type="dxa"/>
          </w:tblCellMar>
        </w:tblPrEx>
        <w:trPr>
          <w:trHeight w:val="403"/>
        </w:trPr>
        <w:tc>
          <w:tcPr>
            <w:tcW w:w="1991"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P1.4 </w:t>
            </w:r>
          </w:p>
        </w:tc>
        <w:tc>
          <w:tcPr>
            <w:tcW w:w="2059"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E-mail </w:t>
            </w:r>
            <w:proofErr w:type="spellStart"/>
            <w:r w:rsidRPr="005A6873">
              <w:rPr>
                <w:rFonts w:ascii="Arial" w:hAnsi="Arial" w:cs="Arial"/>
                <w:color w:val="000000"/>
                <w:sz w:val="22"/>
              </w:rPr>
              <w:t>recognised</w:t>
            </w:r>
            <w:proofErr w:type="spellEnd"/>
            <w:r w:rsidRPr="005A6873">
              <w:rPr>
                <w:rFonts w:ascii="Arial" w:hAnsi="Arial" w:cs="Arial"/>
                <w:color w:val="000000"/>
                <w:sz w:val="22"/>
              </w:rPr>
              <w:t xml:space="preserve"> as official government correspondence </w:t>
            </w:r>
          </w:p>
        </w:tc>
        <w:tc>
          <w:tcPr>
            <w:tcW w:w="2048"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RCSC, </w:t>
            </w:r>
            <w:proofErr w:type="spellStart"/>
            <w:r w:rsidRPr="005A6873">
              <w:rPr>
                <w:rFonts w:ascii="Arial" w:hAnsi="Arial" w:cs="Arial"/>
                <w:color w:val="000000"/>
                <w:sz w:val="22"/>
              </w:rPr>
              <w:t>MoIC</w:t>
            </w:r>
            <w:proofErr w:type="spellEnd"/>
            <w:r w:rsidRPr="005A6873">
              <w:rPr>
                <w:rFonts w:ascii="Arial" w:hAnsi="Arial" w:cs="Arial"/>
                <w:color w:val="000000"/>
                <w:sz w:val="22"/>
              </w:rPr>
              <w:t xml:space="preserve">/DIT </w:t>
            </w:r>
          </w:p>
        </w:tc>
        <w:tc>
          <w:tcPr>
            <w:tcW w:w="1912" w:type="dxa"/>
            <w:gridSpan w:val="2"/>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2008 </w:t>
            </w:r>
          </w:p>
        </w:tc>
        <w:tc>
          <w:tcPr>
            <w:tcW w:w="1991" w:type="dxa"/>
            <w:gridSpan w:val="2"/>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Trebuchet MS" w:hAnsi="Trebuchet MS" w:cs="Trebuchet MS"/>
                <w:color w:val="000000"/>
                <w:sz w:val="22"/>
              </w:rPr>
            </w:pPr>
            <w:r w:rsidRPr="005A6873">
              <w:rPr>
                <w:rFonts w:ascii="Arial" w:hAnsi="Arial" w:cs="Arial"/>
                <w:color w:val="000000"/>
                <w:sz w:val="22"/>
              </w:rPr>
              <w:t>Ongoing -</w:t>
            </w:r>
            <w:r w:rsidRPr="005A6873">
              <w:rPr>
                <w:rFonts w:ascii="Trebuchet MS" w:hAnsi="Trebuchet MS" w:cs="Trebuchet MS"/>
                <w:color w:val="000000"/>
                <w:sz w:val="22"/>
              </w:rPr>
              <w:t xml:space="preserve">researching different technical possibilities </w:t>
            </w:r>
          </w:p>
        </w:tc>
      </w:tr>
      <w:tr w:rsidR="005A6873" w:rsidRPr="005A6873" w:rsidTr="005A6873">
        <w:tblPrEx>
          <w:tblCellMar>
            <w:top w:w="0" w:type="dxa"/>
            <w:bottom w:w="0" w:type="dxa"/>
          </w:tblCellMar>
        </w:tblPrEx>
        <w:trPr>
          <w:trHeight w:val="399"/>
        </w:trPr>
        <w:tc>
          <w:tcPr>
            <w:tcW w:w="1991"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P1.5 </w:t>
            </w:r>
          </w:p>
        </w:tc>
        <w:tc>
          <w:tcPr>
            <w:tcW w:w="2059"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Introduce ‘e-Gazette’ as official government publication of record </w:t>
            </w:r>
          </w:p>
        </w:tc>
        <w:tc>
          <w:tcPr>
            <w:tcW w:w="2048"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DIT, </w:t>
            </w:r>
            <w:proofErr w:type="spellStart"/>
            <w:r w:rsidRPr="005A6873">
              <w:rPr>
                <w:rFonts w:ascii="Arial" w:hAnsi="Arial" w:cs="Arial"/>
                <w:color w:val="000000"/>
                <w:sz w:val="22"/>
              </w:rPr>
              <w:t>DoIM</w:t>
            </w:r>
            <w:proofErr w:type="spellEnd"/>
            <w:r w:rsidRPr="005A6873">
              <w:rPr>
                <w:rFonts w:ascii="Arial" w:hAnsi="Arial" w:cs="Arial"/>
                <w:color w:val="000000"/>
                <w:sz w:val="22"/>
              </w:rPr>
              <w:t xml:space="preserve">, </w:t>
            </w:r>
          </w:p>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National Library </w:t>
            </w:r>
          </w:p>
        </w:tc>
        <w:tc>
          <w:tcPr>
            <w:tcW w:w="1912" w:type="dxa"/>
            <w:gridSpan w:val="2"/>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2008 </w:t>
            </w:r>
          </w:p>
        </w:tc>
        <w:tc>
          <w:tcPr>
            <w:tcW w:w="1991" w:type="dxa"/>
            <w:gridSpan w:val="2"/>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Ongoing </w:t>
            </w:r>
          </w:p>
        </w:tc>
      </w:tr>
      <w:tr w:rsidR="005A6873" w:rsidRPr="005A6873" w:rsidTr="005A6873">
        <w:tblPrEx>
          <w:tblCellMar>
            <w:top w:w="0" w:type="dxa"/>
            <w:bottom w:w="0" w:type="dxa"/>
          </w:tblCellMar>
        </w:tblPrEx>
        <w:trPr>
          <w:trHeight w:val="399"/>
        </w:trPr>
        <w:tc>
          <w:tcPr>
            <w:tcW w:w="1991"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P1.6 </w:t>
            </w:r>
          </w:p>
        </w:tc>
        <w:tc>
          <w:tcPr>
            <w:tcW w:w="2059"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Establish </w:t>
            </w:r>
            <w:proofErr w:type="spellStart"/>
            <w:r w:rsidRPr="005A6873">
              <w:rPr>
                <w:rFonts w:ascii="Arial" w:hAnsi="Arial" w:cs="Arial"/>
                <w:color w:val="000000"/>
                <w:sz w:val="22"/>
              </w:rPr>
              <w:t>InfoComm</w:t>
            </w:r>
            <w:proofErr w:type="spellEnd"/>
            <w:r w:rsidRPr="005A6873">
              <w:rPr>
                <w:rFonts w:ascii="Arial" w:hAnsi="Arial" w:cs="Arial"/>
                <w:color w:val="000000"/>
                <w:sz w:val="22"/>
              </w:rPr>
              <w:t xml:space="preserve"> &amp; Media Division in each Ministry and major autonomous agency </w:t>
            </w:r>
          </w:p>
        </w:tc>
        <w:tc>
          <w:tcPr>
            <w:tcW w:w="2048"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RCSC, DIT, </w:t>
            </w:r>
            <w:proofErr w:type="spellStart"/>
            <w:r w:rsidRPr="005A6873">
              <w:rPr>
                <w:rFonts w:ascii="Arial" w:hAnsi="Arial" w:cs="Arial"/>
                <w:color w:val="000000"/>
                <w:sz w:val="22"/>
              </w:rPr>
              <w:t>DoIM</w:t>
            </w:r>
            <w:proofErr w:type="spellEnd"/>
            <w:r w:rsidRPr="005A6873">
              <w:rPr>
                <w:rFonts w:ascii="Arial" w:hAnsi="Arial" w:cs="Arial"/>
                <w:color w:val="000000"/>
                <w:sz w:val="22"/>
              </w:rPr>
              <w:t xml:space="preserve"> </w:t>
            </w:r>
          </w:p>
        </w:tc>
        <w:tc>
          <w:tcPr>
            <w:tcW w:w="1912" w:type="dxa"/>
            <w:gridSpan w:val="2"/>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2008 </w:t>
            </w:r>
          </w:p>
        </w:tc>
        <w:tc>
          <w:tcPr>
            <w:tcW w:w="1991" w:type="dxa"/>
            <w:gridSpan w:val="2"/>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Ongoing (Upgrade ICT Units, if existing) </w:t>
            </w:r>
          </w:p>
        </w:tc>
      </w:tr>
      <w:tr w:rsidR="005A6873" w:rsidRPr="005A6873" w:rsidTr="005A6873">
        <w:tblPrEx>
          <w:tblCellMar>
            <w:top w:w="0" w:type="dxa"/>
            <w:bottom w:w="0" w:type="dxa"/>
          </w:tblCellMar>
        </w:tblPrEx>
        <w:trPr>
          <w:trHeight w:val="398"/>
        </w:trPr>
        <w:tc>
          <w:tcPr>
            <w:tcW w:w="1991"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P1.7 </w:t>
            </w:r>
          </w:p>
        </w:tc>
        <w:tc>
          <w:tcPr>
            <w:tcW w:w="2059"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Establish </w:t>
            </w:r>
            <w:proofErr w:type="spellStart"/>
            <w:r w:rsidRPr="005A6873">
              <w:rPr>
                <w:rFonts w:ascii="Arial" w:hAnsi="Arial" w:cs="Arial"/>
                <w:color w:val="000000"/>
                <w:sz w:val="22"/>
              </w:rPr>
              <w:t>InfoComm</w:t>
            </w:r>
            <w:proofErr w:type="spellEnd"/>
            <w:r w:rsidRPr="005A6873">
              <w:rPr>
                <w:rFonts w:ascii="Arial" w:hAnsi="Arial" w:cs="Arial"/>
                <w:color w:val="000000"/>
                <w:sz w:val="22"/>
              </w:rPr>
              <w:t xml:space="preserve"> &amp; Media Section in all 20 </w:t>
            </w:r>
            <w:proofErr w:type="spellStart"/>
            <w:r w:rsidRPr="005A6873">
              <w:rPr>
                <w:rFonts w:ascii="Arial" w:hAnsi="Arial" w:cs="Arial"/>
                <w:color w:val="000000"/>
                <w:sz w:val="22"/>
              </w:rPr>
              <w:t>Dzongkhags</w:t>
            </w:r>
            <w:proofErr w:type="spellEnd"/>
            <w:r w:rsidRPr="005A6873">
              <w:rPr>
                <w:rFonts w:ascii="Arial" w:hAnsi="Arial" w:cs="Arial"/>
                <w:color w:val="000000"/>
                <w:sz w:val="22"/>
              </w:rPr>
              <w:t xml:space="preserve"> </w:t>
            </w:r>
          </w:p>
        </w:tc>
        <w:tc>
          <w:tcPr>
            <w:tcW w:w="2048"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RCSC, DIT, </w:t>
            </w:r>
            <w:proofErr w:type="spellStart"/>
            <w:r w:rsidRPr="005A6873">
              <w:rPr>
                <w:rFonts w:ascii="Arial" w:hAnsi="Arial" w:cs="Arial"/>
                <w:color w:val="000000"/>
                <w:sz w:val="22"/>
              </w:rPr>
              <w:t>DoIM,DoLG</w:t>
            </w:r>
            <w:proofErr w:type="spellEnd"/>
            <w:r w:rsidRPr="005A6873">
              <w:rPr>
                <w:rFonts w:ascii="Arial" w:hAnsi="Arial" w:cs="Arial"/>
                <w:color w:val="000000"/>
                <w:sz w:val="22"/>
              </w:rPr>
              <w:t xml:space="preserve">, </w:t>
            </w:r>
            <w:proofErr w:type="spellStart"/>
            <w:r w:rsidRPr="005A6873">
              <w:rPr>
                <w:rFonts w:ascii="Arial" w:hAnsi="Arial" w:cs="Arial"/>
                <w:color w:val="000000"/>
                <w:sz w:val="22"/>
              </w:rPr>
              <w:t>Dzongkhags</w:t>
            </w:r>
            <w:proofErr w:type="spellEnd"/>
          </w:p>
        </w:tc>
        <w:tc>
          <w:tcPr>
            <w:tcW w:w="1912" w:type="dxa"/>
            <w:gridSpan w:val="2"/>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2009 </w:t>
            </w:r>
          </w:p>
        </w:tc>
        <w:tc>
          <w:tcPr>
            <w:tcW w:w="1991" w:type="dxa"/>
            <w:gridSpan w:val="2"/>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Ongoing (Upgrade ICT Units, if existing) </w:t>
            </w:r>
          </w:p>
        </w:tc>
      </w:tr>
      <w:tr w:rsidR="005A6873" w:rsidRPr="005A6873" w:rsidTr="005A6873">
        <w:tblPrEx>
          <w:tblCellMar>
            <w:top w:w="0" w:type="dxa"/>
            <w:bottom w:w="0" w:type="dxa"/>
          </w:tblCellMar>
        </w:tblPrEx>
        <w:trPr>
          <w:trHeight w:val="1283"/>
        </w:trPr>
        <w:tc>
          <w:tcPr>
            <w:tcW w:w="1991"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P1.8 </w:t>
            </w:r>
          </w:p>
        </w:tc>
        <w:tc>
          <w:tcPr>
            <w:tcW w:w="2059"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Each Ministry, autonomous body and agency to provide 75% of all possible public services using ICT </w:t>
            </w:r>
          </w:p>
        </w:tc>
        <w:tc>
          <w:tcPr>
            <w:tcW w:w="2048"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Cabinet, DIT, </w:t>
            </w:r>
            <w:proofErr w:type="spellStart"/>
            <w:r w:rsidRPr="005A6873">
              <w:rPr>
                <w:rFonts w:ascii="Arial" w:hAnsi="Arial" w:cs="Arial"/>
                <w:color w:val="000000"/>
                <w:sz w:val="22"/>
              </w:rPr>
              <w:t>DoIM</w:t>
            </w:r>
            <w:proofErr w:type="spellEnd"/>
            <w:r w:rsidRPr="005A6873">
              <w:rPr>
                <w:rFonts w:ascii="Arial" w:hAnsi="Arial" w:cs="Arial"/>
                <w:color w:val="000000"/>
                <w:sz w:val="22"/>
              </w:rPr>
              <w:t xml:space="preserve"> </w:t>
            </w:r>
          </w:p>
        </w:tc>
        <w:tc>
          <w:tcPr>
            <w:tcW w:w="1912" w:type="dxa"/>
            <w:gridSpan w:val="2"/>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2010 </w:t>
            </w:r>
          </w:p>
        </w:tc>
        <w:tc>
          <w:tcPr>
            <w:tcW w:w="1991" w:type="dxa"/>
            <w:gridSpan w:val="2"/>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Ongoing - </w:t>
            </w:r>
          </w:p>
          <w:p w:rsidR="005A6873" w:rsidRPr="005A6873" w:rsidRDefault="005A6873" w:rsidP="005A6873">
            <w:pPr>
              <w:autoSpaceDE w:val="0"/>
              <w:autoSpaceDN w:val="0"/>
              <w:adjustRightInd w:val="0"/>
              <w:spacing w:after="0" w:line="240" w:lineRule="auto"/>
              <w:jc w:val="both"/>
              <w:rPr>
                <w:rFonts w:ascii="Trebuchet MS" w:hAnsi="Trebuchet MS" w:cs="Trebuchet MS"/>
                <w:color w:val="323232"/>
                <w:sz w:val="22"/>
              </w:rPr>
            </w:pPr>
            <w:proofErr w:type="spellStart"/>
            <w:r w:rsidRPr="005A6873">
              <w:rPr>
                <w:rFonts w:ascii="Trebuchet MS" w:hAnsi="Trebuchet MS" w:cs="Trebuchet MS"/>
                <w:color w:val="323232"/>
                <w:sz w:val="22"/>
              </w:rPr>
              <w:t>Labour</w:t>
            </w:r>
            <w:proofErr w:type="spellEnd"/>
            <w:r w:rsidRPr="005A6873">
              <w:rPr>
                <w:rFonts w:ascii="Trebuchet MS" w:hAnsi="Trebuchet MS" w:cs="Trebuchet MS"/>
                <w:color w:val="323232"/>
                <w:sz w:val="22"/>
              </w:rPr>
              <w:t xml:space="preserve">-Net by </w:t>
            </w:r>
            <w:proofErr w:type="spellStart"/>
            <w:r w:rsidRPr="005A6873">
              <w:rPr>
                <w:rFonts w:ascii="Trebuchet MS" w:hAnsi="Trebuchet MS" w:cs="Trebuchet MS"/>
                <w:color w:val="323232"/>
                <w:sz w:val="22"/>
              </w:rPr>
              <w:t>MoLHR</w:t>
            </w:r>
            <w:proofErr w:type="spellEnd"/>
            <w:r w:rsidRPr="005A6873">
              <w:rPr>
                <w:rFonts w:ascii="Trebuchet MS" w:hAnsi="Trebuchet MS" w:cs="Trebuchet MS"/>
                <w:color w:val="323232"/>
                <w:sz w:val="22"/>
              </w:rPr>
              <w:t xml:space="preserve"> -Specific site created by ACC for reporting the corruption online and also forum for discussion created, working on a common platform for delivering e-services </w:t>
            </w:r>
          </w:p>
        </w:tc>
      </w:tr>
      <w:tr w:rsidR="005A6873" w:rsidRPr="005A6873" w:rsidTr="005A6873">
        <w:tblPrEx>
          <w:tblCellMar>
            <w:top w:w="0" w:type="dxa"/>
            <w:bottom w:w="0" w:type="dxa"/>
          </w:tblCellMar>
        </w:tblPrEx>
        <w:trPr>
          <w:trHeight w:val="525"/>
        </w:trPr>
        <w:tc>
          <w:tcPr>
            <w:tcW w:w="1991"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P1.9 </w:t>
            </w:r>
          </w:p>
        </w:tc>
        <w:tc>
          <w:tcPr>
            <w:tcW w:w="2059"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Streamline and automate business licensing processes including ICT businesses </w:t>
            </w:r>
          </w:p>
        </w:tc>
        <w:tc>
          <w:tcPr>
            <w:tcW w:w="2048"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proofErr w:type="spellStart"/>
            <w:r w:rsidRPr="005A6873">
              <w:rPr>
                <w:rFonts w:ascii="Arial" w:hAnsi="Arial" w:cs="Arial"/>
                <w:color w:val="000000"/>
                <w:sz w:val="22"/>
              </w:rPr>
              <w:t>MoEA</w:t>
            </w:r>
            <w:proofErr w:type="spellEnd"/>
            <w:r w:rsidRPr="005A6873">
              <w:rPr>
                <w:rFonts w:ascii="Arial" w:hAnsi="Arial" w:cs="Arial"/>
                <w:color w:val="000000"/>
                <w:sz w:val="22"/>
              </w:rPr>
              <w:t xml:space="preserve">, BICMA </w:t>
            </w:r>
          </w:p>
        </w:tc>
        <w:tc>
          <w:tcPr>
            <w:tcW w:w="1912" w:type="dxa"/>
            <w:gridSpan w:val="2"/>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2008 </w:t>
            </w:r>
          </w:p>
        </w:tc>
        <w:tc>
          <w:tcPr>
            <w:tcW w:w="1991" w:type="dxa"/>
            <w:gridSpan w:val="2"/>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Ongoing </w:t>
            </w:r>
          </w:p>
          <w:p w:rsidR="005A6873" w:rsidRPr="005A6873" w:rsidRDefault="005A6873" w:rsidP="005A6873">
            <w:pPr>
              <w:autoSpaceDE w:val="0"/>
              <w:autoSpaceDN w:val="0"/>
              <w:adjustRightInd w:val="0"/>
              <w:spacing w:after="0" w:line="240" w:lineRule="auto"/>
              <w:jc w:val="both"/>
              <w:rPr>
                <w:rFonts w:ascii="Arial" w:hAnsi="Arial" w:cs="Arial"/>
                <w:color w:val="323232"/>
                <w:sz w:val="22"/>
              </w:rPr>
            </w:pPr>
            <w:r w:rsidRPr="005A6873">
              <w:rPr>
                <w:rFonts w:ascii="Arial" w:hAnsi="Arial" w:cs="Arial"/>
                <w:color w:val="323232"/>
                <w:sz w:val="22"/>
              </w:rPr>
              <w:t xml:space="preserve">The rules and regulations and the prescribed forms on </w:t>
            </w:r>
          </w:p>
        </w:tc>
      </w:tr>
    </w:tbl>
    <w:p w:rsidR="00E94EFD" w:rsidRDefault="00E94EFD" w:rsidP="005A6873">
      <w:pPr>
        <w:tabs>
          <w:tab w:val="left" w:pos="0"/>
        </w:tabs>
        <w:rPr>
          <w:rFonts w:cs="Times New Roman"/>
          <w:szCs w:val="24"/>
        </w:rPr>
      </w:pPr>
    </w:p>
    <w:p w:rsidR="00815C40" w:rsidRDefault="00815C40" w:rsidP="005A6873">
      <w:pPr>
        <w:tabs>
          <w:tab w:val="left" w:pos="0"/>
        </w:tabs>
        <w:rPr>
          <w:rFonts w:ascii="Arial" w:hAnsi="Arial" w:cs="Arial"/>
          <w:b/>
          <w:bCs/>
          <w:color w:val="000000"/>
          <w:sz w:val="22"/>
        </w:rPr>
      </w:pPr>
    </w:p>
    <w:p w:rsidR="00815C40" w:rsidRDefault="00815C40" w:rsidP="005A6873">
      <w:pPr>
        <w:tabs>
          <w:tab w:val="left" w:pos="0"/>
        </w:tabs>
        <w:rPr>
          <w:rFonts w:ascii="Arial" w:hAnsi="Arial" w:cs="Arial"/>
          <w:b/>
          <w:bCs/>
          <w:color w:val="000000"/>
          <w:sz w:val="22"/>
        </w:rPr>
      </w:pPr>
    </w:p>
    <w:p w:rsidR="00815C40" w:rsidRDefault="00815C40" w:rsidP="005A6873">
      <w:pPr>
        <w:tabs>
          <w:tab w:val="left" w:pos="0"/>
        </w:tabs>
        <w:rPr>
          <w:rFonts w:ascii="Arial" w:hAnsi="Arial" w:cs="Arial"/>
          <w:b/>
          <w:bCs/>
          <w:color w:val="000000"/>
          <w:sz w:val="22"/>
        </w:rPr>
      </w:pPr>
    </w:p>
    <w:p w:rsidR="00815C40" w:rsidRDefault="00815C40" w:rsidP="005A6873">
      <w:pPr>
        <w:tabs>
          <w:tab w:val="left" w:pos="0"/>
        </w:tabs>
        <w:rPr>
          <w:rFonts w:ascii="Arial" w:hAnsi="Arial" w:cs="Arial"/>
          <w:b/>
          <w:bCs/>
          <w:color w:val="000000"/>
          <w:sz w:val="22"/>
        </w:rPr>
      </w:pPr>
    </w:p>
    <w:p w:rsidR="00815C40" w:rsidRDefault="00815C40" w:rsidP="005A6873">
      <w:pPr>
        <w:tabs>
          <w:tab w:val="left" w:pos="0"/>
        </w:tabs>
        <w:rPr>
          <w:rFonts w:ascii="Arial" w:hAnsi="Arial" w:cs="Arial"/>
          <w:b/>
          <w:bCs/>
          <w:color w:val="000000"/>
          <w:sz w:val="22"/>
        </w:rPr>
      </w:pPr>
    </w:p>
    <w:p w:rsidR="005A6873" w:rsidRDefault="005A6873" w:rsidP="005A6873">
      <w:pPr>
        <w:tabs>
          <w:tab w:val="left" w:pos="0"/>
        </w:tabs>
        <w:rPr>
          <w:rFonts w:cs="Times New Roman"/>
          <w:szCs w:val="24"/>
        </w:rPr>
      </w:pPr>
      <w:proofErr w:type="gramStart"/>
      <w:r w:rsidRPr="005A6873">
        <w:rPr>
          <w:rFonts w:ascii="Arial" w:hAnsi="Arial" w:cs="Arial"/>
          <w:b/>
          <w:bCs/>
          <w:color w:val="000000"/>
          <w:sz w:val="22"/>
        </w:rPr>
        <w:lastRenderedPageBreak/>
        <w:t>Strategy P2.</w:t>
      </w:r>
      <w:proofErr w:type="gramEnd"/>
      <w:r w:rsidRPr="005A6873">
        <w:rPr>
          <w:rFonts w:ascii="Arial" w:hAnsi="Arial" w:cs="Arial"/>
          <w:b/>
          <w:bCs/>
          <w:color w:val="000000"/>
          <w:sz w:val="22"/>
        </w:rPr>
        <w:t xml:space="preserve"> By 2008, implement a flexible, ‘light-touch’</w:t>
      </w:r>
      <w:r w:rsidRPr="005A6873">
        <w:rPr>
          <w:rFonts w:ascii="Arial" w:hAnsi="Arial" w:cs="Arial"/>
          <w:b/>
          <w:bCs/>
          <w:color w:val="000000"/>
          <w:position w:val="8"/>
          <w:sz w:val="22"/>
          <w:vertAlign w:val="superscript"/>
        </w:rPr>
        <w:t xml:space="preserve">1 </w:t>
      </w:r>
      <w:r w:rsidRPr="005A6873">
        <w:rPr>
          <w:rFonts w:ascii="Arial" w:hAnsi="Arial" w:cs="Arial"/>
          <w:b/>
          <w:bCs/>
          <w:color w:val="000000"/>
          <w:sz w:val="22"/>
        </w:rPr>
        <w:t>and modern regulatory environment</w:t>
      </w:r>
    </w:p>
    <w:tbl>
      <w:tblPr>
        <w:tblW w:w="9990" w:type="dxa"/>
        <w:tblInd w:w="108" w:type="dxa"/>
        <w:tblBorders>
          <w:top w:val="nil"/>
          <w:left w:val="nil"/>
          <w:bottom w:val="nil"/>
          <w:right w:val="nil"/>
        </w:tblBorders>
        <w:tblLayout w:type="fixed"/>
        <w:tblLook w:val="0000"/>
      </w:tblPr>
      <w:tblGrid>
        <w:gridCol w:w="2140"/>
        <w:gridCol w:w="2140"/>
        <w:gridCol w:w="2140"/>
        <w:gridCol w:w="1590"/>
        <w:gridCol w:w="1980"/>
      </w:tblGrid>
      <w:tr w:rsidR="005A6873" w:rsidRPr="005A6873" w:rsidTr="005A6873">
        <w:tblPrEx>
          <w:tblCellMar>
            <w:top w:w="0" w:type="dxa"/>
            <w:bottom w:w="0" w:type="dxa"/>
          </w:tblCellMar>
        </w:tblPrEx>
        <w:trPr>
          <w:trHeight w:val="525"/>
        </w:trPr>
        <w:tc>
          <w:tcPr>
            <w:tcW w:w="2140"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P2.1 </w:t>
            </w:r>
          </w:p>
        </w:tc>
        <w:tc>
          <w:tcPr>
            <w:tcW w:w="2140"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proofErr w:type="spellStart"/>
            <w:r w:rsidRPr="005A6873">
              <w:rPr>
                <w:rFonts w:ascii="Arial" w:hAnsi="Arial" w:cs="Arial"/>
                <w:color w:val="000000"/>
                <w:sz w:val="22"/>
              </w:rPr>
              <w:t>Finalise</w:t>
            </w:r>
            <w:proofErr w:type="spellEnd"/>
            <w:r w:rsidRPr="005A6873">
              <w:rPr>
                <w:rFonts w:ascii="Arial" w:hAnsi="Arial" w:cs="Arial"/>
                <w:color w:val="000000"/>
                <w:sz w:val="22"/>
              </w:rPr>
              <w:t xml:space="preserve"> the Bhutan Information, Communications and Media Bill and introduce to the National Assembly </w:t>
            </w:r>
          </w:p>
        </w:tc>
        <w:tc>
          <w:tcPr>
            <w:tcW w:w="2140"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proofErr w:type="spellStart"/>
            <w:r w:rsidRPr="005A6873">
              <w:rPr>
                <w:rFonts w:ascii="Arial" w:hAnsi="Arial" w:cs="Arial"/>
                <w:color w:val="000000"/>
                <w:sz w:val="22"/>
              </w:rPr>
              <w:t>MoIC</w:t>
            </w:r>
            <w:proofErr w:type="spellEnd"/>
            <w:r w:rsidRPr="005A6873">
              <w:rPr>
                <w:rFonts w:ascii="Arial" w:hAnsi="Arial" w:cs="Arial"/>
                <w:color w:val="000000"/>
                <w:sz w:val="22"/>
              </w:rPr>
              <w:t xml:space="preserve"> </w:t>
            </w:r>
          </w:p>
        </w:tc>
        <w:tc>
          <w:tcPr>
            <w:tcW w:w="1590"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2005 </w:t>
            </w:r>
          </w:p>
        </w:tc>
        <w:tc>
          <w:tcPr>
            <w:tcW w:w="1980"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Completed (Enacted by the 85</w:t>
            </w:r>
            <w:proofErr w:type="spellStart"/>
            <w:r w:rsidRPr="005A6873">
              <w:rPr>
                <w:rFonts w:ascii="Arial" w:hAnsi="Arial" w:cs="Arial"/>
                <w:color w:val="000000"/>
                <w:position w:val="8"/>
                <w:sz w:val="22"/>
                <w:vertAlign w:val="superscript"/>
              </w:rPr>
              <w:t>th</w:t>
            </w:r>
            <w:proofErr w:type="spellEnd"/>
            <w:r w:rsidRPr="005A6873">
              <w:rPr>
                <w:rFonts w:ascii="Arial" w:hAnsi="Arial" w:cs="Arial"/>
                <w:color w:val="000000"/>
                <w:position w:val="8"/>
                <w:sz w:val="22"/>
                <w:vertAlign w:val="superscript"/>
              </w:rPr>
              <w:t xml:space="preserve"> </w:t>
            </w:r>
            <w:r w:rsidRPr="005A6873">
              <w:rPr>
                <w:rFonts w:ascii="Arial" w:hAnsi="Arial" w:cs="Arial"/>
                <w:color w:val="000000"/>
                <w:sz w:val="22"/>
              </w:rPr>
              <w:t xml:space="preserve">Session of National Assembly 2006) </w:t>
            </w:r>
          </w:p>
        </w:tc>
      </w:tr>
      <w:tr w:rsidR="005A6873" w:rsidRPr="005A6873" w:rsidTr="005A6873">
        <w:tblPrEx>
          <w:tblCellMar>
            <w:top w:w="0" w:type="dxa"/>
            <w:bottom w:w="0" w:type="dxa"/>
          </w:tblCellMar>
        </w:tblPrEx>
        <w:trPr>
          <w:trHeight w:val="272"/>
        </w:trPr>
        <w:tc>
          <w:tcPr>
            <w:tcW w:w="2140"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P2.2 </w:t>
            </w:r>
          </w:p>
        </w:tc>
        <w:tc>
          <w:tcPr>
            <w:tcW w:w="2140"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Legislate for access to and dissemination of information </w:t>
            </w:r>
          </w:p>
        </w:tc>
        <w:tc>
          <w:tcPr>
            <w:tcW w:w="2140"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Judiciary, </w:t>
            </w:r>
            <w:proofErr w:type="spellStart"/>
            <w:r w:rsidRPr="005A6873">
              <w:rPr>
                <w:rFonts w:ascii="Arial" w:hAnsi="Arial" w:cs="Arial"/>
                <w:color w:val="000000"/>
                <w:sz w:val="22"/>
              </w:rPr>
              <w:t>MoIC</w:t>
            </w:r>
            <w:proofErr w:type="spellEnd"/>
            <w:r w:rsidRPr="005A6873">
              <w:rPr>
                <w:rFonts w:ascii="Arial" w:hAnsi="Arial" w:cs="Arial"/>
                <w:color w:val="000000"/>
                <w:sz w:val="22"/>
              </w:rPr>
              <w:t xml:space="preserve">, OAG </w:t>
            </w:r>
          </w:p>
        </w:tc>
        <w:tc>
          <w:tcPr>
            <w:tcW w:w="1590"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2006 </w:t>
            </w:r>
          </w:p>
        </w:tc>
        <w:tc>
          <w:tcPr>
            <w:tcW w:w="1980"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Completed- ICM Act takes care of it </w:t>
            </w:r>
          </w:p>
        </w:tc>
      </w:tr>
      <w:tr w:rsidR="005A6873" w:rsidRPr="005A6873" w:rsidTr="005A6873">
        <w:tblPrEx>
          <w:tblCellMar>
            <w:top w:w="0" w:type="dxa"/>
            <w:bottom w:w="0" w:type="dxa"/>
          </w:tblCellMar>
        </w:tblPrEx>
        <w:trPr>
          <w:trHeight w:val="652"/>
        </w:trPr>
        <w:tc>
          <w:tcPr>
            <w:tcW w:w="2140"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P2.3 </w:t>
            </w:r>
          </w:p>
        </w:tc>
        <w:tc>
          <w:tcPr>
            <w:tcW w:w="2140"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Enforcement of intellectual property legislation </w:t>
            </w:r>
          </w:p>
        </w:tc>
        <w:tc>
          <w:tcPr>
            <w:tcW w:w="2140"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MTI, Judiciary, Revenue &amp; Customs, RBP </w:t>
            </w:r>
          </w:p>
        </w:tc>
        <w:tc>
          <w:tcPr>
            <w:tcW w:w="1590"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2007 </w:t>
            </w:r>
          </w:p>
        </w:tc>
        <w:tc>
          <w:tcPr>
            <w:tcW w:w="1980"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Ongoing </w:t>
            </w:r>
          </w:p>
        </w:tc>
      </w:tr>
      <w:tr w:rsidR="005A6873" w:rsidRPr="005A6873" w:rsidTr="005A6873">
        <w:tblPrEx>
          <w:tblCellMar>
            <w:top w:w="0" w:type="dxa"/>
            <w:bottom w:w="0" w:type="dxa"/>
          </w:tblCellMar>
        </w:tblPrEx>
        <w:trPr>
          <w:trHeight w:val="651"/>
        </w:trPr>
        <w:tc>
          <w:tcPr>
            <w:tcW w:w="2140"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P2.4 </w:t>
            </w:r>
          </w:p>
        </w:tc>
        <w:tc>
          <w:tcPr>
            <w:tcW w:w="2140"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Establish a </w:t>
            </w:r>
            <w:proofErr w:type="spellStart"/>
            <w:r w:rsidRPr="005A6873">
              <w:rPr>
                <w:rFonts w:ascii="Arial" w:hAnsi="Arial" w:cs="Arial"/>
                <w:color w:val="000000"/>
                <w:sz w:val="22"/>
              </w:rPr>
              <w:t>liberalised</w:t>
            </w:r>
            <w:proofErr w:type="spellEnd"/>
            <w:r w:rsidRPr="005A6873">
              <w:rPr>
                <w:rFonts w:ascii="Arial" w:hAnsi="Arial" w:cs="Arial"/>
                <w:color w:val="000000"/>
                <w:sz w:val="22"/>
              </w:rPr>
              <w:t xml:space="preserve"> and competitive ICT market </w:t>
            </w:r>
          </w:p>
        </w:tc>
        <w:tc>
          <w:tcPr>
            <w:tcW w:w="2140"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proofErr w:type="spellStart"/>
            <w:r w:rsidRPr="005A6873">
              <w:rPr>
                <w:rFonts w:ascii="Arial" w:hAnsi="Arial" w:cs="Arial"/>
                <w:color w:val="000000"/>
                <w:sz w:val="22"/>
              </w:rPr>
              <w:t>MoIC</w:t>
            </w:r>
            <w:proofErr w:type="spellEnd"/>
            <w:r w:rsidRPr="005A6873">
              <w:rPr>
                <w:rFonts w:ascii="Arial" w:hAnsi="Arial" w:cs="Arial"/>
                <w:color w:val="000000"/>
                <w:sz w:val="22"/>
              </w:rPr>
              <w:t xml:space="preserve"> </w:t>
            </w:r>
          </w:p>
        </w:tc>
        <w:tc>
          <w:tcPr>
            <w:tcW w:w="1590"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2007 </w:t>
            </w:r>
          </w:p>
        </w:tc>
        <w:tc>
          <w:tcPr>
            <w:tcW w:w="1980"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323232"/>
                <w:sz w:val="22"/>
              </w:rPr>
            </w:pPr>
            <w:r w:rsidRPr="005A6873">
              <w:rPr>
                <w:rFonts w:ascii="Arial" w:hAnsi="Arial" w:cs="Arial"/>
                <w:color w:val="000000"/>
                <w:sz w:val="22"/>
              </w:rPr>
              <w:t xml:space="preserve">Ongoing- </w:t>
            </w:r>
            <w:r w:rsidRPr="005A6873">
              <w:rPr>
                <w:rFonts w:ascii="Arial" w:hAnsi="Arial" w:cs="Arial"/>
                <w:color w:val="323232"/>
                <w:sz w:val="22"/>
              </w:rPr>
              <w:t xml:space="preserve">Regime </w:t>
            </w:r>
            <w:proofErr w:type="spellStart"/>
            <w:r w:rsidRPr="005A6873">
              <w:rPr>
                <w:rFonts w:ascii="Arial" w:hAnsi="Arial" w:cs="Arial"/>
                <w:color w:val="323232"/>
                <w:sz w:val="22"/>
              </w:rPr>
              <w:t>introduced,second</w:t>
            </w:r>
            <w:proofErr w:type="spellEnd"/>
            <w:r w:rsidRPr="005A6873">
              <w:rPr>
                <w:rFonts w:ascii="Arial" w:hAnsi="Arial" w:cs="Arial"/>
                <w:color w:val="323232"/>
                <w:sz w:val="22"/>
              </w:rPr>
              <w:t xml:space="preserve"> mobile operator commenced operation since 2008 </w:t>
            </w:r>
          </w:p>
        </w:tc>
      </w:tr>
      <w:tr w:rsidR="005A6873" w:rsidRPr="005A6873" w:rsidTr="005A6873">
        <w:tblPrEx>
          <w:tblCellMar>
            <w:top w:w="0" w:type="dxa"/>
            <w:bottom w:w="0" w:type="dxa"/>
          </w:tblCellMar>
        </w:tblPrEx>
        <w:trPr>
          <w:trHeight w:val="781"/>
        </w:trPr>
        <w:tc>
          <w:tcPr>
            <w:tcW w:w="2140"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P2.5 </w:t>
            </w:r>
          </w:p>
        </w:tc>
        <w:tc>
          <w:tcPr>
            <w:tcW w:w="2140"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Promote FDI in ICT industry development </w:t>
            </w:r>
          </w:p>
        </w:tc>
        <w:tc>
          <w:tcPr>
            <w:tcW w:w="2140"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proofErr w:type="spellStart"/>
            <w:r w:rsidRPr="005A6873">
              <w:rPr>
                <w:rFonts w:ascii="Arial" w:hAnsi="Arial" w:cs="Arial"/>
                <w:color w:val="000000"/>
                <w:sz w:val="22"/>
              </w:rPr>
              <w:t>MoIC</w:t>
            </w:r>
            <w:proofErr w:type="spellEnd"/>
            <w:r w:rsidRPr="005A6873">
              <w:rPr>
                <w:rFonts w:ascii="Arial" w:hAnsi="Arial" w:cs="Arial"/>
                <w:color w:val="000000"/>
                <w:sz w:val="22"/>
              </w:rPr>
              <w:t xml:space="preserve"> </w:t>
            </w:r>
          </w:p>
        </w:tc>
        <w:tc>
          <w:tcPr>
            <w:tcW w:w="1590"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000000"/>
                <w:sz w:val="22"/>
              </w:rPr>
            </w:pPr>
            <w:r w:rsidRPr="005A6873">
              <w:rPr>
                <w:rFonts w:ascii="Arial" w:hAnsi="Arial" w:cs="Arial"/>
                <w:color w:val="000000"/>
                <w:sz w:val="22"/>
              </w:rPr>
              <w:t xml:space="preserve">2007 </w:t>
            </w:r>
          </w:p>
        </w:tc>
        <w:tc>
          <w:tcPr>
            <w:tcW w:w="1980"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jc w:val="both"/>
              <w:rPr>
                <w:rFonts w:ascii="Arial" w:hAnsi="Arial" w:cs="Arial"/>
                <w:color w:val="323232"/>
                <w:sz w:val="22"/>
              </w:rPr>
            </w:pPr>
            <w:r w:rsidRPr="005A6873">
              <w:rPr>
                <w:rFonts w:ascii="Arial" w:hAnsi="Arial" w:cs="Arial"/>
                <w:color w:val="323232"/>
                <w:sz w:val="22"/>
              </w:rPr>
              <w:t>Ongoing</w:t>
            </w:r>
            <w:r w:rsidRPr="005A6873">
              <w:rPr>
                <w:rFonts w:ascii="Trebuchet MS" w:hAnsi="Trebuchet MS" w:cs="Trebuchet MS"/>
                <w:color w:val="323232"/>
                <w:sz w:val="20"/>
                <w:szCs w:val="20"/>
              </w:rPr>
              <w:t xml:space="preserve">- </w:t>
            </w:r>
            <w:r w:rsidRPr="005A6873">
              <w:rPr>
                <w:rFonts w:ascii="Arial" w:hAnsi="Arial" w:cs="Arial"/>
                <w:color w:val="323232"/>
                <w:sz w:val="22"/>
              </w:rPr>
              <w:t xml:space="preserve">licensed and implemented on a case by case basis. IT Park and BPOs. Revised FDI Policy takes care of it </w:t>
            </w:r>
          </w:p>
        </w:tc>
      </w:tr>
    </w:tbl>
    <w:p w:rsidR="00815C40" w:rsidRDefault="00815C40" w:rsidP="005A6873">
      <w:pPr>
        <w:tabs>
          <w:tab w:val="left" w:pos="0"/>
        </w:tabs>
        <w:rPr>
          <w:rFonts w:ascii="Arial" w:hAnsi="Arial" w:cs="Arial"/>
          <w:b/>
          <w:bCs/>
          <w:color w:val="000000"/>
          <w:sz w:val="22"/>
        </w:rPr>
      </w:pPr>
    </w:p>
    <w:p w:rsidR="005A6873" w:rsidRPr="005A6873" w:rsidRDefault="005A6873" w:rsidP="00815C40">
      <w:pPr>
        <w:tabs>
          <w:tab w:val="left" w:pos="0"/>
        </w:tabs>
        <w:rPr>
          <w:rFonts w:ascii="Arial" w:hAnsi="Arial" w:cs="Arial"/>
          <w:color w:val="000000"/>
          <w:sz w:val="22"/>
        </w:rPr>
      </w:pPr>
      <w:proofErr w:type="gramStart"/>
      <w:r w:rsidRPr="005A6873">
        <w:rPr>
          <w:rFonts w:ascii="Arial" w:hAnsi="Arial" w:cs="Arial"/>
          <w:b/>
          <w:bCs/>
          <w:color w:val="000000"/>
          <w:sz w:val="22"/>
        </w:rPr>
        <w:t>Strategy P3.</w:t>
      </w:r>
      <w:proofErr w:type="gramEnd"/>
      <w:r w:rsidRPr="005A6873">
        <w:rPr>
          <w:rFonts w:ascii="Arial" w:hAnsi="Arial" w:cs="Arial"/>
          <w:b/>
          <w:bCs/>
          <w:color w:val="000000"/>
          <w:sz w:val="22"/>
        </w:rPr>
        <w:t xml:space="preserve"> By 2008, strengthen ICT regulatory and enforcement capacity </w:t>
      </w:r>
    </w:p>
    <w:tbl>
      <w:tblPr>
        <w:tblW w:w="0" w:type="auto"/>
        <w:tblInd w:w="107" w:type="dxa"/>
        <w:tblLayout w:type="fixed"/>
        <w:tblCellMar>
          <w:left w:w="0" w:type="dxa"/>
          <w:right w:w="0" w:type="dxa"/>
        </w:tblCellMar>
        <w:tblLook w:val="0000"/>
      </w:tblPr>
      <w:tblGrid>
        <w:gridCol w:w="900"/>
        <w:gridCol w:w="3960"/>
        <w:gridCol w:w="1440"/>
        <w:gridCol w:w="1440"/>
        <w:gridCol w:w="2430"/>
      </w:tblGrid>
      <w:tr w:rsidR="005A6873" w:rsidRPr="005A6873">
        <w:tblPrEx>
          <w:tblCellMar>
            <w:top w:w="0" w:type="dxa"/>
            <w:left w:w="0" w:type="dxa"/>
            <w:bottom w:w="0" w:type="dxa"/>
            <w:right w:w="0" w:type="dxa"/>
          </w:tblCellMar>
        </w:tblPrEx>
        <w:trPr>
          <w:trHeight w:hRule="exact" w:val="769"/>
        </w:trPr>
        <w:tc>
          <w:tcPr>
            <w:tcW w:w="900"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kinsoku w:val="0"/>
              <w:overflowPunct w:val="0"/>
              <w:autoSpaceDE w:val="0"/>
              <w:autoSpaceDN w:val="0"/>
              <w:adjustRightInd w:val="0"/>
              <w:spacing w:after="0" w:line="251" w:lineRule="exact"/>
              <w:ind w:left="103"/>
              <w:rPr>
                <w:rFonts w:cs="Times New Roman"/>
                <w:szCs w:val="24"/>
              </w:rPr>
            </w:pPr>
            <w:r w:rsidRPr="005A6873">
              <w:rPr>
                <w:rFonts w:ascii="Arial" w:hAnsi="Arial" w:cs="Arial"/>
                <w:sz w:val="22"/>
              </w:rPr>
              <w:t>P3.1</w:t>
            </w:r>
          </w:p>
        </w:tc>
        <w:tc>
          <w:tcPr>
            <w:tcW w:w="3960"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kinsoku w:val="0"/>
              <w:overflowPunct w:val="0"/>
              <w:autoSpaceDE w:val="0"/>
              <w:autoSpaceDN w:val="0"/>
              <w:adjustRightInd w:val="0"/>
              <w:spacing w:after="0" w:line="240" w:lineRule="auto"/>
              <w:ind w:left="103" w:right="101"/>
              <w:jc w:val="both"/>
              <w:rPr>
                <w:rFonts w:cs="Times New Roman"/>
                <w:szCs w:val="24"/>
              </w:rPr>
            </w:pPr>
            <w:r w:rsidRPr="005A6873">
              <w:rPr>
                <w:rFonts w:ascii="Arial" w:hAnsi="Arial" w:cs="Arial"/>
                <w:sz w:val="22"/>
              </w:rPr>
              <w:t>Recruit appropriate regulatory personnel and, train and re-train them regularly</w:t>
            </w:r>
          </w:p>
        </w:tc>
        <w:tc>
          <w:tcPr>
            <w:tcW w:w="1440"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kinsoku w:val="0"/>
              <w:overflowPunct w:val="0"/>
              <w:autoSpaceDE w:val="0"/>
              <w:autoSpaceDN w:val="0"/>
              <w:adjustRightInd w:val="0"/>
              <w:spacing w:before="9" w:after="0" w:line="240" w:lineRule="auto"/>
              <w:rPr>
                <w:rFonts w:ascii="Arial" w:hAnsi="Arial" w:cs="Arial"/>
                <w:b/>
                <w:bCs/>
                <w:sz w:val="21"/>
                <w:szCs w:val="21"/>
              </w:rPr>
            </w:pPr>
          </w:p>
          <w:p w:rsidR="005A6873" w:rsidRPr="005A6873" w:rsidRDefault="005A6873" w:rsidP="005A6873">
            <w:pPr>
              <w:kinsoku w:val="0"/>
              <w:overflowPunct w:val="0"/>
              <w:autoSpaceDE w:val="0"/>
              <w:autoSpaceDN w:val="0"/>
              <w:adjustRightInd w:val="0"/>
              <w:spacing w:after="0" w:line="240" w:lineRule="auto"/>
              <w:ind w:left="103" w:right="610"/>
              <w:rPr>
                <w:rFonts w:cs="Times New Roman"/>
                <w:szCs w:val="24"/>
              </w:rPr>
            </w:pPr>
            <w:r w:rsidRPr="005A6873">
              <w:rPr>
                <w:rFonts w:ascii="Arial" w:hAnsi="Arial" w:cs="Arial"/>
                <w:sz w:val="22"/>
              </w:rPr>
              <w:t>RCSC, BICMA</w:t>
            </w:r>
          </w:p>
        </w:tc>
        <w:tc>
          <w:tcPr>
            <w:tcW w:w="1440"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kinsoku w:val="0"/>
              <w:overflowPunct w:val="0"/>
              <w:autoSpaceDE w:val="0"/>
              <w:autoSpaceDN w:val="0"/>
              <w:adjustRightInd w:val="0"/>
              <w:spacing w:before="9" w:after="0" w:line="240" w:lineRule="auto"/>
              <w:rPr>
                <w:rFonts w:ascii="Arial" w:hAnsi="Arial" w:cs="Arial"/>
                <w:b/>
                <w:bCs/>
                <w:sz w:val="21"/>
                <w:szCs w:val="21"/>
              </w:rPr>
            </w:pPr>
          </w:p>
          <w:p w:rsidR="005A6873" w:rsidRPr="005A6873" w:rsidRDefault="005A6873" w:rsidP="005A6873">
            <w:pPr>
              <w:kinsoku w:val="0"/>
              <w:overflowPunct w:val="0"/>
              <w:autoSpaceDE w:val="0"/>
              <w:autoSpaceDN w:val="0"/>
              <w:adjustRightInd w:val="0"/>
              <w:spacing w:after="0" w:line="240" w:lineRule="auto"/>
              <w:ind w:left="103" w:right="610"/>
              <w:rPr>
                <w:rFonts w:cs="Times New Roman"/>
                <w:szCs w:val="24"/>
              </w:rPr>
            </w:pPr>
            <w:r w:rsidRPr="005A6873">
              <w:rPr>
                <w:rFonts w:ascii="Arial" w:hAnsi="Arial" w:cs="Arial"/>
                <w:sz w:val="22"/>
              </w:rPr>
              <w:t>2007</w:t>
            </w:r>
          </w:p>
        </w:tc>
        <w:tc>
          <w:tcPr>
            <w:tcW w:w="2430" w:type="dxa"/>
            <w:tcBorders>
              <w:top w:val="single" w:sz="4" w:space="0" w:color="000000"/>
              <w:left w:val="single" w:sz="4" w:space="0" w:color="000000"/>
              <w:bottom w:val="single" w:sz="4" w:space="0" w:color="000000"/>
              <w:right w:val="single" w:sz="4" w:space="0" w:color="000000"/>
            </w:tcBorders>
          </w:tcPr>
          <w:p w:rsidR="005A6873" w:rsidRPr="005A6873" w:rsidRDefault="005A6873" w:rsidP="005A6873">
            <w:pPr>
              <w:autoSpaceDE w:val="0"/>
              <w:autoSpaceDN w:val="0"/>
              <w:adjustRightInd w:val="0"/>
              <w:spacing w:after="0" w:line="240" w:lineRule="auto"/>
              <w:rPr>
                <w:rFonts w:cs="Times New Roman"/>
                <w:szCs w:val="24"/>
              </w:rPr>
            </w:pPr>
          </w:p>
        </w:tc>
      </w:tr>
    </w:tbl>
    <w:tbl>
      <w:tblPr>
        <w:tblpPr w:leftFromText="180" w:rightFromText="180" w:vertAnchor="text" w:horzAnchor="margin" w:tblpX="95" w:tblpY="11"/>
        <w:tblW w:w="10175" w:type="dxa"/>
        <w:tblLayout w:type="fixed"/>
        <w:tblCellMar>
          <w:left w:w="0" w:type="dxa"/>
          <w:right w:w="0" w:type="dxa"/>
        </w:tblCellMar>
        <w:tblLook w:val="0000"/>
      </w:tblPr>
      <w:tblGrid>
        <w:gridCol w:w="905"/>
        <w:gridCol w:w="3960"/>
        <w:gridCol w:w="1440"/>
        <w:gridCol w:w="1440"/>
        <w:gridCol w:w="2430"/>
      </w:tblGrid>
      <w:tr w:rsidR="00815C40" w:rsidRPr="005A6873" w:rsidTr="00815C40">
        <w:tblPrEx>
          <w:tblCellMar>
            <w:top w:w="0" w:type="dxa"/>
            <w:left w:w="0" w:type="dxa"/>
            <w:bottom w:w="0" w:type="dxa"/>
            <w:right w:w="0" w:type="dxa"/>
          </w:tblCellMar>
        </w:tblPrEx>
        <w:trPr>
          <w:trHeight w:hRule="exact" w:val="769"/>
        </w:trPr>
        <w:tc>
          <w:tcPr>
            <w:tcW w:w="905" w:type="dxa"/>
            <w:tcBorders>
              <w:top w:val="single" w:sz="4" w:space="0" w:color="000000"/>
              <w:left w:val="single" w:sz="4" w:space="0" w:color="000000"/>
              <w:bottom w:val="single" w:sz="4" w:space="0" w:color="000000"/>
              <w:right w:val="single" w:sz="4" w:space="0" w:color="000000"/>
            </w:tcBorders>
          </w:tcPr>
          <w:p w:rsidR="00815C40" w:rsidRPr="005A6873" w:rsidRDefault="00815C40" w:rsidP="00815C40">
            <w:pPr>
              <w:kinsoku w:val="0"/>
              <w:overflowPunct w:val="0"/>
              <w:autoSpaceDE w:val="0"/>
              <w:autoSpaceDN w:val="0"/>
              <w:adjustRightInd w:val="0"/>
              <w:spacing w:after="0" w:line="251" w:lineRule="exact"/>
              <w:ind w:left="103"/>
              <w:rPr>
                <w:rFonts w:cs="Times New Roman"/>
                <w:szCs w:val="24"/>
              </w:rPr>
            </w:pPr>
            <w:r w:rsidRPr="005A6873">
              <w:rPr>
                <w:rFonts w:ascii="Arial" w:hAnsi="Arial" w:cs="Arial"/>
                <w:sz w:val="22"/>
              </w:rPr>
              <w:t>P3.2</w:t>
            </w:r>
          </w:p>
        </w:tc>
        <w:tc>
          <w:tcPr>
            <w:tcW w:w="3960" w:type="dxa"/>
            <w:tcBorders>
              <w:top w:val="single" w:sz="4" w:space="0" w:color="000000"/>
              <w:left w:val="single" w:sz="4" w:space="0" w:color="000000"/>
              <w:bottom w:val="single" w:sz="4" w:space="0" w:color="000000"/>
              <w:right w:val="single" w:sz="4" w:space="0" w:color="000000"/>
            </w:tcBorders>
          </w:tcPr>
          <w:p w:rsidR="00815C40" w:rsidRPr="005A6873" w:rsidRDefault="00815C40" w:rsidP="00815C40">
            <w:pPr>
              <w:kinsoku w:val="0"/>
              <w:overflowPunct w:val="0"/>
              <w:autoSpaceDE w:val="0"/>
              <w:autoSpaceDN w:val="0"/>
              <w:adjustRightInd w:val="0"/>
              <w:spacing w:after="0" w:line="240" w:lineRule="auto"/>
              <w:ind w:left="103" w:right="100" w:hanging="1"/>
              <w:jc w:val="both"/>
              <w:rPr>
                <w:rFonts w:cs="Times New Roman"/>
                <w:szCs w:val="24"/>
              </w:rPr>
            </w:pPr>
            <w:r w:rsidRPr="005A6873">
              <w:rPr>
                <w:rFonts w:ascii="Arial" w:hAnsi="Arial" w:cs="Arial"/>
                <w:sz w:val="22"/>
              </w:rPr>
              <w:t>Provide competitive remuneration package for ICT regulatory professionals/specialists</w:t>
            </w:r>
          </w:p>
        </w:tc>
        <w:tc>
          <w:tcPr>
            <w:tcW w:w="1440" w:type="dxa"/>
            <w:tcBorders>
              <w:top w:val="single" w:sz="4" w:space="0" w:color="000000"/>
              <w:left w:val="single" w:sz="4" w:space="0" w:color="000000"/>
              <w:bottom w:val="single" w:sz="4" w:space="0" w:color="000000"/>
              <w:right w:val="single" w:sz="4" w:space="0" w:color="000000"/>
            </w:tcBorders>
          </w:tcPr>
          <w:p w:rsidR="00815C40" w:rsidRPr="005A6873" w:rsidRDefault="00815C40" w:rsidP="00815C40">
            <w:pPr>
              <w:kinsoku w:val="0"/>
              <w:overflowPunct w:val="0"/>
              <w:autoSpaceDE w:val="0"/>
              <w:autoSpaceDN w:val="0"/>
              <w:adjustRightInd w:val="0"/>
              <w:spacing w:before="9" w:after="0" w:line="240" w:lineRule="auto"/>
              <w:rPr>
                <w:rFonts w:ascii="Arial" w:hAnsi="Arial" w:cs="Arial"/>
                <w:i/>
                <w:iCs/>
                <w:sz w:val="21"/>
                <w:szCs w:val="21"/>
              </w:rPr>
            </w:pPr>
          </w:p>
          <w:p w:rsidR="00815C40" w:rsidRPr="005A6873" w:rsidRDefault="00815C40" w:rsidP="00815C40">
            <w:pPr>
              <w:kinsoku w:val="0"/>
              <w:overflowPunct w:val="0"/>
              <w:autoSpaceDE w:val="0"/>
              <w:autoSpaceDN w:val="0"/>
              <w:adjustRightInd w:val="0"/>
              <w:spacing w:after="0" w:line="240" w:lineRule="auto"/>
              <w:ind w:left="103" w:right="610"/>
              <w:rPr>
                <w:rFonts w:cs="Times New Roman"/>
                <w:szCs w:val="24"/>
              </w:rPr>
            </w:pPr>
            <w:r w:rsidRPr="005A6873">
              <w:rPr>
                <w:rFonts w:ascii="Arial" w:hAnsi="Arial" w:cs="Arial"/>
                <w:sz w:val="22"/>
              </w:rPr>
              <w:t>RCSC, BICMA</w:t>
            </w:r>
          </w:p>
        </w:tc>
        <w:tc>
          <w:tcPr>
            <w:tcW w:w="1440" w:type="dxa"/>
            <w:tcBorders>
              <w:top w:val="single" w:sz="4" w:space="0" w:color="000000"/>
              <w:left w:val="single" w:sz="4" w:space="0" w:color="000000"/>
              <w:bottom w:val="single" w:sz="4" w:space="0" w:color="000000"/>
              <w:right w:val="single" w:sz="4" w:space="0" w:color="000000"/>
            </w:tcBorders>
          </w:tcPr>
          <w:p w:rsidR="00815C40" w:rsidRPr="005A6873" w:rsidRDefault="00815C40" w:rsidP="00815C40">
            <w:pPr>
              <w:kinsoku w:val="0"/>
              <w:overflowPunct w:val="0"/>
              <w:autoSpaceDE w:val="0"/>
              <w:autoSpaceDN w:val="0"/>
              <w:adjustRightInd w:val="0"/>
              <w:spacing w:before="9" w:after="0" w:line="240" w:lineRule="auto"/>
              <w:rPr>
                <w:rFonts w:ascii="Arial" w:hAnsi="Arial" w:cs="Arial"/>
                <w:i/>
                <w:iCs/>
                <w:sz w:val="21"/>
                <w:szCs w:val="21"/>
              </w:rPr>
            </w:pPr>
          </w:p>
          <w:p w:rsidR="00815C40" w:rsidRPr="005A6873" w:rsidRDefault="00815C40" w:rsidP="00815C40">
            <w:pPr>
              <w:kinsoku w:val="0"/>
              <w:overflowPunct w:val="0"/>
              <w:autoSpaceDE w:val="0"/>
              <w:autoSpaceDN w:val="0"/>
              <w:adjustRightInd w:val="0"/>
              <w:spacing w:after="0" w:line="240" w:lineRule="auto"/>
              <w:ind w:left="103" w:right="610"/>
              <w:rPr>
                <w:rFonts w:cs="Times New Roman"/>
                <w:szCs w:val="24"/>
              </w:rPr>
            </w:pPr>
            <w:r w:rsidRPr="005A6873">
              <w:rPr>
                <w:rFonts w:ascii="Arial" w:hAnsi="Arial" w:cs="Arial"/>
                <w:sz w:val="22"/>
              </w:rPr>
              <w:t>2007</w:t>
            </w:r>
          </w:p>
        </w:tc>
        <w:tc>
          <w:tcPr>
            <w:tcW w:w="2430" w:type="dxa"/>
            <w:tcBorders>
              <w:top w:val="single" w:sz="4" w:space="0" w:color="000000"/>
              <w:left w:val="single" w:sz="4" w:space="0" w:color="000000"/>
              <w:bottom w:val="single" w:sz="4" w:space="0" w:color="000000"/>
              <w:right w:val="single" w:sz="4" w:space="0" w:color="000000"/>
            </w:tcBorders>
          </w:tcPr>
          <w:p w:rsidR="00815C40" w:rsidRPr="005A6873" w:rsidRDefault="00815C40" w:rsidP="00815C40">
            <w:pPr>
              <w:autoSpaceDE w:val="0"/>
              <w:autoSpaceDN w:val="0"/>
              <w:adjustRightInd w:val="0"/>
              <w:spacing w:after="0" w:line="240" w:lineRule="auto"/>
              <w:rPr>
                <w:rFonts w:cs="Times New Roman"/>
                <w:szCs w:val="24"/>
              </w:rPr>
            </w:pPr>
          </w:p>
        </w:tc>
      </w:tr>
    </w:tbl>
    <w:p w:rsidR="00815C40" w:rsidRDefault="00815C40" w:rsidP="00815C40">
      <w:pPr>
        <w:kinsoku w:val="0"/>
        <w:overflowPunct w:val="0"/>
        <w:autoSpaceDE w:val="0"/>
        <w:autoSpaceDN w:val="0"/>
        <w:adjustRightInd w:val="0"/>
        <w:spacing w:after="0" w:line="20" w:lineRule="exact"/>
        <w:rPr>
          <w:rFonts w:ascii="Arial" w:hAnsi="Arial" w:cs="Arial"/>
          <w:sz w:val="2"/>
          <w:szCs w:val="2"/>
        </w:rPr>
      </w:pPr>
    </w:p>
    <w:p w:rsidR="00815C40" w:rsidRPr="00815C40" w:rsidRDefault="00815C40" w:rsidP="00815C40">
      <w:pPr>
        <w:rPr>
          <w:rFonts w:ascii="Arial" w:hAnsi="Arial" w:cs="Arial"/>
          <w:sz w:val="2"/>
          <w:szCs w:val="2"/>
        </w:rPr>
      </w:pPr>
    </w:p>
    <w:p w:rsidR="00815C40" w:rsidRPr="00815C40" w:rsidRDefault="00815C40" w:rsidP="00815C40">
      <w:pPr>
        <w:rPr>
          <w:rFonts w:ascii="Arial" w:hAnsi="Arial" w:cs="Arial"/>
          <w:sz w:val="2"/>
          <w:szCs w:val="2"/>
        </w:rPr>
      </w:pPr>
    </w:p>
    <w:p w:rsidR="00815C40" w:rsidRPr="00815C40" w:rsidRDefault="00815C40" w:rsidP="00815C40">
      <w:pPr>
        <w:rPr>
          <w:rFonts w:ascii="Arial" w:hAnsi="Arial" w:cs="Arial"/>
          <w:sz w:val="2"/>
          <w:szCs w:val="2"/>
        </w:rPr>
      </w:pPr>
    </w:p>
    <w:p w:rsidR="00815C40" w:rsidRPr="00815C40" w:rsidRDefault="00815C40" w:rsidP="00815C40">
      <w:pPr>
        <w:rPr>
          <w:rFonts w:ascii="Arial" w:hAnsi="Arial" w:cs="Arial"/>
          <w:sz w:val="2"/>
          <w:szCs w:val="2"/>
        </w:rPr>
      </w:pPr>
    </w:p>
    <w:p w:rsidR="00815C40" w:rsidRDefault="00815C40" w:rsidP="00815C40">
      <w:pPr>
        <w:pStyle w:val="BodyText"/>
        <w:kinsoku w:val="0"/>
        <w:overflowPunct w:val="0"/>
        <w:rPr>
          <w:b/>
          <w:sz w:val="22"/>
          <w:szCs w:val="22"/>
        </w:rPr>
      </w:pPr>
      <w:proofErr w:type="gramStart"/>
      <w:r w:rsidRPr="00815C40">
        <w:rPr>
          <w:b/>
          <w:sz w:val="22"/>
          <w:szCs w:val="22"/>
        </w:rPr>
        <w:t>Strategy P4.</w:t>
      </w:r>
      <w:proofErr w:type="gramEnd"/>
      <w:r w:rsidRPr="00815C40">
        <w:rPr>
          <w:b/>
          <w:sz w:val="22"/>
          <w:szCs w:val="22"/>
        </w:rPr>
        <w:t xml:space="preserve"> By 2005, investigate ways to fund and reduce the cost of ICT services</w:t>
      </w:r>
    </w:p>
    <w:p w:rsidR="00815C40" w:rsidRPr="00815C40" w:rsidRDefault="00815C40" w:rsidP="00815C40">
      <w:pPr>
        <w:pStyle w:val="BodyText"/>
        <w:kinsoku w:val="0"/>
        <w:overflowPunct w:val="0"/>
        <w:rPr>
          <w:b/>
          <w:sz w:val="22"/>
          <w:szCs w:val="22"/>
        </w:rPr>
      </w:pPr>
    </w:p>
    <w:p w:rsidR="00815C40" w:rsidRPr="00815C40" w:rsidRDefault="00815C40" w:rsidP="00815C40">
      <w:pPr>
        <w:kinsoku w:val="0"/>
        <w:overflowPunct w:val="0"/>
        <w:autoSpaceDE w:val="0"/>
        <w:autoSpaceDN w:val="0"/>
        <w:adjustRightInd w:val="0"/>
        <w:spacing w:before="2" w:after="0" w:line="240" w:lineRule="auto"/>
        <w:rPr>
          <w:rFonts w:cs="Times New Roman"/>
          <w:sz w:val="2"/>
          <w:szCs w:val="2"/>
        </w:rPr>
      </w:pPr>
    </w:p>
    <w:tbl>
      <w:tblPr>
        <w:tblW w:w="0" w:type="auto"/>
        <w:tblInd w:w="107" w:type="dxa"/>
        <w:tblLayout w:type="fixed"/>
        <w:tblCellMar>
          <w:left w:w="0" w:type="dxa"/>
          <w:right w:w="0" w:type="dxa"/>
        </w:tblCellMar>
        <w:tblLook w:val="0000"/>
      </w:tblPr>
      <w:tblGrid>
        <w:gridCol w:w="900"/>
        <w:gridCol w:w="3960"/>
        <w:gridCol w:w="1440"/>
        <w:gridCol w:w="1440"/>
        <w:gridCol w:w="2430"/>
      </w:tblGrid>
      <w:tr w:rsidR="00815C40" w:rsidRPr="00815C40">
        <w:tblPrEx>
          <w:tblCellMar>
            <w:top w:w="0" w:type="dxa"/>
            <w:left w:w="0" w:type="dxa"/>
            <w:bottom w:w="0" w:type="dxa"/>
            <w:right w:w="0" w:type="dxa"/>
          </w:tblCellMar>
        </w:tblPrEx>
        <w:trPr>
          <w:trHeight w:hRule="exact" w:val="1781"/>
        </w:trPr>
        <w:tc>
          <w:tcPr>
            <w:tcW w:w="900" w:type="dxa"/>
            <w:tcBorders>
              <w:top w:val="single" w:sz="4" w:space="0" w:color="000000"/>
              <w:left w:val="single" w:sz="4" w:space="0" w:color="000000"/>
              <w:bottom w:val="single" w:sz="4" w:space="0" w:color="000000"/>
              <w:right w:val="single" w:sz="4" w:space="0" w:color="000000"/>
            </w:tcBorders>
          </w:tcPr>
          <w:p w:rsidR="00815C40" w:rsidRPr="00815C40" w:rsidRDefault="00815C40" w:rsidP="00815C40">
            <w:pPr>
              <w:kinsoku w:val="0"/>
              <w:overflowPunct w:val="0"/>
              <w:autoSpaceDE w:val="0"/>
              <w:autoSpaceDN w:val="0"/>
              <w:adjustRightInd w:val="0"/>
              <w:spacing w:after="0" w:line="251" w:lineRule="exact"/>
              <w:ind w:left="103"/>
              <w:rPr>
                <w:rFonts w:cs="Times New Roman"/>
                <w:szCs w:val="24"/>
              </w:rPr>
            </w:pPr>
            <w:r w:rsidRPr="00815C40">
              <w:rPr>
                <w:rFonts w:ascii="Arial" w:hAnsi="Arial" w:cs="Arial"/>
                <w:sz w:val="22"/>
              </w:rPr>
              <w:t>P4.1</w:t>
            </w:r>
          </w:p>
        </w:tc>
        <w:tc>
          <w:tcPr>
            <w:tcW w:w="3960" w:type="dxa"/>
            <w:tcBorders>
              <w:top w:val="single" w:sz="4" w:space="0" w:color="000000"/>
              <w:left w:val="single" w:sz="4" w:space="0" w:color="000000"/>
              <w:bottom w:val="single" w:sz="4" w:space="0" w:color="000000"/>
              <w:right w:val="single" w:sz="4" w:space="0" w:color="000000"/>
            </w:tcBorders>
          </w:tcPr>
          <w:p w:rsidR="00815C40" w:rsidRPr="00815C40" w:rsidRDefault="00815C40" w:rsidP="00815C40">
            <w:pPr>
              <w:kinsoku w:val="0"/>
              <w:overflowPunct w:val="0"/>
              <w:autoSpaceDE w:val="0"/>
              <w:autoSpaceDN w:val="0"/>
              <w:adjustRightInd w:val="0"/>
              <w:spacing w:after="0" w:line="240" w:lineRule="auto"/>
              <w:ind w:left="103" w:right="100"/>
              <w:jc w:val="both"/>
              <w:rPr>
                <w:rFonts w:cs="Times New Roman"/>
                <w:szCs w:val="24"/>
              </w:rPr>
            </w:pPr>
            <w:r w:rsidRPr="00815C40">
              <w:rPr>
                <w:rFonts w:ascii="Arial" w:hAnsi="Arial" w:cs="Arial"/>
                <w:sz w:val="22"/>
              </w:rPr>
              <w:t>Develop a plan for a National ICT Infrastructure Fund (NICTIF), taking into account the Universal Service Fund</w:t>
            </w:r>
          </w:p>
        </w:tc>
        <w:tc>
          <w:tcPr>
            <w:tcW w:w="1440" w:type="dxa"/>
            <w:tcBorders>
              <w:top w:val="single" w:sz="4" w:space="0" w:color="000000"/>
              <w:left w:val="single" w:sz="4" w:space="0" w:color="000000"/>
              <w:bottom w:val="single" w:sz="4" w:space="0" w:color="000000"/>
              <w:right w:val="single" w:sz="4" w:space="0" w:color="000000"/>
            </w:tcBorders>
          </w:tcPr>
          <w:p w:rsidR="00815C40" w:rsidRPr="00815C40" w:rsidRDefault="00815C40" w:rsidP="00815C40">
            <w:pPr>
              <w:kinsoku w:val="0"/>
              <w:overflowPunct w:val="0"/>
              <w:autoSpaceDE w:val="0"/>
              <w:autoSpaceDN w:val="0"/>
              <w:adjustRightInd w:val="0"/>
              <w:spacing w:after="0" w:line="240" w:lineRule="auto"/>
              <w:rPr>
                <w:rFonts w:cs="Times New Roman"/>
                <w:sz w:val="22"/>
              </w:rPr>
            </w:pPr>
          </w:p>
          <w:p w:rsidR="00815C40" w:rsidRPr="00815C40" w:rsidRDefault="00815C40" w:rsidP="00815C40">
            <w:pPr>
              <w:kinsoku w:val="0"/>
              <w:overflowPunct w:val="0"/>
              <w:autoSpaceDE w:val="0"/>
              <w:autoSpaceDN w:val="0"/>
              <w:adjustRightInd w:val="0"/>
              <w:spacing w:after="0" w:line="240" w:lineRule="auto"/>
              <w:ind w:left="103"/>
              <w:rPr>
                <w:rFonts w:cs="Times New Roman"/>
                <w:szCs w:val="24"/>
              </w:rPr>
            </w:pPr>
            <w:proofErr w:type="spellStart"/>
            <w:r w:rsidRPr="00815C40">
              <w:rPr>
                <w:rFonts w:ascii="Arial" w:hAnsi="Arial" w:cs="Arial"/>
                <w:sz w:val="22"/>
              </w:rPr>
              <w:t>MoIC</w:t>
            </w:r>
            <w:proofErr w:type="spellEnd"/>
          </w:p>
        </w:tc>
        <w:tc>
          <w:tcPr>
            <w:tcW w:w="1440" w:type="dxa"/>
            <w:tcBorders>
              <w:top w:val="single" w:sz="4" w:space="0" w:color="000000"/>
              <w:left w:val="single" w:sz="4" w:space="0" w:color="000000"/>
              <w:bottom w:val="single" w:sz="4" w:space="0" w:color="000000"/>
              <w:right w:val="single" w:sz="4" w:space="0" w:color="000000"/>
            </w:tcBorders>
          </w:tcPr>
          <w:p w:rsidR="00815C40" w:rsidRPr="00815C40" w:rsidRDefault="00815C40" w:rsidP="00815C40">
            <w:pPr>
              <w:kinsoku w:val="0"/>
              <w:overflowPunct w:val="0"/>
              <w:autoSpaceDE w:val="0"/>
              <w:autoSpaceDN w:val="0"/>
              <w:adjustRightInd w:val="0"/>
              <w:spacing w:after="0" w:line="240" w:lineRule="auto"/>
              <w:rPr>
                <w:rFonts w:cs="Times New Roman"/>
                <w:sz w:val="22"/>
              </w:rPr>
            </w:pPr>
          </w:p>
          <w:p w:rsidR="00815C40" w:rsidRPr="00815C40" w:rsidRDefault="00815C40" w:rsidP="00815C40">
            <w:pPr>
              <w:kinsoku w:val="0"/>
              <w:overflowPunct w:val="0"/>
              <w:autoSpaceDE w:val="0"/>
              <w:autoSpaceDN w:val="0"/>
              <w:adjustRightInd w:val="0"/>
              <w:spacing w:after="0" w:line="240" w:lineRule="auto"/>
              <w:ind w:left="103"/>
              <w:rPr>
                <w:rFonts w:cs="Times New Roman"/>
                <w:szCs w:val="24"/>
              </w:rPr>
            </w:pPr>
            <w:r w:rsidRPr="00815C40">
              <w:rPr>
                <w:rFonts w:ascii="Arial" w:hAnsi="Arial" w:cs="Arial"/>
                <w:sz w:val="22"/>
              </w:rPr>
              <w:t>2005</w:t>
            </w:r>
          </w:p>
        </w:tc>
        <w:tc>
          <w:tcPr>
            <w:tcW w:w="2430" w:type="dxa"/>
            <w:tcBorders>
              <w:top w:val="single" w:sz="4" w:space="0" w:color="000000"/>
              <w:left w:val="single" w:sz="4" w:space="0" w:color="000000"/>
              <w:bottom w:val="single" w:sz="4" w:space="0" w:color="000000"/>
              <w:right w:val="single" w:sz="4" w:space="0" w:color="000000"/>
            </w:tcBorders>
          </w:tcPr>
          <w:p w:rsidR="00815C40" w:rsidRPr="00815C40" w:rsidRDefault="00815C40" w:rsidP="00815C40">
            <w:pPr>
              <w:kinsoku w:val="0"/>
              <w:overflowPunct w:val="0"/>
              <w:autoSpaceDE w:val="0"/>
              <w:autoSpaceDN w:val="0"/>
              <w:adjustRightInd w:val="0"/>
              <w:spacing w:after="0" w:line="251" w:lineRule="exact"/>
              <w:ind w:left="103"/>
              <w:jc w:val="both"/>
              <w:rPr>
                <w:rFonts w:ascii="Arial" w:hAnsi="Arial" w:cs="Arial"/>
                <w:sz w:val="22"/>
              </w:rPr>
            </w:pPr>
            <w:r w:rsidRPr="00815C40">
              <w:rPr>
                <w:rFonts w:ascii="Arial" w:hAnsi="Arial" w:cs="Arial"/>
                <w:sz w:val="22"/>
              </w:rPr>
              <w:t>Completed-</w:t>
            </w:r>
          </w:p>
          <w:p w:rsidR="00815C40" w:rsidRPr="00815C40" w:rsidRDefault="00815C40" w:rsidP="00815C40">
            <w:pPr>
              <w:kinsoku w:val="0"/>
              <w:overflowPunct w:val="0"/>
              <w:autoSpaceDE w:val="0"/>
              <w:autoSpaceDN w:val="0"/>
              <w:adjustRightInd w:val="0"/>
              <w:spacing w:after="0" w:line="240" w:lineRule="auto"/>
              <w:ind w:left="103" w:right="99"/>
              <w:jc w:val="both"/>
              <w:rPr>
                <w:rFonts w:cs="Times New Roman"/>
                <w:szCs w:val="24"/>
              </w:rPr>
            </w:pPr>
            <w:r w:rsidRPr="00815C40">
              <w:rPr>
                <w:rFonts w:ascii="Arial" w:hAnsi="Arial" w:cs="Arial"/>
                <w:sz w:val="22"/>
              </w:rPr>
              <w:t>Rules detailing the modus operandi of the fund is being formulated by BICMA as per the  provisions of the ICM Act</w:t>
            </w:r>
          </w:p>
        </w:tc>
      </w:tr>
      <w:tr w:rsidR="00815C40" w:rsidRPr="00815C40">
        <w:tblPrEx>
          <w:tblCellMar>
            <w:top w:w="0" w:type="dxa"/>
            <w:left w:w="0" w:type="dxa"/>
            <w:bottom w:w="0" w:type="dxa"/>
            <w:right w:w="0" w:type="dxa"/>
          </w:tblCellMar>
        </w:tblPrEx>
        <w:trPr>
          <w:trHeight w:hRule="exact" w:val="1276"/>
        </w:trPr>
        <w:tc>
          <w:tcPr>
            <w:tcW w:w="900" w:type="dxa"/>
            <w:tcBorders>
              <w:top w:val="single" w:sz="4" w:space="0" w:color="000000"/>
              <w:left w:val="single" w:sz="4" w:space="0" w:color="000000"/>
              <w:bottom w:val="single" w:sz="4" w:space="0" w:color="000000"/>
              <w:right w:val="single" w:sz="4" w:space="0" w:color="000000"/>
            </w:tcBorders>
          </w:tcPr>
          <w:p w:rsidR="00815C40" w:rsidRPr="00815C40" w:rsidRDefault="00815C40" w:rsidP="00815C40">
            <w:pPr>
              <w:kinsoku w:val="0"/>
              <w:overflowPunct w:val="0"/>
              <w:autoSpaceDE w:val="0"/>
              <w:autoSpaceDN w:val="0"/>
              <w:adjustRightInd w:val="0"/>
              <w:spacing w:after="0" w:line="251" w:lineRule="exact"/>
              <w:ind w:left="103"/>
              <w:rPr>
                <w:rFonts w:cs="Times New Roman"/>
                <w:szCs w:val="24"/>
              </w:rPr>
            </w:pPr>
            <w:r w:rsidRPr="00815C40">
              <w:rPr>
                <w:rFonts w:ascii="Arial" w:hAnsi="Arial" w:cs="Arial"/>
                <w:sz w:val="22"/>
              </w:rPr>
              <w:t>P4.2</w:t>
            </w:r>
          </w:p>
        </w:tc>
        <w:tc>
          <w:tcPr>
            <w:tcW w:w="3960" w:type="dxa"/>
            <w:tcBorders>
              <w:top w:val="single" w:sz="4" w:space="0" w:color="000000"/>
              <w:left w:val="single" w:sz="4" w:space="0" w:color="000000"/>
              <w:bottom w:val="single" w:sz="4" w:space="0" w:color="000000"/>
              <w:right w:val="single" w:sz="4" w:space="0" w:color="000000"/>
            </w:tcBorders>
          </w:tcPr>
          <w:p w:rsidR="00815C40" w:rsidRPr="00815C40" w:rsidRDefault="00815C40" w:rsidP="00815C40">
            <w:pPr>
              <w:kinsoku w:val="0"/>
              <w:overflowPunct w:val="0"/>
              <w:autoSpaceDE w:val="0"/>
              <w:autoSpaceDN w:val="0"/>
              <w:adjustRightInd w:val="0"/>
              <w:spacing w:after="0" w:line="240" w:lineRule="auto"/>
              <w:ind w:left="103"/>
              <w:rPr>
                <w:rFonts w:ascii="Arial" w:hAnsi="Arial" w:cs="Arial"/>
                <w:sz w:val="22"/>
              </w:rPr>
            </w:pPr>
            <w:r w:rsidRPr="00815C40">
              <w:rPr>
                <w:rFonts w:ascii="Arial" w:hAnsi="Arial" w:cs="Arial"/>
                <w:sz w:val="22"/>
              </w:rPr>
              <w:t>Explore ways of reducing cost of ICT hardware, software and services:</w:t>
            </w:r>
          </w:p>
          <w:p w:rsidR="00815C40" w:rsidRPr="00815C40" w:rsidRDefault="00815C40" w:rsidP="00815C40">
            <w:pPr>
              <w:numPr>
                <w:ilvl w:val="0"/>
                <w:numId w:val="3"/>
              </w:numPr>
              <w:tabs>
                <w:tab w:val="left" w:pos="364"/>
              </w:tabs>
              <w:kinsoku w:val="0"/>
              <w:overflowPunct w:val="0"/>
              <w:autoSpaceDE w:val="0"/>
              <w:autoSpaceDN w:val="0"/>
              <w:adjustRightInd w:val="0"/>
              <w:spacing w:after="0" w:line="240" w:lineRule="auto"/>
              <w:ind w:right="102" w:hanging="260"/>
              <w:rPr>
                <w:rFonts w:ascii="Arial" w:hAnsi="Arial" w:cs="Arial"/>
                <w:sz w:val="22"/>
              </w:rPr>
            </w:pPr>
            <w:r w:rsidRPr="00815C40">
              <w:rPr>
                <w:rFonts w:ascii="Arial" w:hAnsi="Arial" w:cs="Arial"/>
                <w:sz w:val="22"/>
              </w:rPr>
              <w:t>‘walled garden’ of Bhutanese web content;</w:t>
            </w:r>
          </w:p>
          <w:p w:rsidR="00815C40" w:rsidRPr="00815C40" w:rsidRDefault="00815C40" w:rsidP="00815C40">
            <w:pPr>
              <w:numPr>
                <w:ilvl w:val="0"/>
                <w:numId w:val="3"/>
              </w:numPr>
              <w:tabs>
                <w:tab w:val="left" w:pos="364"/>
              </w:tabs>
              <w:kinsoku w:val="0"/>
              <w:overflowPunct w:val="0"/>
              <w:autoSpaceDE w:val="0"/>
              <w:autoSpaceDN w:val="0"/>
              <w:adjustRightInd w:val="0"/>
              <w:spacing w:after="0" w:line="240" w:lineRule="auto"/>
              <w:ind w:hanging="260"/>
              <w:rPr>
                <w:rFonts w:cs="Times New Roman"/>
                <w:szCs w:val="24"/>
              </w:rPr>
            </w:pPr>
            <w:r w:rsidRPr="00815C40">
              <w:rPr>
                <w:rFonts w:ascii="Arial" w:hAnsi="Arial" w:cs="Arial"/>
                <w:sz w:val="22"/>
              </w:rPr>
              <w:t>Demand aggregation</w:t>
            </w:r>
            <w:r w:rsidRPr="00815C40">
              <w:rPr>
                <w:rFonts w:ascii="Arial" w:hAnsi="Arial" w:cs="Arial"/>
                <w:spacing w:val="-1"/>
                <w:sz w:val="22"/>
              </w:rPr>
              <w:t xml:space="preserve"> </w:t>
            </w:r>
            <w:r w:rsidRPr="00815C40">
              <w:rPr>
                <w:rFonts w:ascii="Arial" w:hAnsi="Arial" w:cs="Arial"/>
                <w:sz w:val="22"/>
              </w:rPr>
              <w:t>initiatives.</w:t>
            </w:r>
          </w:p>
        </w:tc>
        <w:tc>
          <w:tcPr>
            <w:tcW w:w="1440" w:type="dxa"/>
            <w:tcBorders>
              <w:top w:val="single" w:sz="4" w:space="0" w:color="000000"/>
              <w:left w:val="single" w:sz="4" w:space="0" w:color="000000"/>
              <w:bottom w:val="single" w:sz="4" w:space="0" w:color="000000"/>
              <w:right w:val="single" w:sz="4" w:space="0" w:color="000000"/>
            </w:tcBorders>
          </w:tcPr>
          <w:p w:rsidR="00815C40" w:rsidRPr="00815C40" w:rsidRDefault="00815C40" w:rsidP="00815C40">
            <w:pPr>
              <w:kinsoku w:val="0"/>
              <w:overflowPunct w:val="0"/>
              <w:autoSpaceDE w:val="0"/>
              <w:autoSpaceDN w:val="0"/>
              <w:adjustRightInd w:val="0"/>
              <w:spacing w:before="9" w:after="0" w:line="240" w:lineRule="auto"/>
              <w:rPr>
                <w:rFonts w:cs="Times New Roman"/>
                <w:sz w:val="21"/>
                <w:szCs w:val="21"/>
              </w:rPr>
            </w:pPr>
          </w:p>
          <w:p w:rsidR="00815C40" w:rsidRPr="00815C40" w:rsidRDefault="00815C40" w:rsidP="00815C40">
            <w:pPr>
              <w:kinsoku w:val="0"/>
              <w:overflowPunct w:val="0"/>
              <w:autoSpaceDE w:val="0"/>
              <w:autoSpaceDN w:val="0"/>
              <w:adjustRightInd w:val="0"/>
              <w:spacing w:after="0" w:line="240" w:lineRule="auto"/>
              <w:ind w:left="103"/>
              <w:rPr>
                <w:rFonts w:cs="Times New Roman"/>
                <w:szCs w:val="24"/>
              </w:rPr>
            </w:pPr>
            <w:r w:rsidRPr="00815C40">
              <w:rPr>
                <w:rFonts w:ascii="Arial" w:hAnsi="Arial" w:cs="Arial"/>
                <w:sz w:val="22"/>
              </w:rPr>
              <w:t>DIT</w:t>
            </w:r>
          </w:p>
        </w:tc>
        <w:tc>
          <w:tcPr>
            <w:tcW w:w="1440" w:type="dxa"/>
            <w:tcBorders>
              <w:top w:val="single" w:sz="4" w:space="0" w:color="000000"/>
              <w:left w:val="single" w:sz="4" w:space="0" w:color="000000"/>
              <w:bottom w:val="single" w:sz="4" w:space="0" w:color="000000"/>
              <w:right w:val="single" w:sz="4" w:space="0" w:color="000000"/>
            </w:tcBorders>
          </w:tcPr>
          <w:p w:rsidR="00815C40" w:rsidRPr="00815C40" w:rsidRDefault="00815C40" w:rsidP="00815C40">
            <w:pPr>
              <w:kinsoku w:val="0"/>
              <w:overflowPunct w:val="0"/>
              <w:autoSpaceDE w:val="0"/>
              <w:autoSpaceDN w:val="0"/>
              <w:adjustRightInd w:val="0"/>
              <w:spacing w:before="9" w:after="0" w:line="240" w:lineRule="auto"/>
              <w:rPr>
                <w:rFonts w:cs="Times New Roman"/>
                <w:sz w:val="21"/>
                <w:szCs w:val="21"/>
              </w:rPr>
            </w:pPr>
          </w:p>
          <w:p w:rsidR="00815C40" w:rsidRPr="00815C40" w:rsidRDefault="00815C40" w:rsidP="00815C40">
            <w:pPr>
              <w:kinsoku w:val="0"/>
              <w:overflowPunct w:val="0"/>
              <w:autoSpaceDE w:val="0"/>
              <w:autoSpaceDN w:val="0"/>
              <w:adjustRightInd w:val="0"/>
              <w:spacing w:after="0" w:line="240" w:lineRule="auto"/>
              <w:ind w:left="103"/>
              <w:rPr>
                <w:rFonts w:cs="Times New Roman"/>
                <w:szCs w:val="24"/>
              </w:rPr>
            </w:pPr>
            <w:r w:rsidRPr="00815C40">
              <w:rPr>
                <w:rFonts w:ascii="Arial" w:hAnsi="Arial" w:cs="Arial"/>
                <w:sz w:val="22"/>
              </w:rPr>
              <w:t>2005</w:t>
            </w:r>
          </w:p>
        </w:tc>
        <w:tc>
          <w:tcPr>
            <w:tcW w:w="2430" w:type="dxa"/>
            <w:tcBorders>
              <w:top w:val="single" w:sz="4" w:space="0" w:color="000000"/>
              <w:left w:val="single" w:sz="4" w:space="0" w:color="000000"/>
              <w:bottom w:val="single" w:sz="4" w:space="0" w:color="000000"/>
              <w:right w:val="single" w:sz="4" w:space="0" w:color="000000"/>
            </w:tcBorders>
          </w:tcPr>
          <w:p w:rsidR="00815C40" w:rsidRPr="00815C40" w:rsidRDefault="00815C40" w:rsidP="00815C40">
            <w:pPr>
              <w:kinsoku w:val="0"/>
              <w:overflowPunct w:val="0"/>
              <w:autoSpaceDE w:val="0"/>
              <w:autoSpaceDN w:val="0"/>
              <w:adjustRightInd w:val="0"/>
              <w:spacing w:before="9" w:after="0" w:line="240" w:lineRule="auto"/>
              <w:rPr>
                <w:rFonts w:cs="Times New Roman"/>
                <w:sz w:val="21"/>
                <w:szCs w:val="21"/>
              </w:rPr>
            </w:pPr>
          </w:p>
          <w:p w:rsidR="00815C40" w:rsidRPr="00815C40" w:rsidRDefault="00815C40" w:rsidP="00815C40">
            <w:pPr>
              <w:kinsoku w:val="0"/>
              <w:overflowPunct w:val="0"/>
              <w:autoSpaceDE w:val="0"/>
              <w:autoSpaceDN w:val="0"/>
              <w:adjustRightInd w:val="0"/>
              <w:spacing w:after="0" w:line="240" w:lineRule="auto"/>
              <w:ind w:left="103" w:right="101"/>
              <w:jc w:val="both"/>
              <w:rPr>
                <w:rFonts w:cs="Times New Roman"/>
                <w:szCs w:val="24"/>
              </w:rPr>
            </w:pPr>
            <w:r w:rsidRPr="00815C40">
              <w:rPr>
                <w:rFonts w:ascii="Arial" w:hAnsi="Arial" w:cs="Arial"/>
                <w:sz w:val="22"/>
              </w:rPr>
              <w:t>Internet and telecom tariff revised periodically</w:t>
            </w:r>
          </w:p>
        </w:tc>
      </w:tr>
    </w:tbl>
    <w:p w:rsidR="00815C40" w:rsidRPr="00815C40" w:rsidRDefault="00815C40" w:rsidP="00815C40">
      <w:pPr>
        <w:tabs>
          <w:tab w:val="left" w:pos="990"/>
        </w:tabs>
        <w:rPr>
          <w:rFonts w:ascii="Arial" w:hAnsi="Arial" w:cs="Arial"/>
          <w:sz w:val="2"/>
          <w:szCs w:val="2"/>
        </w:rPr>
      </w:pPr>
    </w:p>
    <w:p w:rsidR="00815C40" w:rsidRDefault="00815C40" w:rsidP="00815C40">
      <w:pPr>
        <w:rPr>
          <w:rFonts w:ascii="Arial" w:hAnsi="Arial" w:cs="Arial"/>
          <w:sz w:val="2"/>
          <w:szCs w:val="2"/>
        </w:rPr>
      </w:pPr>
    </w:p>
    <w:p w:rsidR="00815C40" w:rsidRDefault="00815C40" w:rsidP="00815C40">
      <w:pPr>
        <w:pStyle w:val="BodyText"/>
        <w:kinsoku w:val="0"/>
        <w:overflowPunct w:val="0"/>
        <w:rPr>
          <w:b/>
          <w:sz w:val="22"/>
          <w:szCs w:val="22"/>
        </w:rPr>
      </w:pPr>
    </w:p>
    <w:p w:rsidR="00815C40" w:rsidRDefault="00815C40" w:rsidP="00815C40">
      <w:pPr>
        <w:pStyle w:val="BodyText"/>
        <w:kinsoku w:val="0"/>
        <w:overflowPunct w:val="0"/>
        <w:rPr>
          <w:b/>
          <w:sz w:val="22"/>
          <w:szCs w:val="22"/>
        </w:rPr>
      </w:pPr>
    </w:p>
    <w:p w:rsidR="00815C40" w:rsidRDefault="00815C40" w:rsidP="00815C40">
      <w:pPr>
        <w:pStyle w:val="BodyText"/>
        <w:kinsoku w:val="0"/>
        <w:overflowPunct w:val="0"/>
        <w:rPr>
          <w:b/>
          <w:sz w:val="22"/>
          <w:szCs w:val="22"/>
        </w:rPr>
      </w:pPr>
    </w:p>
    <w:p w:rsidR="00815C40" w:rsidRDefault="00815C40" w:rsidP="00815C40">
      <w:pPr>
        <w:pStyle w:val="BodyText"/>
        <w:kinsoku w:val="0"/>
        <w:overflowPunct w:val="0"/>
        <w:rPr>
          <w:b/>
          <w:sz w:val="22"/>
          <w:szCs w:val="22"/>
        </w:rPr>
      </w:pPr>
    </w:p>
    <w:p w:rsidR="00815C40" w:rsidRDefault="00815C40" w:rsidP="00815C40">
      <w:pPr>
        <w:pStyle w:val="BodyText"/>
        <w:kinsoku w:val="0"/>
        <w:overflowPunct w:val="0"/>
        <w:rPr>
          <w:b/>
          <w:sz w:val="22"/>
          <w:szCs w:val="22"/>
        </w:rPr>
      </w:pPr>
      <w:proofErr w:type="gramStart"/>
      <w:r w:rsidRPr="00815C40">
        <w:rPr>
          <w:b/>
          <w:sz w:val="22"/>
          <w:szCs w:val="22"/>
        </w:rPr>
        <w:t>Strategy P5.</w:t>
      </w:r>
      <w:proofErr w:type="gramEnd"/>
      <w:r w:rsidRPr="00815C40">
        <w:rPr>
          <w:b/>
          <w:sz w:val="22"/>
          <w:szCs w:val="22"/>
        </w:rPr>
        <w:t xml:space="preserve"> By 2015, make ICT services accessible and affordable throughout Bhutan</w:t>
      </w:r>
    </w:p>
    <w:p w:rsidR="00815C40" w:rsidRPr="00815C40" w:rsidRDefault="00815C40" w:rsidP="00815C40">
      <w:pPr>
        <w:pStyle w:val="BodyText"/>
        <w:kinsoku w:val="0"/>
        <w:overflowPunct w:val="0"/>
        <w:rPr>
          <w:b/>
          <w:sz w:val="22"/>
          <w:szCs w:val="22"/>
        </w:rPr>
      </w:pPr>
    </w:p>
    <w:tbl>
      <w:tblPr>
        <w:tblW w:w="0" w:type="auto"/>
        <w:tblInd w:w="107" w:type="dxa"/>
        <w:tblLayout w:type="fixed"/>
        <w:tblCellMar>
          <w:left w:w="0" w:type="dxa"/>
          <w:right w:w="0" w:type="dxa"/>
        </w:tblCellMar>
        <w:tblLook w:val="0000"/>
      </w:tblPr>
      <w:tblGrid>
        <w:gridCol w:w="900"/>
        <w:gridCol w:w="3960"/>
        <w:gridCol w:w="1440"/>
        <w:gridCol w:w="1440"/>
        <w:gridCol w:w="2430"/>
      </w:tblGrid>
      <w:tr w:rsidR="00815C40">
        <w:tblPrEx>
          <w:tblCellMar>
            <w:top w:w="0" w:type="dxa"/>
            <w:left w:w="0" w:type="dxa"/>
            <w:bottom w:w="0" w:type="dxa"/>
            <w:right w:w="0" w:type="dxa"/>
          </w:tblCellMar>
        </w:tblPrEx>
        <w:trPr>
          <w:trHeight w:hRule="exact" w:val="1021"/>
        </w:trPr>
        <w:tc>
          <w:tcPr>
            <w:tcW w:w="900" w:type="dxa"/>
            <w:tcBorders>
              <w:top w:val="single" w:sz="4" w:space="0" w:color="000000"/>
              <w:left w:val="single" w:sz="4" w:space="0" w:color="000000"/>
              <w:bottom w:val="single" w:sz="4" w:space="0" w:color="000000"/>
              <w:right w:val="single" w:sz="4" w:space="0" w:color="000000"/>
            </w:tcBorders>
          </w:tcPr>
          <w:p w:rsidR="00815C40" w:rsidRDefault="00815C40">
            <w:pPr>
              <w:pStyle w:val="TableParagraph"/>
              <w:kinsoku w:val="0"/>
              <w:overflowPunct w:val="0"/>
              <w:spacing w:line="251" w:lineRule="exact"/>
              <w:rPr>
                <w:rFonts w:ascii="Times New Roman" w:hAnsi="Times New Roman" w:cs="Times New Roman"/>
              </w:rPr>
            </w:pPr>
            <w:r>
              <w:rPr>
                <w:sz w:val="22"/>
                <w:szCs w:val="22"/>
              </w:rPr>
              <w:t>P5.1</w:t>
            </w:r>
          </w:p>
        </w:tc>
        <w:tc>
          <w:tcPr>
            <w:tcW w:w="3960" w:type="dxa"/>
            <w:tcBorders>
              <w:top w:val="single" w:sz="4" w:space="0" w:color="000000"/>
              <w:left w:val="single" w:sz="4" w:space="0" w:color="000000"/>
              <w:bottom w:val="single" w:sz="4" w:space="0" w:color="000000"/>
              <w:right w:val="single" w:sz="4" w:space="0" w:color="000000"/>
            </w:tcBorders>
          </w:tcPr>
          <w:p w:rsidR="00815C40" w:rsidRDefault="00815C40">
            <w:pPr>
              <w:pStyle w:val="TableParagraph"/>
              <w:kinsoku w:val="0"/>
              <w:overflowPunct w:val="0"/>
              <w:rPr>
                <w:rFonts w:ascii="Times New Roman" w:hAnsi="Times New Roman" w:cs="Times New Roman"/>
              </w:rPr>
            </w:pPr>
            <w:r>
              <w:rPr>
                <w:sz w:val="22"/>
                <w:szCs w:val="22"/>
              </w:rPr>
              <w:t>Enable access to public information deploying shared infrastructures</w:t>
            </w:r>
          </w:p>
        </w:tc>
        <w:tc>
          <w:tcPr>
            <w:tcW w:w="1440" w:type="dxa"/>
            <w:tcBorders>
              <w:top w:val="single" w:sz="4" w:space="0" w:color="000000"/>
              <w:left w:val="single" w:sz="4" w:space="0" w:color="000000"/>
              <w:bottom w:val="single" w:sz="4" w:space="0" w:color="000000"/>
              <w:right w:val="single" w:sz="4" w:space="0" w:color="000000"/>
            </w:tcBorders>
          </w:tcPr>
          <w:p w:rsidR="00815C40" w:rsidRDefault="00815C40">
            <w:pPr>
              <w:pStyle w:val="TableParagraph"/>
              <w:kinsoku w:val="0"/>
              <w:overflowPunct w:val="0"/>
              <w:ind w:right="2"/>
              <w:rPr>
                <w:sz w:val="22"/>
                <w:szCs w:val="22"/>
              </w:rPr>
            </w:pPr>
            <w:proofErr w:type="spellStart"/>
            <w:r>
              <w:rPr>
                <w:sz w:val="22"/>
                <w:szCs w:val="22"/>
              </w:rPr>
              <w:t>MoIC</w:t>
            </w:r>
            <w:proofErr w:type="spellEnd"/>
            <w:r>
              <w:rPr>
                <w:sz w:val="22"/>
                <w:szCs w:val="22"/>
              </w:rPr>
              <w:t xml:space="preserve">, BICMA, </w:t>
            </w:r>
            <w:proofErr w:type="spellStart"/>
            <w:r>
              <w:rPr>
                <w:sz w:val="22"/>
                <w:szCs w:val="22"/>
              </w:rPr>
              <w:t>DoIM</w:t>
            </w:r>
            <w:proofErr w:type="spellEnd"/>
            <w:r>
              <w:rPr>
                <w:sz w:val="22"/>
                <w:szCs w:val="22"/>
              </w:rPr>
              <w:t>, DIT,</w:t>
            </w:r>
          </w:p>
          <w:p w:rsidR="00815C40" w:rsidRDefault="00815C40">
            <w:pPr>
              <w:pStyle w:val="TableParagraph"/>
              <w:kinsoku w:val="0"/>
              <w:overflowPunct w:val="0"/>
              <w:ind w:right="2"/>
              <w:rPr>
                <w:rFonts w:ascii="Times New Roman" w:hAnsi="Times New Roman" w:cs="Times New Roman"/>
              </w:rPr>
            </w:pPr>
            <w:r>
              <w:rPr>
                <w:sz w:val="22"/>
                <w:szCs w:val="22"/>
              </w:rPr>
              <w:t>Bhutan Post</w:t>
            </w:r>
          </w:p>
        </w:tc>
        <w:tc>
          <w:tcPr>
            <w:tcW w:w="1440" w:type="dxa"/>
            <w:tcBorders>
              <w:top w:val="single" w:sz="4" w:space="0" w:color="000000"/>
              <w:left w:val="single" w:sz="4" w:space="0" w:color="000000"/>
              <w:bottom w:val="single" w:sz="4" w:space="0" w:color="000000"/>
              <w:right w:val="single" w:sz="4" w:space="0" w:color="000000"/>
            </w:tcBorders>
          </w:tcPr>
          <w:p w:rsidR="00815C40" w:rsidRDefault="00815C40">
            <w:pPr>
              <w:pStyle w:val="TableParagraph"/>
              <w:kinsoku w:val="0"/>
              <w:overflowPunct w:val="0"/>
              <w:spacing w:before="9"/>
              <w:ind w:left="0"/>
              <w:rPr>
                <w:b/>
                <w:bCs/>
                <w:sz w:val="21"/>
                <w:szCs w:val="21"/>
              </w:rPr>
            </w:pPr>
          </w:p>
          <w:p w:rsidR="00815C40" w:rsidRDefault="00815C40">
            <w:pPr>
              <w:pStyle w:val="TableParagraph"/>
              <w:kinsoku w:val="0"/>
              <w:overflowPunct w:val="0"/>
              <w:ind w:right="2"/>
              <w:rPr>
                <w:rFonts w:ascii="Times New Roman" w:hAnsi="Times New Roman" w:cs="Times New Roman"/>
              </w:rPr>
            </w:pPr>
            <w:r>
              <w:rPr>
                <w:sz w:val="22"/>
                <w:szCs w:val="22"/>
              </w:rPr>
              <w:t>2010</w:t>
            </w:r>
          </w:p>
        </w:tc>
        <w:tc>
          <w:tcPr>
            <w:tcW w:w="2430" w:type="dxa"/>
            <w:tcBorders>
              <w:top w:val="single" w:sz="4" w:space="0" w:color="000000"/>
              <w:left w:val="single" w:sz="4" w:space="0" w:color="000000"/>
              <w:bottom w:val="single" w:sz="4" w:space="0" w:color="000000"/>
              <w:right w:val="single" w:sz="4" w:space="0" w:color="000000"/>
            </w:tcBorders>
          </w:tcPr>
          <w:p w:rsidR="00815C40" w:rsidRDefault="00815C40">
            <w:pPr>
              <w:rPr>
                <w:rFonts w:cs="Times New Roman"/>
              </w:rPr>
            </w:pPr>
          </w:p>
        </w:tc>
      </w:tr>
      <w:tr w:rsidR="00815C40">
        <w:tblPrEx>
          <w:tblCellMar>
            <w:top w:w="0" w:type="dxa"/>
            <w:left w:w="0" w:type="dxa"/>
            <w:bottom w:w="0" w:type="dxa"/>
            <w:right w:w="0" w:type="dxa"/>
          </w:tblCellMar>
        </w:tblPrEx>
        <w:trPr>
          <w:trHeight w:hRule="exact" w:val="1276"/>
        </w:trPr>
        <w:tc>
          <w:tcPr>
            <w:tcW w:w="900" w:type="dxa"/>
            <w:tcBorders>
              <w:top w:val="single" w:sz="4" w:space="0" w:color="000000"/>
              <w:left w:val="single" w:sz="4" w:space="0" w:color="000000"/>
              <w:bottom w:val="single" w:sz="4" w:space="0" w:color="000000"/>
              <w:right w:val="single" w:sz="4" w:space="0" w:color="000000"/>
            </w:tcBorders>
          </w:tcPr>
          <w:p w:rsidR="00815C40" w:rsidRDefault="00815C40">
            <w:pPr>
              <w:pStyle w:val="TableParagraph"/>
              <w:kinsoku w:val="0"/>
              <w:overflowPunct w:val="0"/>
              <w:spacing w:line="251" w:lineRule="exact"/>
              <w:rPr>
                <w:rFonts w:ascii="Times New Roman" w:hAnsi="Times New Roman" w:cs="Times New Roman"/>
              </w:rPr>
            </w:pPr>
            <w:r>
              <w:rPr>
                <w:sz w:val="22"/>
                <w:szCs w:val="22"/>
              </w:rPr>
              <w:t>P5.2</w:t>
            </w:r>
          </w:p>
        </w:tc>
        <w:tc>
          <w:tcPr>
            <w:tcW w:w="3960" w:type="dxa"/>
            <w:tcBorders>
              <w:top w:val="single" w:sz="4" w:space="0" w:color="000000"/>
              <w:left w:val="single" w:sz="4" w:space="0" w:color="000000"/>
              <w:bottom w:val="single" w:sz="4" w:space="0" w:color="000000"/>
              <w:right w:val="single" w:sz="4" w:space="0" w:color="000000"/>
            </w:tcBorders>
          </w:tcPr>
          <w:p w:rsidR="00815C40" w:rsidRDefault="00815C40">
            <w:pPr>
              <w:pStyle w:val="TableParagraph"/>
              <w:kinsoku w:val="0"/>
              <w:overflowPunct w:val="0"/>
              <w:ind w:right="99"/>
              <w:jc w:val="both"/>
              <w:rPr>
                <w:rFonts w:ascii="Times New Roman" w:hAnsi="Times New Roman" w:cs="Times New Roman"/>
              </w:rPr>
            </w:pPr>
            <w:r>
              <w:rPr>
                <w:sz w:val="22"/>
                <w:szCs w:val="22"/>
              </w:rPr>
              <w:t>Promote universal service and individual citizen access to public information and services</w:t>
            </w:r>
          </w:p>
        </w:tc>
        <w:tc>
          <w:tcPr>
            <w:tcW w:w="1440" w:type="dxa"/>
            <w:tcBorders>
              <w:top w:val="single" w:sz="4" w:space="0" w:color="000000"/>
              <w:left w:val="single" w:sz="4" w:space="0" w:color="000000"/>
              <w:bottom w:val="single" w:sz="4" w:space="0" w:color="000000"/>
              <w:right w:val="single" w:sz="4" w:space="0" w:color="000000"/>
            </w:tcBorders>
          </w:tcPr>
          <w:p w:rsidR="00815C40" w:rsidRDefault="00815C40">
            <w:pPr>
              <w:pStyle w:val="TableParagraph"/>
              <w:kinsoku w:val="0"/>
              <w:overflowPunct w:val="0"/>
              <w:ind w:right="305"/>
              <w:rPr>
                <w:rFonts w:ascii="Times New Roman" w:hAnsi="Times New Roman" w:cs="Times New Roman"/>
              </w:rPr>
            </w:pPr>
            <w:proofErr w:type="spellStart"/>
            <w:r>
              <w:rPr>
                <w:sz w:val="22"/>
                <w:szCs w:val="22"/>
              </w:rPr>
              <w:t>MoIC</w:t>
            </w:r>
            <w:proofErr w:type="spellEnd"/>
            <w:r>
              <w:rPr>
                <w:sz w:val="22"/>
                <w:szCs w:val="22"/>
              </w:rPr>
              <w:t xml:space="preserve">, BICMA, </w:t>
            </w:r>
            <w:proofErr w:type="spellStart"/>
            <w:r>
              <w:rPr>
                <w:sz w:val="22"/>
                <w:szCs w:val="22"/>
              </w:rPr>
              <w:t>DoIM</w:t>
            </w:r>
            <w:proofErr w:type="spellEnd"/>
            <w:r>
              <w:rPr>
                <w:sz w:val="22"/>
                <w:szCs w:val="22"/>
              </w:rPr>
              <w:t>, DIT</w:t>
            </w:r>
          </w:p>
        </w:tc>
        <w:tc>
          <w:tcPr>
            <w:tcW w:w="1440" w:type="dxa"/>
            <w:tcBorders>
              <w:top w:val="single" w:sz="4" w:space="0" w:color="000000"/>
              <w:left w:val="single" w:sz="4" w:space="0" w:color="000000"/>
              <w:bottom w:val="single" w:sz="4" w:space="0" w:color="000000"/>
              <w:right w:val="single" w:sz="4" w:space="0" w:color="000000"/>
            </w:tcBorders>
          </w:tcPr>
          <w:p w:rsidR="00815C40" w:rsidRDefault="00815C40">
            <w:pPr>
              <w:pStyle w:val="TableParagraph"/>
              <w:kinsoku w:val="0"/>
              <w:overflowPunct w:val="0"/>
              <w:spacing w:before="9"/>
              <w:ind w:left="0"/>
              <w:rPr>
                <w:b/>
                <w:bCs/>
                <w:sz w:val="21"/>
                <w:szCs w:val="21"/>
              </w:rPr>
            </w:pPr>
          </w:p>
          <w:p w:rsidR="00815C40" w:rsidRDefault="00815C40">
            <w:pPr>
              <w:pStyle w:val="TableParagraph"/>
              <w:kinsoku w:val="0"/>
              <w:overflowPunct w:val="0"/>
              <w:ind w:right="2"/>
              <w:rPr>
                <w:rFonts w:ascii="Times New Roman" w:hAnsi="Times New Roman" w:cs="Times New Roman"/>
              </w:rPr>
            </w:pPr>
            <w:r>
              <w:rPr>
                <w:sz w:val="22"/>
                <w:szCs w:val="22"/>
              </w:rPr>
              <w:t>2015</w:t>
            </w:r>
          </w:p>
        </w:tc>
        <w:tc>
          <w:tcPr>
            <w:tcW w:w="2430" w:type="dxa"/>
            <w:tcBorders>
              <w:top w:val="single" w:sz="4" w:space="0" w:color="000000"/>
              <w:left w:val="single" w:sz="4" w:space="0" w:color="000000"/>
              <w:bottom w:val="single" w:sz="4" w:space="0" w:color="000000"/>
              <w:right w:val="single" w:sz="4" w:space="0" w:color="000000"/>
            </w:tcBorders>
          </w:tcPr>
          <w:p w:rsidR="00815C40" w:rsidRDefault="00815C40">
            <w:pPr>
              <w:pStyle w:val="TableParagraph"/>
              <w:kinsoku w:val="0"/>
              <w:overflowPunct w:val="0"/>
              <w:spacing w:line="254" w:lineRule="exact"/>
              <w:ind w:right="99"/>
              <w:jc w:val="both"/>
              <w:rPr>
                <w:rFonts w:ascii="Times New Roman" w:hAnsi="Times New Roman" w:cs="Times New Roman"/>
              </w:rPr>
            </w:pPr>
            <w:r>
              <w:rPr>
                <w:sz w:val="22"/>
                <w:szCs w:val="22"/>
              </w:rPr>
              <w:t>Directives issued to BICMA to utilize USF to provide last mile connectivity,  within 10</w:t>
            </w:r>
            <w:proofErr w:type="spellStart"/>
            <w:r>
              <w:rPr>
                <w:position w:val="10"/>
                <w:sz w:val="14"/>
                <w:szCs w:val="14"/>
              </w:rPr>
              <w:t>th</w:t>
            </w:r>
            <w:proofErr w:type="spellEnd"/>
            <w:r>
              <w:rPr>
                <w:position w:val="10"/>
                <w:sz w:val="14"/>
                <w:szCs w:val="14"/>
              </w:rPr>
              <w:t xml:space="preserve"> </w:t>
            </w:r>
            <w:r>
              <w:rPr>
                <w:sz w:val="22"/>
                <w:szCs w:val="22"/>
              </w:rPr>
              <w:t>plan</w:t>
            </w:r>
          </w:p>
        </w:tc>
      </w:tr>
    </w:tbl>
    <w:p w:rsidR="005A6873" w:rsidRDefault="005A6873" w:rsidP="00815C40">
      <w:pPr>
        <w:rPr>
          <w:rFonts w:ascii="Arial" w:hAnsi="Arial" w:cs="Arial"/>
          <w:sz w:val="2"/>
          <w:szCs w:val="2"/>
        </w:rPr>
      </w:pPr>
    </w:p>
    <w:p w:rsidR="00815C40" w:rsidRDefault="00815C40" w:rsidP="00815C40">
      <w:pPr>
        <w:rPr>
          <w:rFonts w:ascii="Arial" w:hAnsi="Arial" w:cs="Arial"/>
          <w:sz w:val="2"/>
          <w:szCs w:val="2"/>
        </w:rPr>
      </w:pPr>
    </w:p>
    <w:p w:rsidR="00815C40" w:rsidRPr="00815C40" w:rsidRDefault="00815C40" w:rsidP="00815C40">
      <w:pPr>
        <w:rPr>
          <w:rFonts w:ascii="Arial" w:hAnsi="Arial" w:cs="Arial"/>
          <w:sz w:val="2"/>
          <w:szCs w:val="2"/>
        </w:rPr>
        <w:sectPr w:rsidR="00815C40" w:rsidRPr="00815C40" w:rsidSect="005A6873">
          <w:pgSz w:w="12240" w:h="15840"/>
          <w:pgMar w:top="0" w:right="1040" w:bottom="0" w:left="800" w:header="720" w:footer="720" w:gutter="0"/>
          <w:cols w:space="720"/>
          <w:noEndnote/>
        </w:sectPr>
      </w:pPr>
    </w:p>
    <w:p w:rsidR="00E94EFD" w:rsidRDefault="00E94EFD" w:rsidP="00815C40">
      <w:pPr>
        <w:rPr>
          <w:rFonts w:cs="Times New Roman"/>
          <w:szCs w:val="24"/>
        </w:rPr>
      </w:pPr>
    </w:p>
    <w:p w:rsidR="00E94EFD" w:rsidRPr="00E94EFD" w:rsidRDefault="00E94EFD" w:rsidP="00E94EFD">
      <w:pPr>
        <w:pStyle w:val="Heading1"/>
        <w:jc w:val="both"/>
      </w:pPr>
    </w:p>
    <w:p w:rsidR="00E94EFD" w:rsidRPr="00E94EFD" w:rsidRDefault="00E94EFD" w:rsidP="00E94EFD">
      <w:pPr>
        <w:jc w:val="center"/>
        <w:rPr>
          <w:rFonts w:cs="Times New Roman"/>
          <w:szCs w:val="24"/>
        </w:rPr>
      </w:pPr>
    </w:p>
    <w:p w:rsidR="00E94EFD" w:rsidRPr="00E94EFD" w:rsidRDefault="00E94EFD" w:rsidP="00E94EFD">
      <w:pPr>
        <w:jc w:val="center"/>
        <w:rPr>
          <w:rFonts w:cs="Times New Roman"/>
          <w:sz w:val="96"/>
          <w:szCs w:val="96"/>
        </w:rPr>
      </w:pPr>
    </w:p>
    <w:p w:rsidR="00E94EFD" w:rsidRPr="00E94EFD" w:rsidRDefault="00E94EFD" w:rsidP="00E94EFD">
      <w:pPr>
        <w:jc w:val="center"/>
        <w:rPr>
          <w:rFonts w:cs="Times New Roman"/>
          <w:sz w:val="96"/>
          <w:szCs w:val="96"/>
        </w:rPr>
      </w:pPr>
    </w:p>
    <w:p w:rsidR="00E94EFD" w:rsidRPr="00E94EFD" w:rsidRDefault="00E94EFD" w:rsidP="00E94EFD">
      <w:pPr>
        <w:jc w:val="center"/>
        <w:rPr>
          <w:rFonts w:cs="Times New Roman"/>
          <w:sz w:val="96"/>
          <w:szCs w:val="96"/>
        </w:rPr>
      </w:pPr>
    </w:p>
    <w:p w:rsidR="00E94EFD" w:rsidRPr="00E94EFD" w:rsidRDefault="00E94EFD" w:rsidP="00E94EFD">
      <w:pPr>
        <w:jc w:val="center"/>
        <w:rPr>
          <w:rFonts w:cs="Times New Roman"/>
          <w:sz w:val="96"/>
          <w:szCs w:val="96"/>
        </w:rPr>
      </w:pPr>
    </w:p>
    <w:p w:rsidR="00E94EFD" w:rsidRPr="00E94EFD" w:rsidRDefault="00E94EFD" w:rsidP="00E94EFD">
      <w:pPr>
        <w:jc w:val="center"/>
        <w:rPr>
          <w:rFonts w:cs="Times New Roman"/>
          <w:sz w:val="96"/>
          <w:szCs w:val="96"/>
        </w:rPr>
      </w:pPr>
    </w:p>
    <w:p w:rsidR="00E94EFD" w:rsidRPr="00E94EFD" w:rsidRDefault="00E94EFD" w:rsidP="00E94EFD">
      <w:pPr>
        <w:jc w:val="center"/>
        <w:rPr>
          <w:rFonts w:cs="Times New Roman"/>
          <w:sz w:val="96"/>
          <w:szCs w:val="96"/>
        </w:rPr>
      </w:pPr>
    </w:p>
    <w:sectPr w:rsidR="00E94EFD" w:rsidRPr="00E94EFD" w:rsidSect="005A6873">
      <w:pgSz w:w="12240" w:h="15840"/>
      <w:pgMar w:top="1440" w:right="1440" w:bottom="1440" w:left="15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402"/>
    <w:multiLevelType w:val="multilevel"/>
    <w:tmpl w:val="00000885"/>
    <w:lvl w:ilvl="0">
      <w:numFmt w:val="bullet"/>
      <w:lvlText w:val="-"/>
      <w:lvlJc w:val="left"/>
      <w:pPr>
        <w:ind w:left="363" w:hanging="261"/>
      </w:pPr>
      <w:rPr>
        <w:rFonts w:ascii="Arial" w:hAnsi="Arial" w:cs="Arial"/>
        <w:b w:val="0"/>
        <w:bCs w:val="0"/>
        <w:w w:val="99"/>
        <w:sz w:val="22"/>
        <w:szCs w:val="22"/>
      </w:rPr>
    </w:lvl>
    <w:lvl w:ilvl="1">
      <w:numFmt w:val="bullet"/>
      <w:lvlText w:val="•"/>
      <w:lvlJc w:val="left"/>
      <w:pPr>
        <w:ind w:left="719" w:hanging="261"/>
      </w:pPr>
    </w:lvl>
    <w:lvl w:ilvl="2">
      <w:numFmt w:val="bullet"/>
      <w:lvlText w:val="•"/>
      <w:lvlJc w:val="left"/>
      <w:pPr>
        <w:ind w:left="1078" w:hanging="261"/>
      </w:pPr>
    </w:lvl>
    <w:lvl w:ilvl="3">
      <w:numFmt w:val="bullet"/>
      <w:lvlText w:val="•"/>
      <w:lvlJc w:val="left"/>
      <w:pPr>
        <w:ind w:left="1437" w:hanging="261"/>
      </w:pPr>
    </w:lvl>
    <w:lvl w:ilvl="4">
      <w:numFmt w:val="bullet"/>
      <w:lvlText w:val="•"/>
      <w:lvlJc w:val="left"/>
      <w:pPr>
        <w:ind w:left="1796" w:hanging="261"/>
      </w:pPr>
    </w:lvl>
    <w:lvl w:ilvl="5">
      <w:numFmt w:val="bullet"/>
      <w:lvlText w:val="•"/>
      <w:lvlJc w:val="left"/>
      <w:pPr>
        <w:ind w:left="2155" w:hanging="261"/>
      </w:pPr>
    </w:lvl>
    <w:lvl w:ilvl="6">
      <w:numFmt w:val="bullet"/>
      <w:lvlText w:val="•"/>
      <w:lvlJc w:val="left"/>
      <w:pPr>
        <w:ind w:left="2514" w:hanging="261"/>
      </w:pPr>
    </w:lvl>
    <w:lvl w:ilvl="7">
      <w:numFmt w:val="bullet"/>
      <w:lvlText w:val="•"/>
      <w:lvlJc w:val="left"/>
      <w:pPr>
        <w:ind w:left="2873" w:hanging="261"/>
      </w:pPr>
    </w:lvl>
    <w:lvl w:ilvl="8">
      <w:numFmt w:val="bullet"/>
      <w:lvlText w:val="•"/>
      <w:lvlJc w:val="left"/>
      <w:pPr>
        <w:ind w:left="3232" w:hanging="261"/>
      </w:pPr>
    </w:lvl>
  </w:abstractNum>
  <w:abstractNum w:abstractNumId="1">
    <w:nsid w:val="2E7D3315"/>
    <w:multiLevelType w:val="hybridMultilevel"/>
    <w:tmpl w:val="7AEC1D20"/>
    <w:lvl w:ilvl="0" w:tplc="0D7835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F86A87"/>
    <w:multiLevelType w:val="hybridMultilevel"/>
    <w:tmpl w:val="176495D2"/>
    <w:lvl w:ilvl="0" w:tplc="934C2E3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4EFD"/>
    <w:rsid w:val="005A6873"/>
    <w:rsid w:val="00666D24"/>
    <w:rsid w:val="007C3F25"/>
    <w:rsid w:val="00815C40"/>
    <w:rsid w:val="00930CE5"/>
    <w:rsid w:val="00E94E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EFD"/>
    <w:rPr>
      <w:rFonts w:ascii="Times New Roman" w:hAnsi="Times New Roman"/>
      <w:sz w:val="24"/>
    </w:rPr>
  </w:style>
  <w:style w:type="paragraph" w:styleId="Heading1">
    <w:name w:val="heading 1"/>
    <w:basedOn w:val="Normal"/>
    <w:next w:val="Normal"/>
    <w:link w:val="Heading1Char"/>
    <w:uiPriority w:val="9"/>
    <w:qFormat/>
    <w:rsid w:val="00E94EFD"/>
    <w:pPr>
      <w:keepNext/>
      <w:keepLines/>
      <w:numPr>
        <w:numId w:val="1"/>
      </w:numPr>
      <w:spacing w:before="480" w:after="0"/>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EFD"/>
    <w:rPr>
      <w:rFonts w:ascii="Times New Roman" w:eastAsiaTheme="majorEastAsia" w:hAnsi="Times New Roman" w:cstheme="majorBidi"/>
      <w:b/>
      <w:bCs/>
      <w:sz w:val="28"/>
      <w:szCs w:val="28"/>
    </w:rPr>
  </w:style>
  <w:style w:type="paragraph" w:styleId="ListParagraph">
    <w:name w:val="List Paragraph"/>
    <w:basedOn w:val="Normal"/>
    <w:uiPriority w:val="1"/>
    <w:qFormat/>
    <w:rsid w:val="00E94EFD"/>
    <w:pPr>
      <w:ind w:left="720"/>
      <w:contextualSpacing/>
    </w:pPr>
  </w:style>
  <w:style w:type="paragraph" w:styleId="BalloonText">
    <w:name w:val="Balloon Text"/>
    <w:basedOn w:val="Normal"/>
    <w:link w:val="BalloonTextChar"/>
    <w:uiPriority w:val="99"/>
    <w:semiHidden/>
    <w:unhideWhenUsed/>
    <w:rsid w:val="00666D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D24"/>
    <w:rPr>
      <w:rFonts w:ascii="Tahoma" w:hAnsi="Tahoma" w:cs="Tahoma"/>
      <w:sz w:val="16"/>
      <w:szCs w:val="16"/>
    </w:rPr>
  </w:style>
  <w:style w:type="character" w:styleId="FootnoteReference">
    <w:name w:val="footnote reference"/>
    <w:uiPriority w:val="99"/>
    <w:rsid w:val="005A6873"/>
    <w:rPr>
      <w:color w:val="000000"/>
    </w:rPr>
  </w:style>
  <w:style w:type="character" w:customStyle="1" w:styleId="TargetCharCharChar">
    <w:name w:val="Target Char Char Char"/>
    <w:uiPriority w:val="99"/>
    <w:rsid w:val="005A6873"/>
    <w:rPr>
      <w:b/>
      <w:bCs/>
      <w:color w:val="000000"/>
      <w:sz w:val="22"/>
      <w:szCs w:val="22"/>
    </w:rPr>
  </w:style>
  <w:style w:type="paragraph" w:styleId="BodyText">
    <w:name w:val="Body Text"/>
    <w:basedOn w:val="Normal"/>
    <w:link w:val="BodyTextChar"/>
    <w:uiPriority w:val="1"/>
    <w:qFormat/>
    <w:rsid w:val="005A6873"/>
    <w:pPr>
      <w:autoSpaceDE w:val="0"/>
      <w:autoSpaceDN w:val="0"/>
      <w:adjustRightInd w:val="0"/>
      <w:spacing w:after="0" w:line="240" w:lineRule="auto"/>
    </w:pPr>
    <w:rPr>
      <w:rFonts w:ascii="Arial" w:hAnsi="Arial" w:cs="Arial"/>
      <w:sz w:val="20"/>
      <w:szCs w:val="20"/>
    </w:rPr>
  </w:style>
  <w:style w:type="character" w:customStyle="1" w:styleId="BodyTextChar">
    <w:name w:val="Body Text Char"/>
    <w:basedOn w:val="DefaultParagraphFont"/>
    <w:link w:val="BodyText"/>
    <w:uiPriority w:val="1"/>
    <w:rsid w:val="005A6873"/>
    <w:rPr>
      <w:rFonts w:ascii="Arial" w:hAnsi="Arial" w:cs="Arial"/>
      <w:sz w:val="20"/>
      <w:szCs w:val="20"/>
    </w:rPr>
  </w:style>
  <w:style w:type="paragraph" w:customStyle="1" w:styleId="TableParagraph">
    <w:name w:val="Table Paragraph"/>
    <w:basedOn w:val="Normal"/>
    <w:uiPriority w:val="1"/>
    <w:qFormat/>
    <w:rsid w:val="005A6873"/>
    <w:pPr>
      <w:autoSpaceDE w:val="0"/>
      <w:autoSpaceDN w:val="0"/>
      <w:adjustRightInd w:val="0"/>
      <w:spacing w:after="0" w:line="240" w:lineRule="auto"/>
      <w:ind w:left="103"/>
    </w:pPr>
    <w:rPr>
      <w:rFonts w:ascii="Arial" w:hAnsi="Arial" w:cs="Arial"/>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2016-08-02T00:28:00Z</dcterms:created>
  <dcterms:modified xsi:type="dcterms:W3CDTF">2016-08-02T01:16:00Z</dcterms:modified>
</cp:coreProperties>
</file>