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3D2E"/>
          <w:sz w:val="52"/>
        </w:rPr>
        <w:t>Post-Quantum Readiness</w:t>
      </w:r>
    </w:p>
    <w:p>
      <w:pPr>
        <w:jc w:val="center"/>
      </w:pPr>
      <w:r>
        <w:rPr>
          <w:color w:val="555555"/>
          <w:sz w:val="26"/>
        </w:rPr>
        <w:t>Cryptographic Discovery &amp; Migration Assessment — Sample Report</w:t>
      </w:r>
    </w:p>
    <w:p/>
    <w:p>
      <w:pPr>
        <w:jc w:val="center"/>
      </w:pPr>
      <w:r>
        <w:rPr>
          <w:color w:val="555555"/>
        </w:rPr>
        <w:t>Prepared for an anonymised client · 4 October 2026 · Maobyte Innovations Ltd</w:t>
      </w:r>
    </w:p>
    <w:p>
      <w:r>
        <w:br w:type="page"/>
      </w:r>
    </w:p>
    <w:p>
      <w:r>
        <w:rPr>
          <w:i/>
          <w:color w:val="555555"/>
        </w:rPr>
        <w:t>This is a demonstration report on a synthetic estate, modelled on a typical mid-sized software vendor selling into UK financial services. It is not a real client engagement and must not be presented as one; it is labelled as a sample so that no reader mistakes it for a case study. Real engagement reports carry the client's own figures and their sign-off.</w:t>
      </w:r>
    </w:p>
    <w:p>
      <w:pPr>
        <w:pStyle w:val="Heading1"/>
      </w:pPr>
      <w:r>
        <w:rPr>
          <w:color w:val="0B3D2E"/>
        </w:rPr>
        <w:t>1. Executive summary</w:t>
      </w:r>
    </w:p>
    <w:p>
      <w:r>
        <w:rPr>
          <w:i w:val="0"/>
        </w:rPr>
        <w:t>We scanned the application estate and observed live traffic to establish what cryptography the organisation actually runs. The headline finding is not that anything was badly built — it is that nobody knew the answer before we looked, and the answer is now a document that can be handed to a customer, an auditor or a regulator.</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17"/>
              </w:rPr>
              <w:t>Measure</w:t>
            </w:r>
          </w:p>
        </w:tc>
        <w:tc>
          <w:tcPr>
            <w:tcW w:type="dxa" w:w="4873"/>
          </w:tcPr>
          <w:p>
            <w:r/>
            <w:r>
              <w:rPr>
                <w:b/>
                <w:sz w:val="17"/>
              </w:rPr>
              <w:t>Result</w:t>
            </w:r>
          </w:p>
        </w:tc>
      </w:tr>
      <w:tr>
        <w:tc>
          <w:tcPr>
            <w:tcW w:type="dxa" w:w="4873"/>
          </w:tcPr>
          <w:p>
            <w:r/>
            <w:r>
              <w:rPr>
                <w:sz w:val="17"/>
              </w:rPr>
              <w:t>Cryptographic usages identified</w:t>
            </w:r>
          </w:p>
        </w:tc>
        <w:tc>
          <w:tcPr>
            <w:tcW w:type="dxa" w:w="4873"/>
          </w:tcPr>
          <w:p>
            <w:r/>
            <w:r>
              <w:rPr>
                <w:sz w:val="17"/>
              </w:rPr>
              <w:t>37</w:t>
            </w:r>
          </w:p>
        </w:tc>
      </w:tr>
      <w:tr>
        <w:tc>
          <w:tcPr>
            <w:tcW w:type="dxa" w:w="4873"/>
          </w:tcPr>
          <w:p>
            <w:r/>
            <w:r>
              <w:rPr>
                <w:sz w:val="17"/>
              </w:rPr>
              <w:t>Distinct algorithms in use</w:t>
            </w:r>
          </w:p>
        </w:tc>
        <w:tc>
          <w:tcPr>
            <w:tcW w:type="dxa" w:w="4873"/>
          </w:tcPr>
          <w:p>
            <w:r/>
            <w:r>
              <w:rPr>
                <w:sz w:val="17"/>
              </w:rPr>
              <w:t>8</w:t>
            </w:r>
          </w:p>
        </w:tc>
      </w:tr>
      <w:tr>
        <w:tc>
          <w:tcPr>
            <w:tcW w:type="dxa" w:w="4873"/>
          </w:tcPr>
          <w:p>
            <w:r/>
            <w:r>
              <w:rPr>
                <w:sz w:val="17"/>
              </w:rPr>
              <w:t>Quantum-vulnerable (broken by Shor's algorithm)</w:t>
            </w:r>
          </w:p>
        </w:tc>
        <w:tc>
          <w:tcPr>
            <w:tcW w:type="dxa" w:w="4873"/>
          </w:tcPr>
          <w:p>
            <w:r/>
            <w:r>
              <w:rPr>
                <w:sz w:val="17"/>
              </w:rPr>
              <w:t>12 — all RSA, ECDSA and Ed25519 usage</w:t>
            </w:r>
          </w:p>
        </w:tc>
      </w:tr>
      <w:tr>
        <w:tc>
          <w:tcPr>
            <w:tcW w:type="dxa" w:w="4873"/>
          </w:tcPr>
          <w:p>
            <w:r/>
            <w:r>
              <w:rPr>
                <w:sz w:val="17"/>
              </w:rPr>
              <w:t>Already unsafe today, independent of quantum</w:t>
            </w:r>
          </w:p>
        </w:tc>
        <w:tc>
          <w:tcPr>
            <w:tcW w:type="dxa" w:w="4873"/>
          </w:tcPr>
          <w:p>
            <w:r/>
            <w:r>
              <w:rPr>
                <w:sz w:val="17"/>
              </w:rPr>
              <w:t>19 — MD5, SHA-1 and 3DES</w:t>
            </w:r>
          </w:p>
        </w:tc>
      </w:tr>
      <w:tr>
        <w:tc>
          <w:tcPr>
            <w:tcW w:type="dxa" w:w="4873"/>
          </w:tcPr>
          <w:p>
            <w:r/>
            <w:r>
              <w:rPr>
                <w:sz w:val="17"/>
              </w:rPr>
              <w:t>Cryptography observed on live connections</w:t>
            </w:r>
          </w:p>
        </w:tc>
        <w:tc>
          <w:tcPr>
            <w:tcW w:type="dxa" w:w="4873"/>
          </w:tcPr>
          <w:p>
            <w:r/>
            <w:r>
              <w:rPr>
                <w:sz w:val="17"/>
              </w:rPr>
              <w:t>3 cipher suites, including one legacy CBC suite</w:t>
            </w:r>
          </w:p>
        </w:tc>
      </w:tr>
      <w:tr>
        <w:tc>
          <w:tcPr>
            <w:tcW w:type="dxa" w:w="4873"/>
          </w:tcPr>
          <w:p>
            <w:r/>
            <w:r>
              <w:rPr>
                <w:sz w:val="17"/>
              </w:rPr>
              <w:t>Cryptography present only in dependencies</w:t>
            </w:r>
          </w:p>
        </w:tc>
        <w:tc>
          <w:tcPr>
            <w:tcW w:type="dxa" w:w="4873"/>
          </w:tcPr>
          <w:p>
            <w:r/>
            <w:r>
              <w:rPr>
                <w:sz w:val="17"/>
              </w:rPr>
              <w:t>confirmed at runtime, absent from source review</w:t>
            </w:r>
          </w:p>
        </w:tc>
      </w:tr>
    </w:tbl>
    <w:p>
      <w:pPr>
        <w:pStyle w:val="Heading2"/>
      </w:pPr>
      <w:r>
        <w:rPr>
          <w:color w:val="0B3D2E"/>
        </w:rPr>
        <w:t>The three things to do first</w:t>
      </w:r>
    </w:p>
    <w:p>
      <w:pPr>
        <w:pStyle w:val="ListBullet"/>
      </w:pPr>
      <w:r>
        <w:t>retire MD5 and SHA-1 password and integrity hashing — these are broken now, not in 2035, and the fix is a library change rather than a migration project.</w:t>
      </w:r>
    </w:p>
    <w:p>
      <w:pPr>
        <w:pStyle w:val="ListBullet"/>
      </w:pPr>
      <w:r>
        <w:t>re-enable forward secrecy on the one endpoint still negotiating a static-RSA CBC suite; it was visible only in the runtime observation, not in any source file.</w:t>
      </w:r>
    </w:p>
    <w:p>
      <w:pPr>
        <w:pStyle w:val="ListBullet"/>
      </w:pPr>
      <w:r>
        <w:t>begin the cryptographic inventory as a standing process rather than a project, because the register decays the moment it is written.</w:t>
      </w:r>
    </w:p>
    <w:p>
      <w:pPr>
        <w:pStyle w:val="Heading1"/>
      </w:pPr>
      <w:r>
        <w:rPr>
          <w:color w:val="0B3D2E"/>
        </w:rPr>
        <w:t>2. Scope and method</w:t>
      </w:r>
    </w:p>
    <w:p>
      <w:r>
        <w:rPr>
          <w:i w:val="0"/>
        </w:rPr>
        <w:t>Three discovery methods were used, deliberately, because each one is blind to what the others see.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17"/>
              </w:rPr>
              <w:t>Method</w:t>
            </w:r>
          </w:p>
        </w:tc>
        <w:tc>
          <w:tcPr>
            <w:tcW w:type="dxa" w:w="3249"/>
          </w:tcPr>
          <w:p>
            <w:r/>
            <w:r>
              <w:rPr>
                <w:b/>
                <w:sz w:val="17"/>
              </w:rPr>
              <w:t>What it sees</w:t>
            </w:r>
          </w:p>
        </w:tc>
        <w:tc>
          <w:tcPr>
            <w:tcW w:type="dxa" w:w="3249"/>
          </w:tcPr>
          <w:p>
            <w:r/>
            <w:r>
              <w:rPr>
                <w:b/>
                <w:sz w:val="17"/>
              </w:rPr>
              <w:t>What it misses</w:t>
            </w:r>
          </w:p>
        </w:tc>
      </w:tr>
      <w:tr>
        <w:tc>
          <w:tcPr>
            <w:tcW w:type="dxa" w:w="3249"/>
          </w:tcPr>
          <w:p>
            <w:r/>
            <w:r>
              <w:rPr>
                <w:sz w:val="17"/>
              </w:rPr>
              <w:t>Static analysis of source and configuration</w:t>
            </w:r>
          </w:p>
        </w:tc>
        <w:tc>
          <w:tcPr>
            <w:tcW w:type="dxa" w:w="3249"/>
          </w:tcPr>
          <w:p>
            <w:r/>
            <w:r>
              <w:rPr>
                <w:sz w:val="17"/>
              </w:rPr>
              <w:t>Cryptographic APIs called in code you own</w:t>
            </w:r>
          </w:p>
        </w:tc>
        <w:tc>
          <w:tcPr>
            <w:tcW w:type="dxa" w:w="3249"/>
          </w:tcPr>
          <w:p>
            <w:r/>
            <w:r>
              <w:rPr>
                <w:sz w:val="17"/>
              </w:rPr>
              <w:t>Cryptography inside dependencies and binaries</w:t>
            </w:r>
          </w:p>
        </w:tc>
      </w:tr>
      <w:tr>
        <w:tc>
          <w:tcPr>
            <w:tcW w:type="dxa" w:w="3249"/>
          </w:tcPr>
          <w:p>
            <w:r/>
            <w:r>
              <w:rPr>
                <w:sz w:val="17"/>
              </w:rPr>
              <w:t>X.509 certificate inspection</w:t>
            </w:r>
          </w:p>
        </w:tc>
        <w:tc>
          <w:tcPr>
            <w:tcW w:type="dxa" w:w="3249"/>
          </w:tcPr>
          <w:p>
            <w:r/>
            <w:r>
              <w:rPr>
                <w:sz w:val="17"/>
              </w:rPr>
              <w:t>Key algorithm and size across the estate</w:t>
            </w:r>
          </w:p>
        </w:tc>
        <w:tc>
          <w:tcPr>
            <w:tcW w:type="dxa" w:w="3249"/>
          </w:tcPr>
          <w:p>
            <w:r/>
            <w:r>
              <w:rPr>
                <w:sz w:val="17"/>
              </w:rPr>
              <w:t>Non-certificate key material</w:t>
            </w:r>
          </w:p>
        </w:tc>
      </w:tr>
      <w:tr>
        <w:tc>
          <w:tcPr>
            <w:tcW w:type="dxa" w:w="3249"/>
          </w:tcPr>
          <w:p>
            <w:r/>
            <w:r>
              <w:rPr>
                <w:sz w:val="17"/>
              </w:rPr>
              <w:t>Runtime observation of live TLS</w:t>
            </w:r>
          </w:p>
        </w:tc>
        <w:tc>
          <w:tcPr>
            <w:tcW w:type="dxa" w:w="3249"/>
          </w:tcPr>
          <w:p>
            <w:r/>
            <w:r>
              <w:rPr>
                <w:sz w:val="17"/>
              </w:rPr>
              <w:t>What is actually negotiated, including inside vendor binaries</w:t>
            </w:r>
          </w:p>
        </w:tc>
        <w:tc>
          <w:tcPr>
            <w:tcW w:type="dxa" w:w="3249"/>
          </w:tcPr>
          <w:p>
            <w:r/>
            <w:r>
              <w:rPr>
                <w:sz w:val="17"/>
              </w:rPr>
              <w:t>Cryptography that is compiled in but never exercised</w:t>
            </w:r>
          </w:p>
        </w:tc>
      </w:tr>
    </w:tbl>
    <w:p>
      <w:r>
        <w:rPr>
          <w:i w:val="0"/>
        </w:rPr>
        <w:t>The assessment ran entirely inside the client's network. No source code, no configuration and no scan output left the perimeter; CryptoAgility performs no outbound calls and carries no telemetry.</w:t>
      </w:r>
    </w:p>
    <w:p>
      <w:pPr>
        <w:pStyle w:val="Heading1"/>
      </w:pPr>
      <w:r>
        <w:rPr>
          <w:color w:val="0B3D2E"/>
        </w:rPr>
        <w:t>3. Findings by risk class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sz w:val="17"/>
              </w:rPr>
              <w:t>Algorithm</w:t>
            </w:r>
          </w:p>
        </w:tc>
        <w:tc>
          <w:tcPr>
            <w:tcW w:type="dxa" w:w="1949"/>
          </w:tcPr>
          <w:p>
            <w:r/>
            <w:r>
              <w:rPr>
                <w:b/>
                <w:sz w:val="17"/>
              </w:rPr>
              <w:t>Occurrences</w:t>
            </w:r>
          </w:p>
        </w:tc>
        <w:tc>
          <w:tcPr>
            <w:tcW w:type="dxa" w:w="1949"/>
          </w:tcPr>
          <w:p>
            <w:r/>
            <w:r>
              <w:rPr>
                <w:b/>
                <w:sz w:val="17"/>
              </w:rPr>
              <w:t>Quantum exposure</w:t>
            </w:r>
          </w:p>
        </w:tc>
        <w:tc>
          <w:tcPr>
            <w:tcW w:type="dxa" w:w="1949"/>
          </w:tcPr>
          <w:p>
            <w:r/>
            <w:r>
              <w:rPr>
                <w:b/>
                <w:sz w:val="17"/>
              </w:rPr>
              <w:t>Unsafe today</w:t>
            </w:r>
          </w:p>
        </w:tc>
        <w:tc>
          <w:tcPr>
            <w:tcW w:type="dxa" w:w="1949"/>
          </w:tcPr>
          <w:p>
            <w:r/>
            <w:r>
              <w:rPr>
                <w:b/>
                <w:sz w:val="17"/>
              </w:rPr>
              <w:t>Required action</w:t>
            </w:r>
          </w:p>
        </w:tc>
      </w:tr>
      <w:tr>
        <w:tc>
          <w:tcPr>
            <w:tcW w:type="dxa" w:w="1949"/>
          </w:tcPr>
          <w:p>
            <w:r/>
            <w:r>
              <w:rPr>
                <w:sz w:val="17"/>
              </w:rPr>
              <w:t>RSA</w:t>
            </w:r>
          </w:p>
        </w:tc>
        <w:tc>
          <w:tcPr>
            <w:tcW w:type="dxa" w:w="1949"/>
          </w:tcPr>
          <w:p>
            <w:r/>
            <w:r>
              <w:rPr>
                <w:sz w:val="17"/>
              </w:rPr>
              <w:t>6</w:t>
            </w:r>
          </w:p>
        </w:tc>
        <w:tc>
          <w:tcPr>
            <w:tcW w:type="dxa" w:w="1949"/>
          </w:tcPr>
          <w:p>
            <w:r/>
            <w:r>
              <w:rPr>
                <w:sz w:val="17"/>
              </w:rPr>
              <w:t>Broken by Shor regardless of key size</w:t>
            </w:r>
          </w:p>
        </w:tc>
        <w:tc>
          <w:tcPr>
            <w:tcW w:type="dxa" w:w="1949"/>
          </w:tcPr>
          <w:p>
            <w:r/>
            <w:r>
              <w:rPr>
                <w:sz w:val="17"/>
              </w:rPr>
              <w:t>No</w:t>
            </w:r>
          </w:p>
        </w:tc>
        <w:tc>
          <w:tcPr>
            <w:tcW w:type="dxa" w:w="1949"/>
          </w:tcPr>
          <w:p>
            <w:r/>
            <w:r>
              <w:rPr>
                <w:sz w:val="17"/>
              </w:rPr>
              <w:t>Migrate to ML-KEM (FIPS 203) / ML-DSA (FIPS 204)</w:t>
            </w:r>
          </w:p>
        </w:tc>
      </w:tr>
      <w:tr>
        <w:tc>
          <w:tcPr>
            <w:tcW w:type="dxa" w:w="1949"/>
          </w:tcPr>
          <w:p>
            <w:r/>
            <w:r>
              <w:rPr>
                <w:sz w:val="17"/>
              </w:rPr>
              <w:t>ECDSA</w:t>
            </w:r>
          </w:p>
        </w:tc>
        <w:tc>
          <w:tcPr>
            <w:tcW w:type="dxa" w:w="1949"/>
          </w:tcPr>
          <w:p>
            <w:r/>
            <w:r>
              <w:rPr>
                <w:sz w:val="17"/>
              </w:rPr>
              <w:t>4</w:t>
            </w:r>
          </w:p>
        </w:tc>
        <w:tc>
          <w:tcPr>
            <w:tcW w:type="dxa" w:w="1949"/>
          </w:tcPr>
          <w:p>
            <w:r/>
            <w:r>
              <w:rPr>
                <w:sz w:val="17"/>
              </w:rPr>
              <w:t>Broken by Shor</w:t>
            </w:r>
          </w:p>
        </w:tc>
        <w:tc>
          <w:tcPr>
            <w:tcW w:type="dxa" w:w="1949"/>
          </w:tcPr>
          <w:p>
            <w:r/>
            <w:r>
              <w:rPr>
                <w:sz w:val="17"/>
              </w:rPr>
              <w:t>No</w:t>
            </w:r>
          </w:p>
        </w:tc>
        <w:tc>
          <w:tcPr>
            <w:tcW w:type="dxa" w:w="1949"/>
          </w:tcPr>
          <w:p>
            <w:r/>
            <w:r>
              <w:rPr>
                <w:sz w:val="17"/>
              </w:rPr>
              <w:t>Migrate to ML-DSA (FIPS 204)</w:t>
            </w:r>
          </w:p>
        </w:tc>
      </w:tr>
      <w:tr>
        <w:tc>
          <w:tcPr>
            <w:tcW w:type="dxa" w:w="1949"/>
          </w:tcPr>
          <w:p>
            <w:r/>
            <w:r>
              <w:rPr>
                <w:sz w:val="17"/>
              </w:rPr>
              <w:t>Ed25519</w:t>
            </w:r>
          </w:p>
        </w:tc>
        <w:tc>
          <w:tcPr>
            <w:tcW w:type="dxa" w:w="1949"/>
          </w:tcPr>
          <w:p>
            <w:r/>
            <w:r>
              <w:rPr>
                <w:sz w:val="17"/>
              </w:rPr>
              <w:t>2</w:t>
            </w:r>
          </w:p>
        </w:tc>
        <w:tc>
          <w:tcPr>
            <w:tcW w:type="dxa" w:w="1949"/>
          </w:tcPr>
          <w:p>
            <w:r/>
            <w:r>
              <w:rPr>
                <w:sz w:val="17"/>
              </w:rPr>
              <w:t>Broken by Shor</w:t>
            </w:r>
          </w:p>
        </w:tc>
        <w:tc>
          <w:tcPr>
            <w:tcW w:type="dxa" w:w="1949"/>
          </w:tcPr>
          <w:p>
            <w:r/>
            <w:r>
              <w:rPr>
                <w:sz w:val="17"/>
              </w:rPr>
              <w:t>No</w:t>
            </w:r>
          </w:p>
        </w:tc>
        <w:tc>
          <w:tcPr>
            <w:tcW w:type="dxa" w:w="1949"/>
          </w:tcPr>
          <w:p>
            <w:r/>
            <w:r>
              <w:rPr>
                <w:sz w:val="17"/>
              </w:rPr>
              <w:t>Migrate to ML-DSA or SLH-DSA</w:t>
            </w:r>
          </w:p>
        </w:tc>
      </w:tr>
      <w:tr>
        <w:tc>
          <w:tcPr>
            <w:tcW w:type="dxa" w:w="1949"/>
          </w:tcPr>
          <w:p>
            <w:r/>
            <w:r>
              <w:rPr>
                <w:sz w:val="17"/>
              </w:rPr>
              <w:t>MD5</w:t>
            </w:r>
          </w:p>
        </w:tc>
        <w:tc>
          <w:tcPr>
            <w:tcW w:type="dxa" w:w="1949"/>
          </w:tcPr>
          <w:p>
            <w:r/>
            <w:r>
              <w:rPr>
                <w:sz w:val="17"/>
              </w:rPr>
              <w:t>3</w:t>
            </w:r>
          </w:p>
        </w:tc>
        <w:tc>
          <w:tcPr>
            <w:tcW w:type="dxa" w:w="1949"/>
          </w:tcPr>
          <w:p>
            <w:r/>
            <w:r>
              <w:rPr>
                <w:sz w:val="17"/>
              </w:rPr>
              <w:t>Weakened</w:t>
            </w:r>
          </w:p>
        </w:tc>
        <w:tc>
          <w:tcPr>
            <w:tcW w:type="dxa" w:w="1949"/>
          </w:tcPr>
          <w:p>
            <w:r/>
            <w:r>
              <w:rPr>
                <w:sz w:val="17"/>
              </w:rPr>
              <w:t>Yes — broken</w:t>
            </w:r>
          </w:p>
        </w:tc>
        <w:tc>
          <w:tcPr>
            <w:tcW w:type="dxa" w:w="1949"/>
          </w:tcPr>
          <w:p>
            <w:r/>
            <w:r>
              <w:rPr>
                <w:sz w:val="17"/>
              </w:rPr>
              <w:t>Retire immediately; use SHA-256</w:t>
            </w:r>
          </w:p>
        </w:tc>
      </w:tr>
      <w:tr>
        <w:tc>
          <w:tcPr>
            <w:tcW w:type="dxa" w:w="1949"/>
          </w:tcPr>
          <w:p>
            <w:r/>
            <w:r>
              <w:rPr>
                <w:sz w:val="17"/>
              </w:rPr>
              <w:t>SHA-1</w:t>
            </w:r>
          </w:p>
        </w:tc>
        <w:tc>
          <w:tcPr>
            <w:tcW w:type="dxa" w:w="1949"/>
          </w:tcPr>
          <w:p>
            <w:r/>
            <w:r>
              <w:rPr>
                <w:sz w:val="17"/>
              </w:rPr>
              <w:t>4</w:t>
            </w:r>
          </w:p>
        </w:tc>
        <w:tc>
          <w:tcPr>
            <w:tcW w:type="dxa" w:w="1949"/>
          </w:tcPr>
          <w:p>
            <w:r/>
            <w:r>
              <w:rPr>
                <w:sz w:val="17"/>
              </w:rPr>
              <w:t>Weakened</w:t>
            </w:r>
          </w:p>
        </w:tc>
        <w:tc>
          <w:tcPr>
            <w:tcW w:type="dxa" w:w="1949"/>
          </w:tcPr>
          <w:p>
            <w:r/>
            <w:r>
              <w:rPr>
                <w:sz w:val="17"/>
              </w:rPr>
              <w:t>Yes — broken</w:t>
            </w:r>
          </w:p>
        </w:tc>
        <w:tc>
          <w:tcPr>
            <w:tcW w:type="dxa" w:w="1949"/>
          </w:tcPr>
          <w:p>
            <w:r/>
            <w:r>
              <w:rPr>
                <w:sz w:val="17"/>
              </w:rPr>
              <w:t>Retire; use SHA-256 or SHA-384</w:t>
            </w:r>
          </w:p>
        </w:tc>
      </w:tr>
      <w:tr>
        <w:tc>
          <w:tcPr>
            <w:tcW w:type="dxa" w:w="1949"/>
          </w:tcPr>
          <w:p>
            <w:r/>
            <w:r>
              <w:rPr>
                <w:sz w:val="17"/>
              </w:rPr>
              <w:t>3DES</w:t>
            </w:r>
          </w:p>
        </w:tc>
        <w:tc>
          <w:tcPr>
            <w:tcW w:type="dxa" w:w="1949"/>
          </w:tcPr>
          <w:p>
            <w:r/>
            <w:r>
              <w:rPr>
                <w:sz w:val="17"/>
              </w:rPr>
              <w:t>6</w:t>
            </w:r>
          </w:p>
        </w:tc>
        <w:tc>
          <w:tcPr>
            <w:tcW w:type="dxa" w:w="1949"/>
          </w:tcPr>
          <w:p>
            <w:r/>
            <w:r>
              <w:rPr>
                <w:sz w:val="17"/>
              </w:rPr>
              <w:t>Weakened</w:t>
            </w:r>
          </w:p>
        </w:tc>
        <w:tc>
          <w:tcPr>
            <w:tcW w:type="dxa" w:w="1949"/>
          </w:tcPr>
          <w:p>
            <w:r/>
            <w:r>
              <w:rPr>
                <w:sz w:val="17"/>
              </w:rPr>
              <w:t>Yes — broken</w:t>
            </w:r>
          </w:p>
        </w:tc>
        <w:tc>
          <w:tcPr>
            <w:tcW w:type="dxa" w:w="1949"/>
          </w:tcPr>
          <w:p>
            <w:r/>
            <w:r>
              <w:rPr>
                <w:sz w:val="17"/>
              </w:rPr>
              <w:t>Retire; use AES-256-GCM</w:t>
            </w:r>
          </w:p>
        </w:tc>
      </w:tr>
      <w:tr>
        <w:tc>
          <w:tcPr>
            <w:tcW w:type="dxa" w:w="1949"/>
          </w:tcPr>
          <w:p>
            <w:r/>
            <w:r>
              <w:rPr>
                <w:sz w:val="17"/>
              </w:rPr>
              <w:t>AES-128 / AES-256</w:t>
            </w:r>
          </w:p>
        </w:tc>
        <w:tc>
          <w:tcPr>
            <w:tcW w:type="dxa" w:w="1949"/>
          </w:tcPr>
          <w:p>
            <w:r/>
            <w:r>
              <w:rPr>
                <w:sz w:val="17"/>
              </w:rPr>
              <w:t>3</w:t>
            </w:r>
          </w:p>
        </w:tc>
        <w:tc>
          <w:tcPr>
            <w:tcW w:type="dxa" w:w="1949"/>
          </w:tcPr>
          <w:p>
            <w:r/>
            <w:r>
              <w:rPr>
                <w:sz w:val="17"/>
              </w:rPr>
              <w:t>Adequate margin</w:t>
            </w:r>
          </w:p>
        </w:tc>
        <w:tc>
          <w:tcPr>
            <w:tcW w:type="dxa" w:w="1949"/>
          </w:tcPr>
          <w:p>
            <w:r/>
            <w:r>
              <w:rPr>
                <w:sz w:val="17"/>
              </w:rPr>
              <w:t>No</w:t>
            </w:r>
          </w:p>
        </w:tc>
        <w:tc>
          <w:tcPr>
            <w:tcW w:type="dxa" w:w="1949"/>
          </w:tcPr>
          <w:p>
            <w:r/>
            <w:r>
              <w:rPr>
                <w:sz w:val="17"/>
              </w:rPr>
              <w:t>Confirm 256-bit for long-lived data</w:t>
            </w:r>
          </w:p>
        </w:tc>
      </w:tr>
      <w:tr>
        <w:tc>
          <w:tcPr>
            <w:tcW w:type="dxa" w:w="1949"/>
          </w:tcPr>
          <w:p>
            <w:r/>
            <w:r>
              <w:rPr>
                <w:sz w:val="17"/>
              </w:rPr>
              <w:t>SHA-256</w:t>
            </w:r>
          </w:p>
        </w:tc>
        <w:tc>
          <w:tcPr>
            <w:tcW w:type="dxa" w:w="1949"/>
          </w:tcPr>
          <w:p>
            <w:r/>
            <w:r>
              <w:rPr>
                <w:sz w:val="17"/>
              </w:rPr>
              <w:t>1</w:t>
            </w:r>
          </w:p>
        </w:tc>
        <w:tc>
          <w:tcPr>
            <w:tcW w:type="dxa" w:w="1949"/>
          </w:tcPr>
          <w:p>
            <w:r/>
            <w:r>
              <w:rPr>
                <w:sz w:val="17"/>
              </w:rPr>
              <w:t>Adequate margin</w:t>
            </w:r>
          </w:p>
        </w:tc>
        <w:tc>
          <w:tcPr>
            <w:tcW w:type="dxa" w:w="1949"/>
          </w:tcPr>
          <w:p>
            <w:r/>
            <w:r>
              <w:rPr>
                <w:sz w:val="17"/>
              </w:rPr>
              <w:t>No</w:t>
            </w:r>
          </w:p>
        </w:tc>
        <w:tc>
          <w:tcPr>
            <w:tcW w:type="dxa" w:w="1949"/>
          </w:tcPr>
          <w:p>
            <w:r/>
            <w:r>
              <w:rPr>
                <w:sz w:val="17"/>
              </w:rPr>
              <w:t>Retain</w:t>
            </w:r>
          </w:p>
        </w:tc>
      </w:tr>
    </w:tbl>
    <w:p>
      <w:r>
        <w:rPr>
          <w:i w:val="0"/>
          <w:color w:val="555555"/>
        </w:rPr>
        <w:t>Note what the table does not say. AES-256 and SHA-256 are not safe because they are modern; they are safe because Grover's algorithm only halves their effective strength, and 256-bit symmetric keys retain adequate margin. RSA-4096 is not safer than RSA-2048 in any way that matters here — both fall to Shor. Key size is not the variable that decides this.</w:t>
      </w:r>
    </w:p>
    <w:p>
      <w:pPr>
        <w:pStyle w:val="Heading1"/>
      </w:pPr>
      <w:r>
        <w:rPr>
          <w:color w:val="0B3D2E"/>
        </w:rPr>
        <w:t>4. Observed in use</w:t>
      </w:r>
    </w:p>
    <w:p>
      <w:r>
        <w:rPr>
          <w:i w:val="0"/>
        </w:rPr>
        <w:t>The runtime layer observed what the estate actually negotiated on live connections, rather than what the source suggested it would.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sz w:val="17"/>
              </w:rPr>
              <w:t>Negotiated cipher</w:t>
            </w:r>
          </w:p>
        </w:tc>
        <w:tc>
          <w:tcPr>
            <w:tcW w:type="dxa" w:w="2436"/>
          </w:tcPr>
          <w:p>
            <w:r/>
            <w:r>
              <w:rPr>
                <w:b/>
                <w:sz w:val="17"/>
              </w:rPr>
              <w:t>Protocol</w:t>
            </w:r>
          </w:p>
        </w:tc>
        <w:tc>
          <w:tcPr>
            <w:tcW w:type="dxa" w:w="2436"/>
          </w:tcPr>
          <w:p>
            <w:r/>
            <w:r>
              <w:rPr>
                <w:b/>
                <w:sz w:val="17"/>
              </w:rPr>
              <w:t>Verdict</w:t>
            </w:r>
          </w:p>
        </w:tc>
        <w:tc>
          <w:tcPr>
            <w:tcW w:type="dxa" w:w="2436"/>
          </w:tcPr>
          <w:p>
            <w:r/>
            <w:r>
              <w:rPr>
                <w:b/>
                <w:sz w:val="17"/>
              </w:rPr>
              <w:t>Note</w:t>
            </w:r>
          </w:p>
        </w:tc>
      </w:tr>
      <w:tr>
        <w:tc>
          <w:tcPr>
            <w:tcW w:type="dxa" w:w="2436"/>
          </w:tcPr>
          <w:p>
            <w:r/>
            <w:r>
              <w:rPr>
                <w:sz w:val="17"/>
              </w:rPr>
              <w:t>AES128-SHA</w:t>
            </w:r>
          </w:p>
        </w:tc>
        <w:tc>
          <w:tcPr>
            <w:tcW w:type="dxa" w:w="2436"/>
          </w:tcPr>
          <w:p>
            <w:r/>
            <w:r>
              <w:rPr>
                <w:sz w:val="17"/>
              </w:rPr>
              <w:t>TLS 1.2</w:t>
            </w:r>
          </w:p>
        </w:tc>
        <w:tc>
          <w:tcPr>
            <w:tcW w:type="dxa" w:w="2436"/>
          </w:tcPr>
          <w:p>
            <w:r/>
            <w:r>
              <w:rPr>
                <w:sz w:val="17"/>
              </w:rPr>
              <w:t>Migrate</w:t>
            </w:r>
          </w:p>
        </w:tc>
        <w:tc>
          <w:tcPr>
            <w:tcW w:type="dxa" w:w="2436"/>
          </w:tcPr>
          <w:p>
            <w:r/>
            <w:r>
              <w:rPr>
                <w:sz w:val="17"/>
              </w:rPr>
              <w:t>Static RSA — no forward secrecy — with SHA-1</w:t>
            </w:r>
          </w:p>
        </w:tc>
      </w:tr>
      <w:tr>
        <w:tc>
          <w:tcPr>
            <w:tcW w:type="dxa" w:w="2436"/>
          </w:tcPr>
          <w:p>
            <w:r/>
            <w:r>
              <w:rPr>
                <w:sz w:val="17"/>
              </w:rPr>
              <w:t>ECDHE-RSA-AES256-GCM-SHA384</w:t>
            </w:r>
          </w:p>
        </w:tc>
        <w:tc>
          <w:tcPr>
            <w:tcW w:type="dxa" w:w="2436"/>
          </w:tcPr>
          <w:p>
            <w:r/>
            <w:r>
              <w:rPr>
                <w:sz w:val="17"/>
              </w:rPr>
              <w:t>TLS 1.2</w:t>
            </w:r>
          </w:p>
        </w:tc>
        <w:tc>
          <w:tcPr>
            <w:tcW w:type="dxa" w:w="2436"/>
          </w:tcPr>
          <w:p>
            <w:r/>
            <w:r>
              <w:rPr>
                <w:sz w:val="17"/>
              </w:rPr>
              <w:t>Migrate</w:t>
            </w:r>
          </w:p>
        </w:tc>
        <w:tc>
          <w:tcPr>
            <w:tcW w:type="dxa" w:w="2436"/>
          </w:tcPr>
          <w:p>
            <w:r/>
            <w:r>
              <w:rPr>
                <w:sz w:val="17"/>
              </w:rPr>
              <w:t>Sound suite, but RSA authentication is quantum-vulnerable</w:t>
            </w:r>
          </w:p>
        </w:tc>
      </w:tr>
      <w:tr>
        <w:tc>
          <w:tcPr>
            <w:tcW w:type="dxa" w:w="2436"/>
          </w:tcPr>
          <w:p>
            <w:r/>
            <w:r>
              <w:rPr>
                <w:sz w:val="17"/>
              </w:rPr>
              <w:t>TLS_AES_256_GCM_SHA384</w:t>
            </w:r>
          </w:p>
        </w:tc>
        <w:tc>
          <w:tcPr>
            <w:tcW w:type="dxa" w:w="2436"/>
          </w:tcPr>
          <w:p>
            <w:r/>
            <w:r>
              <w:rPr>
                <w:sz w:val="17"/>
              </w:rPr>
              <w:t>TLS 1.3</w:t>
            </w:r>
          </w:p>
        </w:tc>
        <w:tc>
          <w:tcPr>
            <w:tcW w:type="dxa" w:w="2436"/>
          </w:tcPr>
          <w:p>
            <w:r/>
            <w:r>
              <w:rPr>
                <w:sz w:val="17"/>
              </w:rPr>
              <w:t>Retain</w:t>
            </w:r>
          </w:p>
        </w:tc>
        <w:tc>
          <w:tcPr>
            <w:tcW w:type="dxa" w:w="2436"/>
          </w:tcPr>
          <w:p>
            <w:r/>
            <w:r>
              <w:rPr>
                <w:sz w:val="17"/>
              </w:rPr>
              <w:t>Modern; key exchange negotiated separately</w:t>
            </w:r>
          </w:p>
        </w:tc>
      </w:tr>
    </w:tbl>
    <w:p>
      <w:r>
        <w:rPr>
          <w:i w:val="0"/>
        </w:rPr>
        <w:t>The first row is the one worth dwelling on. That endpoint does not appear anywhere in the application source — it is configured inside a third-party component. A source-only review would have reported this estate as free of legacy TLS, which would have been wrong. This is the specific failure mode that reading only code produces, and it is why the assessment observes live traffic.</w:t>
      </w:r>
    </w:p>
    <w:p>
      <w:pPr>
        <w:pStyle w:val="Heading1"/>
      </w:pPr>
      <w:r>
        <w:rPr>
          <w:color w:val="0B3D2E"/>
        </w:rPr>
        <w:t>5. The dependency blind spot</w:t>
      </w:r>
    </w:p>
    <w:p>
      <w:r>
        <w:rPr>
          <w:i w:val="0"/>
        </w:rPr>
        <w:t>Separately from the legacy endpoint, the runtime observation confirmed cryptographic usage inside compiled components whose source the client does not hold — a dependency obliged to answer a supply-chain questionnaire cannot answer it from its own repository alone.</w:t>
      </w:r>
    </w:p>
    <w:p>
      <w:r>
        <w:rPr>
          <w:i w:val="0"/>
        </w:rPr>
        <w:t>This is not a criticism of how the estate was built. It is the normal condition of a modern software estate, and it is the reason a register assembled by hand is wrong from the day it is written.</w:t>
      </w:r>
    </w:p>
    <w:p>
      <w:pPr>
        <w:pStyle w:val="Heading1"/>
      </w:pPr>
      <w:r>
        <w:rPr>
          <w:color w:val="0B3D2E"/>
        </w:rPr>
        <w:t>6. Recommended sequence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17"/>
              </w:rPr>
              <w:t>Window</w:t>
            </w:r>
          </w:p>
        </w:tc>
        <w:tc>
          <w:tcPr>
            <w:tcW w:type="dxa" w:w="3249"/>
          </w:tcPr>
          <w:p>
            <w:r/>
            <w:r>
              <w:rPr>
                <w:b/>
                <w:sz w:val="17"/>
              </w:rPr>
              <w:t>Action</w:t>
            </w:r>
          </w:p>
        </w:tc>
        <w:tc>
          <w:tcPr>
            <w:tcW w:type="dxa" w:w="3249"/>
          </w:tcPr>
          <w:p>
            <w:r/>
            <w:r>
              <w:rPr>
                <w:b/>
                <w:sz w:val="17"/>
              </w:rPr>
              <w:t>Why this order</w:t>
            </w:r>
          </w:p>
        </w:tc>
      </w:tr>
      <w:tr>
        <w:tc>
          <w:tcPr>
            <w:tcW w:type="dxa" w:w="3249"/>
          </w:tcPr>
          <w:p>
            <w:r/>
            <w:r>
              <w:rPr>
                <w:sz w:val="17"/>
              </w:rPr>
              <w:t>0–30 days</w:t>
            </w:r>
          </w:p>
        </w:tc>
        <w:tc>
          <w:tcPr>
            <w:tcW w:type="dxa" w:w="3249"/>
          </w:tcPr>
          <w:p>
            <w:r/>
            <w:r>
              <w:rPr>
                <w:sz w:val="17"/>
              </w:rPr>
              <w:t>Retire MD5, SHA-1 and 3DES; re-enable forward secrecy on the legacy endpoint</w:t>
            </w:r>
          </w:p>
        </w:tc>
        <w:tc>
          <w:tcPr>
            <w:tcW w:type="dxa" w:w="3249"/>
          </w:tcPr>
          <w:p>
            <w:r/>
            <w:r>
              <w:rPr>
                <w:sz w:val="17"/>
              </w:rPr>
              <w:t>These are exploitable today. Fixing them costs nothing and removes the finding an auditor will flag first.</w:t>
            </w:r>
          </w:p>
        </w:tc>
      </w:tr>
      <w:tr>
        <w:tc>
          <w:tcPr>
            <w:tcW w:type="dxa" w:w="3249"/>
          </w:tcPr>
          <w:p>
            <w:r/>
            <w:r>
              <w:rPr>
                <w:sz w:val="17"/>
              </w:rPr>
              <w:t>30–90 days</w:t>
            </w:r>
          </w:p>
        </w:tc>
        <w:tc>
          <w:tcPr>
            <w:tcW w:type="dxa" w:w="3249"/>
          </w:tcPr>
          <w:p>
            <w:r/>
            <w:r>
              <w:rPr>
                <w:sz w:val="17"/>
              </w:rPr>
              <w:t>Adopt the register as a standing process; integrate the scan into CI so new cryptographic usage is gated at review</w:t>
            </w:r>
          </w:p>
        </w:tc>
        <w:tc>
          <w:tcPr>
            <w:tcW w:type="dxa" w:w="3249"/>
          </w:tcPr>
          <w:p>
            <w:r/>
            <w:r>
              <w:rPr>
                <w:sz w:val="17"/>
              </w:rPr>
              <w:t>The register is only useful if it stays true. Gate at the point of change, not once a year.</w:t>
            </w:r>
          </w:p>
        </w:tc>
      </w:tr>
      <w:tr>
        <w:tc>
          <w:tcPr>
            <w:tcW w:type="dxa" w:w="3249"/>
          </w:tcPr>
          <w:p>
            <w:r/>
            <w:r>
              <w:rPr>
                <w:sz w:val="17"/>
              </w:rPr>
              <w:t>90–180 days</w:t>
            </w:r>
          </w:p>
        </w:tc>
        <w:tc>
          <w:tcPr>
            <w:tcW w:type="dxa" w:w="3249"/>
          </w:tcPr>
          <w:p>
            <w:r/>
            <w:r>
              <w:rPr>
                <w:sz w:val="17"/>
              </w:rPr>
              <w:t>Design the hybrid migration: X25519MLKEM768 for key establishment, ML-DSA for signatures; prototype on one service</w:t>
            </w:r>
          </w:p>
        </w:tc>
        <w:tc>
          <w:tcPr>
            <w:tcW w:type="dxa" w:w="3249"/>
          </w:tcPr>
          <w:p>
            <w:r/>
            <w:r>
              <w:rPr>
                <w:sz w:val="17"/>
              </w:rPr>
              <w:t>Hybrids are the safe path — they preserve classical security while post-quantum standards mature in practice.</w:t>
            </w:r>
          </w:p>
        </w:tc>
      </w:tr>
      <w:tr>
        <w:tc>
          <w:tcPr>
            <w:tcW w:type="dxa" w:w="3249"/>
          </w:tcPr>
          <w:p>
            <w:r/>
            <w:r>
              <w:rPr>
                <w:sz w:val="17"/>
              </w:rPr>
              <w:t>180 days+</w:t>
            </w:r>
          </w:p>
        </w:tc>
        <w:tc>
          <w:tcPr>
            <w:tcW w:type="dxa" w:w="3249"/>
          </w:tcPr>
          <w:p>
            <w:r/>
            <w:r>
              <w:rPr>
                <w:sz w:val="17"/>
              </w:rPr>
              <w:t>Migrate by exposure: long-lived confidential data first, then authentication, then the remainder</w:t>
            </w:r>
          </w:p>
        </w:tc>
        <w:tc>
          <w:tcPr>
            <w:tcW w:type="dxa" w:w="3249"/>
          </w:tcPr>
          <w:p>
            <w:r/>
            <w:r>
              <w:rPr>
                <w:sz w:val="17"/>
              </w:rPr>
              <w:t>Long-lived secrets are already exposed to harvest-now-decrypt-later. Session keys are not.</w:t>
            </w:r>
          </w:p>
        </w:tc>
      </w:tr>
    </w:tbl>
    <w:p>
      <w:pPr>
        <w:pStyle w:val="Heading1"/>
      </w:pPr>
      <w:r>
        <w:rPr>
          <w:color w:val="0B3D2E"/>
        </w:rPr>
        <w:t>7. What is delivered</w:t>
      </w:r>
    </w:p>
    <w:p>
      <w:pPr>
        <w:pStyle w:val="ListBullet"/>
      </w:pPr>
      <w:r>
        <w:t>a CycloneDX 1.6 Cryptography Bill of Materials, a machine-readable standard format your own tooling can consume.</w:t>
      </w:r>
    </w:p>
    <w:p>
      <w:pPr>
        <w:pStyle w:val="ListBullet"/>
      </w:pPr>
      <w:r>
        <w:t>a migration report with a prioritised queue and named replacement for each algorithm.</w:t>
      </w:r>
    </w:p>
    <w:p>
      <w:pPr>
        <w:pStyle w:val="ListBullet"/>
      </w:pPr>
      <w:r>
        <w:t>the runtime observation log, so every negotiated finding is traceable to a connection.</w:t>
      </w:r>
    </w:p>
    <w:p>
      <w:pPr>
        <w:pStyle w:val="ListBullet"/>
      </w:pPr>
      <w:r>
        <w:t>a half-day findings workshop with the engineering team, and an executive summary written for a non-technical reader.</w:t>
      </w:r>
    </w:p>
    <w:p>
      <w:pPr>
        <w:pStyle w:val="ListBullet"/>
      </w:pPr>
      <w:r>
        <w:t>a baseline to measure against: the same scan re-run in six months produces a diff rather than a fresh argument.</w:t>
      </w:r>
    </w:p>
    <w:p>
      <w:pPr>
        <w:pStyle w:val="Heading1"/>
      </w:pPr>
      <w:r>
        <w:rPr>
          <w:color w:val="0B3D2E"/>
        </w:rPr>
        <w:t>8. Limitations, stated plainly</w:t>
      </w:r>
    </w:p>
    <w:p>
      <w:pPr>
        <w:pStyle w:val="ListBullet"/>
      </w:pPr>
      <w:r>
        <w:t>discovery is limited to what static analysis, certificate inspection and live negotiation can see. Cryptography compiled into a binary and never exercised will be missed.</w:t>
      </w:r>
    </w:p>
    <w:p>
      <w:pPr>
        <w:pStyle w:val="ListBullet"/>
      </w:pPr>
      <w:r>
        <w:t>hardware security module and firmware key inventory is not covered by this assessment. It is a known gap and the next layer we are building.</w:t>
      </w:r>
    </w:p>
    <w:p>
      <w:pPr>
        <w:pStyle w:val="ListBullet"/>
      </w:pPr>
      <w:r>
        <w:t>the report identifies exposure and sequence; it does not perform the migration. Remediation is engineering work, and in most estates it is a quarter rather than a fortnight.</w:t>
      </w:r>
    </w:p>
    <w:p>
      <w:pPr>
        <w:pStyle w:val="ListBullet"/>
      </w:pPr>
      <w:r>
        <w:t>a clean report is not a guarantee. It means we did not find quantum-vulnerable cryptography by these methods, which is a weaker and more honest claim than safety.</w:t>
      </w:r>
    </w:p>
    <w:p>
      <w:pPr>
        <w:pStyle w:val="Heading1"/>
      </w:pPr>
      <w:r>
        <w:rPr>
          <w:color w:val="0B3D2E"/>
        </w:rPr>
        <w:t>9. Commissioning</w:t>
      </w:r>
    </w:p>
    <w:p>
      <w:r>
        <w:rPr>
          <w:i w:val="0"/>
        </w:rPr>
        <w:t>The Discovery Scan is $2,500 for a fixed scope, delivered in five working days. The full Readiness Assessment, including runtime observation of live connections, the sequenced roadmap and the workshop, is $8,500. Both run entirely inside your network.</w:t>
      </w:r>
    </w:p>
    <w:p>
      <w:r>
        <w:rPr>
          <w:i/>
        </w:rPr>
        <w:t>c.kanu@mainnoltd.com</w:t>
      </w:r>
    </w:p>
    <w:p>
      <w:r>
        <w:rPr>
          <w:i w:val="0"/>
          <w:color w:val="555555"/>
          <w:sz w:val="18"/>
        </w:rPr>
        <w:t>A product of Maobyte Innovations Ltd.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