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34FA" w14:textId="77777777" w:rsidR="00DF3AA1" w:rsidRPr="00DF3AA1" w:rsidRDefault="00DF3AA1" w:rsidP="00DF3AA1">
      <w:pPr>
        <w:pStyle w:val="Heading1"/>
        <w:rPr>
          <w:sz w:val="36"/>
          <w:szCs w:val="36"/>
        </w:rPr>
      </w:pPr>
      <w:r w:rsidRPr="00DF3AA1">
        <w:rPr>
          <w:rStyle w:val="Strong"/>
          <w:b w:val="0"/>
          <w:bCs w:val="0"/>
          <w:sz w:val="36"/>
          <w:szCs w:val="36"/>
        </w:rPr>
        <w:t>Housing Price Drivers in Sydney and Melbourne</w:t>
      </w:r>
    </w:p>
    <w:p w14:paraId="10DC11F9" w14:textId="77777777" w:rsidR="00DF3AA1" w:rsidRPr="00DF3AA1" w:rsidRDefault="00DF3AA1" w:rsidP="00DF3AA1">
      <w:pPr>
        <w:pStyle w:val="Heading2"/>
        <w:rPr>
          <w:sz w:val="28"/>
          <w:szCs w:val="28"/>
        </w:rPr>
      </w:pPr>
      <w:r w:rsidRPr="00DF3AA1">
        <w:rPr>
          <w:rStyle w:val="Strong"/>
          <w:b w:val="0"/>
          <w:bCs w:val="0"/>
          <w:sz w:val="28"/>
          <w:szCs w:val="28"/>
        </w:rPr>
        <w:t>Evidence from Macroeconomic Indicators and Econometric Models (2008–2024)</w:t>
      </w:r>
    </w:p>
    <w:p w14:paraId="6B53FF35" w14:textId="3DCCFD4B" w:rsidR="00DF3AA1" w:rsidRPr="00DF3AA1" w:rsidRDefault="00DF3AA1" w:rsidP="00DF3AA1">
      <w:pPr>
        <w:pStyle w:val="NormalWeb"/>
        <w:rPr>
          <w:rFonts w:asciiTheme="minorHAnsi" w:hAnsiTheme="minorHAnsi"/>
          <w:sz w:val="22"/>
          <w:szCs w:val="22"/>
        </w:rPr>
      </w:pPr>
      <w:r w:rsidRPr="00DF3AA1">
        <w:rPr>
          <w:rStyle w:val="Strong"/>
          <w:rFonts w:asciiTheme="minorHAnsi" w:eastAsiaTheme="majorEastAsia" w:hAnsiTheme="minorHAnsi"/>
          <w:sz w:val="22"/>
          <w:szCs w:val="22"/>
        </w:rPr>
        <w:t>Author:</w:t>
      </w:r>
      <w:r w:rsidRPr="00DF3AA1">
        <w:rPr>
          <w:rFonts w:asciiTheme="minorHAnsi" w:hAnsiTheme="minorHAnsi"/>
          <w:sz w:val="22"/>
          <w:szCs w:val="22"/>
        </w:rPr>
        <w:t xml:space="preserve"> Joyce Xu</w:t>
      </w:r>
      <w:r w:rsidRPr="00DF3AA1">
        <w:rPr>
          <w:rFonts w:asciiTheme="minorHAnsi" w:hAnsiTheme="minorHAnsi"/>
          <w:sz w:val="22"/>
          <w:szCs w:val="22"/>
        </w:rPr>
        <w:br/>
      </w:r>
      <w:r w:rsidRPr="00DF3AA1">
        <w:rPr>
          <w:rStyle w:val="Strong"/>
          <w:rFonts w:asciiTheme="minorHAnsi" w:eastAsiaTheme="majorEastAsia" w:hAnsiTheme="minorHAnsi"/>
          <w:sz w:val="22"/>
          <w:szCs w:val="22"/>
        </w:rPr>
        <w:t>Date:</w:t>
      </w:r>
      <w:r w:rsidRPr="00DF3AA1">
        <w:rPr>
          <w:rFonts w:asciiTheme="minorHAnsi" w:hAnsiTheme="minorHAnsi"/>
          <w:sz w:val="22"/>
          <w:szCs w:val="22"/>
        </w:rPr>
        <w:t xml:space="preserve"> December 2024</w:t>
      </w:r>
      <w:r w:rsidRPr="00DF3AA1">
        <w:rPr>
          <w:rFonts w:asciiTheme="minorHAnsi" w:hAnsiTheme="minorHAnsi"/>
          <w:sz w:val="22"/>
          <w:szCs w:val="22"/>
        </w:rPr>
        <w:br/>
      </w:r>
      <w:r w:rsidRPr="00DF3AA1">
        <w:rPr>
          <w:rStyle w:val="Strong"/>
          <w:rFonts w:asciiTheme="minorHAnsi" w:eastAsiaTheme="majorEastAsia" w:hAnsiTheme="minorHAnsi"/>
          <w:sz w:val="22"/>
          <w:szCs w:val="22"/>
        </w:rPr>
        <w:t>Project type:</w:t>
      </w:r>
      <w:r w:rsidRPr="00DF3AA1">
        <w:rPr>
          <w:rFonts w:asciiTheme="minorHAnsi" w:hAnsiTheme="minorHAnsi"/>
          <w:sz w:val="22"/>
          <w:szCs w:val="22"/>
        </w:rPr>
        <w:t xml:space="preserve"> Quantitative Research / Econometric Analysis</w:t>
      </w:r>
      <w:r w:rsidRPr="00DF3AA1">
        <w:rPr>
          <w:rFonts w:asciiTheme="minorHAnsi" w:hAnsiTheme="minorHAnsi"/>
          <w:sz w:val="22"/>
          <w:szCs w:val="22"/>
        </w:rPr>
        <w:br/>
      </w:r>
      <w:r w:rsidRPr="00DF3AA1">
        <w:rPr>
          <w:rStyle w:val="Strong"/>
          <w:rFonts w:asciiTheme="minorHAnsi" w:eastAsiaTheme="majorEastAsia" w:hAnsiTheme="minorHAnsi"/>
          <w:sz w:val="22"/>
          <w:szCs w:val="22"/>
        </w:rPr>
        <w:t>Tools:</w:t>
      </w:r>
      <w:r w:rsidRPr="00DF3AA1">
        <w:rPr>
          <w:rFonts w:asciiTheme="minorHAnsi" w:hAnsiTheme="minorHAnsi"/>
          <w:sz w:val="22"/>
          <w:szCs w:val="22"/>
        </w:rPr>
        <w:t xml:space="preserve"> Python (pandas, </w:t>
      </w:r>
      <w:proofErr w:type="spellStart"/>
      <w:r w:rsidRPr="00DF3AA1">
        <w:rPr>
          <w:rFonts w:asciiTheme="minorHAnsi" w:hAnsiTheme="minorHAnsi"/>
          <w:sz w:val="22"/>
          <w:szCs w:val="22"/>
        </w:rPr>
        <w:t>statsmodels</w:t>
      </w:r>
      <w:proofErr w:type="spellEnd"/>
      <w:r w:rsidRPr="00DF3AA1">
        <w:rPr>
          <w:rFonts w:asciiTheme="minorHAnsi" w:hAnsiTheme="minorHAnsi"/>
          <w:sz w:val="22"/>
          <w:szCs w:val="22"/>
        </w:rPr>
        <w:t xml:space="preserve">), </w:t>
      </w:r>
      <w:proofErr w:type="spellStart"/>
      <w:r w:rsidRPr="00DF3AA1">
        <w:rPr>
          <w:rFonts w:asciiTheme="minorHAnsi" w:hAnsiTheme="minorHAnsi"/>
          <w:sz w:val="22"/>
          <w:szCs w:val="22"/>
        </w:rPr>
        <w:t>Jupyter</w:t>
      </w:r>
      <w:proofErr w:type="spellEnd"/>
      <w:r w:rsidRPr="00DF3AA1">
        <w:rPr>
          <w:rFonts w:asciiTheme="minorHAnsi" w:hAnsiTheme="minorHAnsi"/>
          <w:sz w:val="22"/>
          <w:szCs w:val="22"/>
        </w:rPr>
        <w:t xml:space="preserve"> Notebook</w:t>
      </w:r>
      <w:r w:rsidRPr="00DF3AA1">
        <w:rPr>
          <w:rFonts w:asciiTheme="minorHAnsi" w:hAnsiTheme="minorHAnsi"/>
          <w:sz w:val="22"/>
          <w:szCs w:val="22"/>
        </w:rPr>
        <w:br/>
      </w:r>
      <w:r w:rsidRPr="00DF3AA1">
        <w:rPr>
          <w:rStyle w:val="Strong"/>
          <w:rFonts w:asciiTheme="minorHAnsi" w:eastAsiaTheme="majorEastAsia" w:hAnsiTheme="minorHAnsi"/>
          <w:sz w:val="22"/>
          <w:szCs w:val="22"/>
        </w:rPr>
        <w:t>Data sources:</w:t>
      </w:r>
      <w:r w:rsidRPr="00DF3AA1">
        <w:rPr>
          <w:rFonts w:asciiTheme="minorHAnsi" w:hAnsiTheme="minorHAnsi"/>
          <w:sz w:val="22"/>
          <w:szCs w:val="22"/>
        </w:rPr>
        <w:t xml:space="preserve"> ABS, RBA</w:t>
      </w:r>
    </w:p>
    <w:p w14:paraId="3F7FA693" w14:textId="04A5FF60" w:rsidR="00503C2F" w:rsidRPr="00980605" w:rsidRDefault="00503C2F" w:rsidP="00980605">
      <w:pPr>
        <w:pStyle w:val="Heading2"/>
        <w:numPr>
          <w:ilvl w:val="0"/>
          <w:numId w:val="55"/>
        </w:numPr>
        <w:rPr>
          <w:rStyle w:val="Strong"/>
          <w:rFonts w:asciiTheme="minorHAnsi" w:hAnsiTheme="minorHAnsi"/>
          <w:b w:val="0"/>
          <w:bCs w:val="0"/>
          <w:sz w:val="28"/>
          <w:szCs w:val="28"/>
        </w:rPr>
      </w:pPr>
      <w:r w:rsidRPr="00980605">
        <w:rPr>
          <w:rStyle w:val="Strong"/>
          <w:rFonts w:asciiTheme="minorHAnsi" w:hAnsiTheme="minorHAnsi"/>
          <w:b w:val="0"/>
          <w:bCs w:val="0"/>
          <w:sz w:val="28"/>
          <w:szCs w:val="28"/>
        </w:rPr>
        <w:t xml:space="preserve">Executive summary </w:t>
      </w:r>
    </w:p>
    <w:p w14:paraId="173F48F8" w14:textId="0A858658" w:rsidR="005B77A8" w:rsidRPr="00980605" w:rsidRDefault="005B77A8" w:rsidP="00503C2F">
      <w:pPr>
        <w:rPr>
          <w:rFonts w:asciiTheme="minorHAnsi" w:hAnsiTheme="minorHAnsi"/>
          <w:sz w:val="22"/>
          <w:szCs w:val="22"/>
        </w:rPr>
      </w:pPr>
      <w:r w:rsidRPr="00980605">
        <w:rPr>
          <w:rFonts w:asciiTheme="minorHAnsi" w:eastAsiaTheme="majorEastAsia" w:hAnsiTheme="minorHAnsi"/>
          <w:b/>
          <w:bCs/>
          <w:sz w:val="22"/>
          <w:szCs w:val="22"/>
        </w:rPr>
        <w:t>Research question</w:t>
      </w:r>
      <w:r w:rsidRPr="00980605">
        <w:rPr>
          <w:rFonts w:asciiTheme="minorHAnsi" w:hAnsiTheme="minorHAnsi"/>
          <w:b/>
          <w:bCs/>
          <w:sz w:val="22"/>
          <w:szCs w:val="22"/>
        </w:rPr>
        <w:t>:</w:t>
      </w:r>
      <w:r w:rsidRPr="00980605">
        <w:rPr>
          <w:rFonts w:asciiTheme="minorHAnsi" w:hAnsiTheme="minorHAnsi"/>
          <w:sz w:val="22"/>
          <w:szCs w:val="22"/>
        </w:rPr>
        <w:t xml:space="preserve"> </w:t>
      </w:r>
      <w:r w:rsidRPr="00980605">
        <w:rPr>
          <w:rStyle w:val="Strong"/>
          <w:rFonts w:asciiTheme="minorHAnsi" w:eastAsiaTheme="majorEastAsia" w:hAnsiTheme="minorHAnsi"/>
          <w:b w:val="0"/>
          <w:bCs w:val="0"/>
          <w:sz w:val="22"/>
          <w:szCs w:val="22"/>
        </w:rPr>
        <w:t>What macroeconomic drivers are most strongly associated with movements in Sydney and Melbourne house prices over time?</w:t>
      </w:r>
    </w:p>
    <w:p w14:paraId="56CAAD24" w14:textId="3B003806" w:rsidR="005B77A8" w:rsidRPr="00980605" w:rsidRDefault="005B77A8" w:rsidP="00980605">
      <w:pPr>
        <w:pStyle w:val="Heading3"/>
        <w:numPr>
          <w:ilvl w:val="1"/>
          <w:numId w:val="55"/>
        </w:numPr>
        <w:rPr>
          <w:rFonts w:asciiTheme="minorHAnsi" w:hAnsiTheme="minorHAnsi"/>
          <w:sz w:val="24"/>
          <w:szCs w:val="24"/>
        </w:rPr>
      </w:pPr>
      <w:r w:rsidRPr="00980605">
        <w:rPr>
          <w:rFonts w:asciiTheme="minorHAnsi" w:hAnsiTheme="minorHAnsi"/>
          <w:sz w:val="24"/>
          <w:szCs w:val="24"/>
        </w:rPr>
        <w:t>Data and analytical approach</w:t>
      </w:r>
    </w:p>
    <w:p w14:paraId="3861167F" w14:textId="77777777" w:rsidR="005B77A8" w:rsidRPr="00980605" w:rsidRDefault="005B77A8" w:rsidP="005B77A8">
      <w:pPr>
        <w:pStyle w:val="NormalWeb"/>
        <w:rPr>
          <w:rFonts w:asciiTheme="minorHAnsi" w:hAnsiTheme="minorHAnsi"/>
          <w:sz w:val="22"/>
          <w:szCs w:val="22"/>
        </w:rPr>
      </w:pPr>
      <w:r w:rsidRPr="00980605">
        <w:rPr>
          <w:rFonts w:asciiTheme="minorHAnsi" w:hAnsiTheme="minorHAnsi"/>
          <w:sz w:val="22"/>
          <w:szCs w:val="22"/>
        </w:rPr>
        <w:t xml:space="preserve">I build a panel dataset using </w:t>
      </w:r>
      <w:r w:rsidRPr="00980605">
        <w:rPr>
          <w:rStyle w:val="Strong"/>
          <w:rFonts w:asciiTheme="minorHAnsi" w:eastAsiaTheme="majorEastAsia" w:hAnsiTheme="minorHAnsi"/>
          <w:sz w:val="22"/>
          <w:szCs w:val="22"/>
        </w:rPr>
        <w:t>official quarterly statistics</w:t>
      </w:r>
      <w:r w:rsidRPr="00980605">
        <w:rPr>
          <w:rFonts w:asciiTheme="minorHAnsi" w:hAnsiTheme="minorHAnsi"/>
          <w:sz w:val="22"/>
          <w:szCs w:val="22"/>
        </w:rPr>
        <w:t xml:space="preserve"> from sources such as the Australian Bureau of Statistics (ABS) and the Reserve Bank of Australia (RBA).</w:t>
      </w:r>
    </w:p>
    <w:p w14:paraId="7FA8C67F" w14:textId="77777777" w:rsidR="005B77A8" w:rsidRPr="00980605" w:rsidRDefault="005B77A8" w:rsidP="005B77A8">
      <w:pPr>
        <w:pStyle w:val="NormalWeb"/>
        <w:numPr>
          <w:ilvl w:val="0"/>
          <w:numId w:val="23"/>
        </w:numPr>
        <w:rPr>
          <w:rFonts w:asciiTheme="minorHAnsi" w:hAnsiTheme="minorHAnsi"/>
          <w:sz w:val="22"/>
          <w:szCs w:val="22"/>
        </w:rPr>
      </w:pPr>
      <w:r w:rsidRPr="00980605">
        <w:rPr>
          <w:rStyle w:val="Strong"/>
          <w:rFonts w:asciiTheme="minorHAnsi" w:eastAsiaTheme="majorEastAsia" w:hAnsiTheme="minorHAnsi"/>
          <w:sz w:val="22"/>
          <w:szCs w:val="22"/>
        </w:rPr>
        <w:t>Coverage:</w:t>
      </w:r>
      <w:r w:rsidRPr="00980605">
        <w:rPr>
          <w:rFonts w:asciiTheme="minorHAnsi" w:hAnsiTheme="minorHAnsi"/>
          <w:sz w:val="22"/>
          <w:szCs w:val="22"/>
        </w:rPr>
        <w:t xml:space="preserve"> Sydney and Melbourne, over multiple decades of quarterly data.</w:t>
      </w:r>
    </w:p>
    <w:p w14:paraId="08D3F777" w14:textId="77777777" w:rsidR="005B77A8" w:rsidRPr="00980605" w:rsidRDefault="005B77A8" w:rsidP="005B77A8">
      <w:pPr>
        <w:pStyle w:val="NormalWeb"/>
        <w:numPr>
          <w:ilvl w:val="0"/>
          <w:numId w:val="23"/>
        </w:numPr>
        <w:rPr>
          <w:rFonts w:asciiTheme="minorHAnsi" w:hAnsiTheme="minorHAnsi"/>
          <w:sz w:val="22"/>
          <w:szCs w:val="22"/>
        </w:rPr>
      </w:pPr>
      <w:r w:rsidRPr="00980605">
        <w:rPr>
          <w:rStyle w:val="Strong"/>
          <w:rFonts w:asciiTheme="minorHAnsi" w:eastAsiaTheme="majorEastAsia" w:hAnsiTheme="minorHAnsi"/>
          <w:sz w:val="22"/>
          <w:szCs w:val="22"/>
        </w:rPr>
        <w:t>Variables:</w:t>
      </w:r>
      <w:r w:rsidRPr="00980605">
        <w:rPr>
          <w:rFonts w:asciiTheme="minorHAnsi" w:hAnsiTheme="minorHAnsi"/>
          <w:sz w:val="22"/>
          <w:szCs w:val="22"/>
        </w:rPr>
        <w:t xml:space="preserve"> dwelling price indexes, cash rate, unemployment rate, participation rate, income and wealth indicators, dwelling approvals, and measures of supply tightness.</w:t>
      </w:r>
    </w:p>
    <w:p w14:paraId="46C95756" w14:textId="77777777" w:rsidR="005B77A8" w:rsidRPr="00980605" w:rsidRDefault="005B77A8" w:rsidP="005B77A8">
      <w:pPr>
        <w:pStyle w:val="NormalWeb"/>
        <w:rPr>
          <w:rFonts w:asciiTheme="minorHAnsi" w:hAnsiTheme="minorHAnsi"/>
          <w:sz w:val="22"/>
          <w:szCs w:val="22"/>
        </w:rPr>
      </w:pPr>
      <w:r w:rsidRPr="00980605">
        <w:rPr>
          <w:rFonts w:asciiTheme="minorHAnsi" w:hAnsiTheme="minorHAnsi"/>
          <w:sz w:val="22"/>
          <w:szCs w:val="22"/>
        </w:rPr>
        <w:t>The analysis combines two complementary approaches:</w:t>
      </w:r>
    </w:p>
    <w:p w14:paraId="3528668B" w14:textId="77777777" w:rsidR="005B77A8" w:rsidRPr="00980605" w:rsidRDefault="005B77A8" w:rsidP="005B77A8">
      <w:pPr>
        <w:pStyle w:val="NormalWeb"/>
        <w:numPr>
          <w:ilvl w:val="0"/>
          <w:numId w:val="24"/>
        </w:numPr>
        <w:rPr>
          <w:rFonts w:asciiTheme="minorHAnsi" w:hAnsiTheme="minorHAnsi"/>
          <w:sz w:val="22"/>
          <w:szCs w:val="22"/>
        </w:rPr>
      </w:pPr>
      <w:r w:rsidRPr="00980605">
        <w:rPr>
          <w:rStyle w:val="Strong"/>
          <w:rFonts w:asciiTheme="minorHAnsi" w:eastAsiaTheme="majorEastAsia" w:hAnsiTheme="minorHAnsi"/>
          <w:sz w:val="22"/>
          <w:szCs w:val="22"/>
        </w:rPr>
        <w:t>Dynamic models (ARDL / distributed lag models)</w:t>
      </w:r>
      <w:r w:rsidRPr="00980605">
        <w:rPr>
          <w:rFonts w:asciiTheme="minorHAnsi" w:hAnsiTheme="minorHAnsi"/>
          <w:sz w:val="22"/>
          <w:szCs w:val="22"/>
        </w:rPr>
        <w:br/>
        <w:t>These models trace how house prices respond over several quarters after a change in a macro variable (e.g. a cash rate hike or a rise in unemployment), capturing short-run and cumulative effects.</w:t>
      </w:r>
    </w:p>
    <w:p w14:paraId="69F2B657" w14:textId="77777777" w:rsidR="005B77A8" w:rsidRPr="00980605" w:rsidRDefault="005B77A8" w:rsidP="005B77A8">
      <w:pPr>
        <w:pStyle w:val="NormalWeb"/>
        <w:numPr>
          <w:ilvl w:val="0"/>
          <w:numId w:val="24"/>
        </w:numPr>
        <w:rPr>
          <w:rFonts w:asciiTheme="minorHAnsi" w:hAnsiTheme="minorHAnsi"/>
          <w:sz w:val="22"/>
          <w:szCs w:val="22"/>
        </w:rPr>
      </w:pPr>
      <w:r w:rsidRPr="00980605">
        <w:rPr>
          <w:rStyle w:val="Strong"/>
          <w:rFonts w:asciiTheme="minorHAnsi" w:eastAsiaTheme="majorEastAsia" w:hAnsiTheme="minorHAnsi"/>
          <w:sz w:val="22"/>
          <w:szCs w:val="22"/>
        </w:rPr>
        <w:t>Panel fixed-effects (FE) models</w:t>
      </w:r>
      <w:r w:rsidRPr="00980605">
        <w:rPr>
          <w:rFonts w:asciiTheme="minorHAnsi" w:hAnsiTheme="minorHAnsi"/>
          <w:sz w:val="22"/>
          <w:szCs w:val="22"/>
        </w:rPr>
        <w:br/>
        <w:t>These models look at longer-run relationships in levels, while controlling for unobserved, time-invariant differences between cities and for common national shocks over time (e.g. nationwide policy changes or global cycles).</w:t>
      </w:r>
    </w:p>
    <w:p w14:paraId="4617090F" w14:textId="49F01617" w:rsidR="005B77A8" w:rsidRPr="00980605" w:rsidRDefault="00980605" w:rsidP="005B77A8">
      <w:pPr>
        <w:pStyle w:val="Heading3"/>
        <w:rPr>
          <w:rFonts w:asciiTheme="minorHAnsi" w:hAnsiTheme="minorHAnsi"/>
          <w:sz w:val="24"/>
          <w:szCs w:val="24"/>
        </w:rPr>
      </w:pPr>
      <w:r>
        <w:rPr>
          <w:rFonts w:asciiTheme="minorHAnsi" w:hAnsiTheme="minorHAnsi" w:hint="eastAsia"/>
          <w:sz w:val="24"/>
          <w:szCs w:val="24"/>
        </w:rPr>
        <w:t xml:space="preserve">1.2 </w:t>
      </w:r>
      <w:r w:rsidR="005B77A8" w:rsidRPr="00980605">
        <w:rPr>
          <w:rFonts w:asciiTheme="minorHAnsi" w:hAnsiTheme="minorHAnsi"/>
          <w:sz w:val="24"/>
          <w:szCs w:val="24"/>
        </w:rPr>
        <w:t>Key findings</w:t>
      </w:r>
    </w:p>
    <w:p w14:paraId="65E0890D" w14:textId="77777777" w:rsidR="008806D3" w:rsidRPr="008806D3" w:rsidRDefault="008806D3" w:rsidP="008806D3">
      <w:pPr>
        <w:numPr>
          <w:ilvl w:val="0"/>
          <w:numId w:val="51"/>
        </w:numPr>
        <w:spacing w:before="100" w:beforeAutospacing="1" w:after="100" w:afterAutospacing="1"/>
        <w:rPr>
          <w:rFonts w:asciiTheme="minorHAnsi" w:hAnsiTheme="minorHAnsi"/>
          <w:sz w:val="22"/>
          <w:szCs w:val="22"/>
        </w:rPr>
      </w:pPr>
      <w:r w:rsidRPr="008806D3">
        <w:rPr>
          <w:rFonts w:asciiTheme="minorHAnsi" w:hAnsiTheme="minorHAnsi"/>
          <w:b/>
          <w:bCs/>
          <w:sz w:val="22"/>
          <w:szCs w:val="22"/>
        </w:rPr>
        <w:t>Short run: interest rates and labour-market conditions dominate.</w:t>
      </w:r>
      <w:r w:rsidRPr="008806D3">
        <w:rPr>
          <w:rFonts w:asciiTheme="minorHAnsi" w:hAnsiTheme="minorHAnsi"/>
          <w:sz w:val="22"/>
          <w:szCs w:val="22"/>
        </w:rPr>
        <w:br/>
        <w:t>Changes in the cash rate and unemployment/participation have the largest and most robust short-run impacts on real house prices. Once these are controlled for, income, wealth and approvals contribute little to explaining short-term movements.</w:t>
      </w:r>
    </w:p>
    <w:p w14:paraId="71F6AE55" w14:textId="77777777" w:rsidR="008806D3" w:rsidRPr="008806D3" w:rsidRDefault="008806D3" w:rsidP="008806D3">
      <w:pPr>
        <w:numPr>
          <w:ilvl w:val="0"/>
          <w:numId w:val="51"/>
        </w:numPr>
        <w:spacing w:before="100" w:beforeAutospacing="1" w:after="100" w:afterAutospacing="1"/>
        <w:rPr>
          <w:rFonts w:asciiTheme="minorHAnsi" w:hAnsiTheme="minorHAnsi"/>
          <w:sz w:val="22"/>
          <w:szCs w:val="22"/>
        </w:rPr>
      </w:pPr>
      <w:r w:rsidRPr="008806D3">
        <w:rPr>
          <w:rFonts w:asciiTheme="minorHAnsi" w:hAnsiTheme="minorHAnsi"/>
          <w:b/>
          <w:bCs/>
          <w:sz w:val="22"/>
          <w:szCs w:val="22"/>
        </w:rPr>
        <w:t>Cumulative effects: cash rate and participation remain the key macro drivers.</w:t>
      </w:r>
      <w:r w:rsidRPr="008806D3">
        <w:rPr>
          <w:rFonts w:asciiTheme="minorHAnsi" w:hAnsiTheme="minorHAnsi"/>
          <w:sz w:val="22"/>
          <w:szCs w:val="22"/>
        </w:rPr>
        <w:br/>
        <w:t>Over horizons of around one to two years, the cash rate exerts the strongest cumulative drag on prices, while higher labour-force participation supports stronger housing outcomes. Other macro variables remain modest in size and are often not statistically distinguishable from zero.</w:t>
      </w:r>
    </w:p>
    <w:p w14:paraId="2DF2FCF4" w14:textId="2A7C1227" w:rsidR="008806D3" w:rsidRPr="008806D3" w:rsidRDefault="008806D3" w:rsidP="008806D3">
      <w:pPr>
        <w:numPr>
          <w:ilvl w:val="0"/>
          <w:numId w:val="51"/>
        </w:numPr>
        <w:spacing w:before="100" w:beforeAutospacing="1" w:after="100" w:afterAutospacing="1"/>
        <w:rPr>
          <w:rFonts w:asciiTheme="minorHAnsi" w:hAnsiTheme="minorHAnsi"/>
          <w:sz w:val="22"/>
          <w:szCs w:val="22"/>
        </w:rPr>
      </w:pPr>
      <w:r w:rsidRPr="008806D3">
        <w:rPr>
          <w:rFonts w:asciiTheme="minorHAnsi" w:hAnsiTheme="minorHAnsi"/>
          <w:b/>
          <w:bCs/>
          <w:sz w:val="22"/>
          <w:szCs w:val="22"/>
        </w:rPr>
        <w:t>Fixed effects: interest rates interact with supply tightness.</w:t>
      </w:r>
      <w:r w:rsidRPr="008806D3">
        <w:rPr>
          <w:rFonts w:asciiTheme="minorHAnsi" w:hAnsiTheme="minorHAnsi"/>
          <w:sz w:val="22"/>
          <w:szCs w:val="22"/>
        </w:rPr>
        <w:br/>
        <w:t xml:space="preserve">In the fixed-effects model, lagged cash-rate levels are positively associated with price levels and interact with a local supply-gap measure. This is consistent with interest </w:t>
      </w:r>
      <w:r w:rsidRPr="008806D3">
        <w:rPr>
          <w:rFonts w:asciiTheme="minorHAnsi" w:hAnsiTheme="minorHAnsi"/>
          <w:sz w:val="22"/>
          <w:szCs w:val="22"/>
        </w:rPr>
        <w:lastRenderedPageBreak/>
        <w:t>rates summarising the timing of policy responses to already-strong, supply-constrained housing markets, rather than higher rates directly causing higher prices.</w:t>
      </w:r>
    </w:p>
    <w:p w14:paraId="5DDEE146" w14:textId="69675D65" w:rsidR="008806D3" w:rsidRPr="00980605" w:rsidRDefault="00980605" w:rsidP="008806D3">
      <w:pPr>
        <w:pStyle w:val="Heading2"/>
        <w:rPr>
          <w:rFonts w:asciiTheme="minorHAnsi" w:hAnsiTheme="minorHAnsi"/>
          <w:sz w:val="24"/>
          <w:szCs w:val="24"/>
        </w:rPr>
      </w:pPr>
      <w:r>
        <w:rPr>
          <w:rFonts w:asciiTheme="minorHAnsi" w:hAnsiTheme="minorHAnsi" w:hint="eastAsia"/>
          <w:sz w:val="24"/>
          <w:szCs w:val="24"/>
        </w:rPr>
        <w:t xml:space="preserve">1.3 </w:t>
      </w:r>
      <w:r w:rsidR="008806D3" w:rsidRPr="00980605">
        <w:rPr>
          <w:rFonts w:asciiTheme="minorHAnsi" w:hAnsiTheme="minorHAnsi"/>
          <w:sz w:val="24"/>
          <w:szCs w:val="24"/>
        </w:rPr>
        <w:t>Policy relevance</w:t>
      </w:r>
    </w:p>
    <w:p w14:paraId="4A7522F4" w14:textId="77777777" w:rsidR="008806D3" w:rsidRPr="008806D3" w:rsidRDefault="008806D3" w:rsidP="008806D3">
      <w:pPr>
        <w:numPr>
          <w:ilvl w:val="0"/>
          <w:numId w:val="52"/>
        </w:numPr>
        <w:spacing w:before="100" w:beforeAutospacing="1" w:after="100" w:afterAutospacing="1"/>
        <w:rPr>
          <w:rFonts w:asciiTheme="minorHAnsi" w:hAnsiTheme="minorHAnsi"/>
          <w:sz w:val="22"/>
          <w:szCs w:val="22"/>
        </w:rPr>
      </w:pPr>
      <w:r w:rsidRPr="008806D3">
        <w:rPr>
          <w:rFonts w:asciiTheme="minorHAnsi" w:hAnsiTheme="minorHAnsi"/>
          <w:b/>
          <w:bCs/>
          <w:sz w:val="22"/>
          <w:szCs w:val="22"/>
        </w:rPr>
        <w:t>Macro-linked housing and revenue risk.</w:t>
      </w:r>
      <w:r w:rsidRPr="008806D3">
        <w:rPr>
          <w:rFonts w:asciiTheme="minorHAnsi" w:hAnsiTheme="minorHAnsi"/>
          <w:sz w:val="22"/>
          <w:szCs w:val="22"/>
        </w:rPr>
        <w:br/>
        <w:t>Because house prices are tightly linked to interest rates and labour-market conditions, forecasts and risk assessments for property-linked tax bases (such as stamp duty and capital-gains-related revenues) should be explicitly conditioned on macro scenarios, rather than simple trend extrapolations.</w:t>
      </w:r>
    </w:p>
    <w:p w14:paraId="0ACAD365" w14:textId="77777777" w:rsidR="008806D3" w:rsidRPr="008806D3" w:rsidRDefault="008806D3" w:rsidP="008806D3">
      <w:pPr>
        <w:numPr>
          <w:ilvl w:val="0"/>
          <w:numId w:val="52"/>
        </w:numPr>
        <w:spacing w:before="100" w:beforeAutospacing="1" w:after="100" w:afterAutospacing="1"/>
        <w:rPr>
          <w:rFonts w:asciiTheme="minorHAnsi" w:hAnsiTheme="minorHAnsi"/>
          <w:sz w:val="22"/>
          <w:szCs w:val="22"/>
        </w:rPr>
      </w:pPr>
      <w:r w:rsidRPr="008806D3">
        <w:rPr>
          <w:rFonts w:asciiTheme="minorHAnsi" w:hAnsiTheme="minorHAnsi"/>
          <w:b/>
          <w:bCs/>
          <w:sz w:val="22"/>
          <w:szCs w:val="22"/>
        </w:rPr>
        <w:t>Compact, transferable framework for ATO analysis.</w:t>
      </w:r>
      <w:r w:rsidRPr="008806D3">
        <w:rPr>
          <w:rFonts w:asciiTheme="minorHAnsi" w:hAnsiTheme="minorHAnsi"/>
          <w:sz w:val="22"/>
          <w:szCs w:val="22"/>
        </w:rPr>
        <w:br/>
        <w:t>The ARDL/DL and fixed-effects framework demonstrated here can be readily adapted to other ATO-relevant questions—for example, how macro shocks affect small-business income, household balance-sheet stress or compliance—using administrative microdata in place of published aggregates.</w:t>
      </w:r>
    </w:p>
    <w:p w14:paraId="3C79D80B" w14:textId="59D08A06" w:rsidR="0073091C" w:rsidRPr="00980605" w:rsidRDefault="008806D3" w:rsidP="0073091C">
      <w:pPr>
        <w:pStyle w:val="Heading2"/>
        <w:rPr>
          <w:rFonts w:asciiTheme="minorHAnsi" w:hAnsiTheme="minorHAnsi"/>
          <w:sz w:val="28"/>
          <w:szCs w:val="28"/>
        </w:rPr>
      </w:pPr>
      <w:r w:rsidRPr="00980605">
        <w:rPr>
          <w:rStyle w:val="Strong"/>
          <w:rFonts w:asciiTheme="minorHAnsi" w:hAnsiTheme="minorHAnsi"/>
          <w:b w:val="0"/>
          <w:bCs w:val="0"/>
          <w:sz w:val="28"/>
          <w:szCs w:val="28"/>
        </w:rPr>
        <w:t>2</w:t>
      </w:r>
      <w:r w:rsidR="0073091C" w:rsidRPr="00980605">
        <w:rPr>
          <w:rStyle w:val="Strong"/>
          <w:rFonts w:asciiTheme="minorHAnsi" w:hAnsiTheme="minorHAnsi"/>
          <w:b w:val="0"/>
          <w:bCs w:val="0"/>
          <w:sz w:val="28"/>
          <w:szCs w:val="28"/>
        </w:rPr>
        <w:t>. Data and Methodology</w:t>
      </w:r>
    </w:p>
    <w:p w14:paraId="2961E5EE" w14:textId="6A2AAB7C" w:rsidR="0073091C" w:rsidRPr="00980605" w:rsidRDefault="008806D3" w:rsidP="0073091C">
      <w:pPr>
        <w:pStyle w:val="Heading3"/>
        <w:rPr>
          <w:rFonts w:asciiTheme="minorHAnsi" w:hAnsiTheme="minorHAnsi"/>
          <w:sz w:val="24"/>
          <w:szCs w:val="24"/>
        </w:rPr>
      </w:pPr>
      <w:r w:rsidRPr="00980605">
        <w:rPr>
          <w:rStyle w:val="Strong"/>
          <w:rFonts w:asciiTheme="minorHAnsi" w:hAnsiTheme="minorHAnsi"/>
          <w:b w:val="0"/>
          <w:bCs w:val="0"/>
          <w:sz w:val="24"/>
          <w:szCs w:val="24"/>
        </w:rPr>
        <w:t>2</w:t>
      </w:r>
      <w:r w:rsidR="0073091C" w:rsidRPr="00980605">
        <w:rPr>
          <w:rStyle w:val="Strong"/>
          <w:rFonts w:asciiTheme="minorHAnsi" w:hAnsiTheme="minorHAnsi"/>
          <w:b w:val="0"/>
          <w:bCs w:val="0"/>
          <w:sz w:val="24"/>
          <w:szCs w:val="24"/>
        </w:rPr>
        <w:t>.1 Data</w:t>
      </w:r>
    </w:p>
    <w:p w14:paraId="2BBEA8CA" w14:textId="77777777" w:rsidR="0073091C" w:rsidRPr="00980605" w:rsidRDefault="0073091C" w:rsidP="0073091C">
      <w:pPr>
        <w:pStyle w:val="NormalWeb"/>
        <w:rPr>
          <w:rFonts w:asciiTheme="minorHAnsi" w:hAnsiTheme="minorHAnsi"/>
          <w:sz w:val="22"/>
          <w:szCs w:val="22"/>
        </w:rPr>
      </w:pPr>
      <w:r w:rsidRPr="00980605">
        <w:rPr>
          <w:rStyle w:val="Strong"/>
          <w:rFonts w:asciiTheme="minorHAnsi" w:eastAsiaTheme="majorEastAsia" w:hAnsiTheme="minorHAnsi"/>
          <w:sz w:val="22"/>
          <w:szCs w:val="22"/>
        </w:rPr>
        <w:t>Data sources</w:t>
      </w:r>
      <w:r w:rsidRPr="00980605">
        <w:rPr>
          <w:rFonts w:asciiTheme="minorHAnsi" w:hAnsiTheme="minorHAnsi"/>
          <w:sz w:val="22"/>
          <w:szCs w:val="22"/>
        </w:rPr>
        <w:br/>
        <w:t xml:space="preserve">All variables are obtained from </w:t>
      </w:r>
      <w:r w:rsidRPr="00980605">
        <w:rPr>
          <w:rStyle w:val="Strong"/>
          <w:rFonts w:asciiTheme="minorHAnsi" w:eastAsiaTheme="majorEastAsia" w:hAnsiTheme="minorHAnsi"/>
          <w:b w:val="0"/>
          <w:bCs w:val="0"/>
          <w:sz w:val="22"/>
          <w:szCs w:val="22"/>
        </w:rPr>
        <w:t>official ABS and RBA statistics</w:t>
      </w:r>
      <w:r w:rsidRPr="00980605">
        <w:rPr>
          <w:rFonts w:asciiTheme="minorHAnsi" w:hAnsiTheme="minorHAnsi"/>
          <w:sz w:val="22"/>
          <w:szCs w:val="22"/>
        </w:rPr>
        <w:t>, consistent with the data environment used in government policy analysis:</w:t>
      </w:r>
    </w:p>
    <w:p w14:paraId="4C5E123E"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House prices:</w:t>
      </w:r>
      <w:r w:rsidRPr="00980605">
        <w:rPr>
          <w:rFonts w:asciiTheme="minorHAnsi" w:hAnsiTheme="minorHAnsi"/>
          <w:sz w:val="22"/>
          <w:szCs w:val="22"/>
        </w:rPr>
        <w:t xml:space="preserve"> ABS </w:t>
      </w:r>
      <w:r w:rsidRPr="00980605">
        <w:rPr>
          <w:rStyle w:val="Emphasis"/>
          <w:rFonts w:asciiTheme="minorHAnsi" w:eastAsiaTheme="majorEastAsia" w:hAnsiTheme="minorHAnsi"/>
          <w:sz w:val="22"/>
          <w:szCs w:val="22"/>
        </w:rPr>
        <w:t>Residential Property Price Indexes (RPPI)</w:t>
      </w:r>
      <w:r w:rsidRPr="00980605">
        <w:rPr>
          <w:rFonts w:asciiTheme="minorHAnsi" w:hAnsiTheme="minorHAnsi"/>
          <w:sz w:val="22"/>
          <w:szCs w:val="22"/>
        </w:rPr>
        <w:t xml:space="preserve"> for Sydney and Melbourne.</w:t>
      </w:r>
    </w:p>
    <w:p w14:paraId="4FEEAB97"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Labour market:</w:t>
      </w:r>
      <w:r w:rsidRPr="00980605">
        <w:rPr>
          <w:rFonts w:asciiTheme="minorHAnsi" w:hAnsiTheme="minorHAnsi"/>
          <w:sz w:val="22"/>
          <w:szCs w:val="22"/>
        </w:rPr>
        <w:t xml:space="preserve"> ABS </w:t>
      </w:r>
      <w:r w:rsidRPr="00980605">
        <w:rPr>
          <w:rStyle w:val="Emphasis"/>
          <w:rFonts w:asciiTheme="minorHAnsi" w:eastAsiaTheme="majorEastAsia" w:hAnsiTheme="minorHAnsi"/>
          <w:sz w:val="22"/>
          <w:szCs w:val="22"/>
        </w:rPr>
        <w:t>Labour Force</w:t>
      </w:r>
      <w:r w:rsidRPr="00980605">
        <w:rPr>
          <w:rFonts w:asciiTheme="minorHAnsi" w:hAnsiTheme="minorHAnsi"/>
          <w:sz w:val="22"/>
          <w:szCs w:val="22"/>
        </w:rPr>
        <w:t xml:space="preserve"> statistics (unemployment rate, participation rate, employment).</w:t>
      </w:r>
    </w:p>
    <w:p w14:paraId="12399C3F"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Interest rates:</w:t>
      </w:r>
      <w:r w:rsidRPr="00980605">
        <w:rPr>
          <w:rFonts w:asciiTheme="minorHAnsi" w:hAnsiTheme="minorHAnsi"/>
          <w:sz w:val="22"/>
          <w:szCs w:val="22"/>
        </w:rPr>
        <w:t xml:space="preserve"> RBA </w:t>
      </w:r>
      <w:r w:rsidRPr="00980605">
        <w:rPr>
          <w:rStyle w:val="Emphasis"/>
          <w:rFonts w:asciiTheme="minorHAnsi" w:eastAsiaTheme="majorEastAsia" w:hAnsiTheme="minorHAnsi"/>
          <w:sz w:val="22"/>
          <w:szCs w:val="22"/>
        </w:rPr>
        <w:t>Cash Rate Target</w:t>
      </w:r>
      <w:r w:rsidRPr="00980605">
        <w:rPr>
          <w:rFonts w:asciiTheme="minorHAnsi" w:hAnsiTheme="minorHAnsi"/>
          <w:sz w:val="22"/>
          <w:szCs w:val="22"/>
        </w:rPr>
        <w:t xml:space="preserve"> (quarterly average and end-of-quarter levels).</w:t>
      </w:r>
    </w:p>
    <w:p w14:paraId="472BCEF0"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Income and wealth:</w:t>
      </w:r>
      <w:r w:rsidRPr="00980605">
        <w:rPr>
          <w:rFonts w:asciiTheme="minorHAnsi" w:hAnsiTheme="minorHAnsi"/>
          <w:sz w:val="22"/>
          <w:szCs w:val="22"/>
        </w:rPr>
        <w:t xml:space="preserve"> ABS </w:t>
      </w:r>
      <w:r w:rsidRPr="00980605">
        <w:rPr>
          <w:rStyle w:val="Emphasis"/>
          <w:rFonts w:asciiTheme="minorHAnsi" w:eastAsiaTheme="majorEastAsia" w:hAnsiTheme="minorHAnsi"/>
          <w:sz w:val="22"/>
          <w:szCs w:val="22"/>
        </w:rPr>
        <w:t>Household Income and Wealth</w:t>
      </w:r>
      <w:r w:rsidRPr="00980605">
        <w:rPr>
          <w:rFonts w:asciiTheme="minorHAnsi" w:hAnsiTheme="minorHAnsi"/>
          <w:sz w:val="22"/>
          <w:szCs w:val="22"/>
        </w:rPr>
        <w:t>.</w:t>
      </w:r>
    </w:p>
    <w:p w14:paraId="76AEB3E9"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Population and migration:</w:t>
      </w:r>
      <w:r w:rsidRPr="00980605">
        <w:rPr>
          <w:rFonts w:asciiTheme="minorHAnsi" w:hAnsiTheme="minorHAnsi"/>
          <w:sz w:val="22"/>
          <w:szCs w:val="22"/>
        </w:rPr>
        <w:t xml:space="preserve"> ABS </w:t>
      </w:r>
      <w:r w:rsidRPr="00980605">
        <w:rPr>
          <w:rStyle w:val="Emphasis"/>
          <w:rFonts w:asciiTheme="minorHAnsi" w:eastAsiaTheme="majorEastAsia" w:hAnsiTheme="minorHAnsi"/>
          <w:sz w:val="22"/>
          <w:szCs w:val="22"/>
        </w:rPr>
        <w:t>National, State and Territory Population</w:t>
      </w:r>
      <w:r w:rsidRPr="00980605">
        <w:rPr>
          <w:rFonts w:asciiTheme="minorHAnsi" w:hAnsiTheme="minorHAnsi"/>
          <w:sz w:val="22"/>
          <w:szCs w:val="22"/>
        </w:rPr>
        <w:t xml:space="preserve"> and </w:t>
      </w:r>
      <w:r w:rsidRPr="00980605">
        <w:rPr>
          <w:rStyle w:val="Emphasis"/>
          <w:rFonts w:asciiTheme="minorHAnsi" w:eastAsiaTheme="majorEastAsia" w:hAnsiTheme="minorHAnsi"/>
          <w:sz w:val="22"/>
          <w:szCs w:val="22"/>
        </w:rPr>
        <w:t>Overseas Migration</w:t>
      </w:r>
      <w:r w:rsidRPr="00980605">
        <w:rPr>
          <w:rFonts w:asciiTheme="minorHAnsi" w:hAnsiTheme="minorHAnsi"/>
          <w:sz w:val="22"/>
          <w:szCs w:val="22"/>
        </w:rPr>
        <w:t>.</w:t>
      </w:r>
    </w:p>
    <w:p w14:paraId="2738F2F9" w14:textId="77777777" w:rsidR="0073091C" w:rsidRPr="00980605" w:rsidRDefault="0073091C" w:rsidP="0073091C">
      <w:pPr>
        <w:pStyle w:val="NormalWeb"/>
        <w:numPr>
          <w:ilvl w:val="0"/>
          <w:numId w:val="44"/>
        </w:numPr>
        <w:rPr>
          <w:rFonts w:asciiTheme="minorHAnsi" w:hAnsiTheme="minorHAnsi"/>
          <w:sz w:val="22"/>
          <w:szCs w:val="22"/>
        </w:rPr>
      </w:pPr>
      <w:r w:rsidRPr="00980605">
        <w:rPr>
          <w:rStyle w:val="Strong"/>
          <w:rFonts w:asciiTheme="minorHAnsi" w:eastAsiaTheme="majorEastAsia" w:hAnsiTheme="minorHAnsi"/>
          <w:sz w:val="22"/>
          <w:szCs w:val="22"/>
        </w:rPr>
        <w:t>Housing supply and construction:</w:t>
      </w:r>
      <w:r w:rsidRPr="00980605">
        <w:rPr>
          <w:rFonts w:asciiTheme="minorHAnsi" w:hAnsiTheme="minorHAnsi"/>
          <w:sz w:val="22"/>
          <w:szCs w:val="22"/>
        </w:rPr>
        <w:t xml:space="preserve"> ABS </w:t>
      </w:r>
      <w:r w:rsidRPr="00980605">
        <w:rPr>
          <w:rStyle w:val="Emphasis"/>
          <w:rFonts w:asciiTheme="minorHAnsi" w:eastAsiaTheme="majorEastAsia" w:hAnsiTheme="minorHAnsi"/>
          <w:sz w:val="22"/>
          <w:szCs w:val="22"/>
        </w:rPr>
        <w:t>Building Approvals</w:t>
      </w:r>
      <w:r w:rsidRPr="00980605">
        <w:rPr>
          <w:rFonts w:asciiTheme="minorHAnsi" w:hAnsiTheme="minorHAnsi"/>
          <w:sz w:val="22"/>
          <w:szCs w:val="22"/>
        </w:rPr>
        <w:t xml:space="preserve"> and </w:t>
      </w:r>
      <w:r w:rsidRPr="00980605">
        <w:rPr>
          <w:rStyle w:val="Emphasis"/>
          <w:rFonts w:asciiTheme="minorHAnsi" w:eastAsiaTheme="majorEastAsia" w:hAnsiTheme="minorHAnsi"/>
          <w:sz w:val="22"/>
          <w:szCs w:val="22"/>
        </w:rPr>
        <w:t>Building Activity</w:t>
      </w:r>
      <w:r w:rsidRPr="00980605">
        <w:rPr>
          <w:rFonts w:asciiTheme="minorHAnsi" w:hAnsiTheme="minorHAnsi"/>
          <w:sz w:val="22"/>
          <w:szCs w:val="22"/>
        </w:rPr>
        <w:t xml:space="preserve"> (approvals, commencements, completions, supply-pipeline indicators).</w:t>
      </w:r>
    </w:p>
    <w:p w14:paraId="4ECE0190" w14:textId="43C210DD" w:rsidR="0073091C" w:rsidRPr="00980605" w:rsidRDefault="0073091C" w:rsidP="0073091C">
      <w:pPr>
        <w:pStyle w:val="NormalWeb"/>
        <w:rPr>
          <w:rFonts w:asciiTheme="minorHAnsi" w:hAnsiTheme="minorHAnsi"/>
          <w:sz w:val="22"/>
          <w:szCs w:val="22"/>
        </w:rPr>
      </w:pPr>
      <w:r w:rsidRPr="00980605">
        <w:rPr>
          <w:rStyle w:val="Strong"/>
          <w:rFonts w:asciiTheme="minorHAnsi" w:eastAsiaTheme="majorEastAsia" w:hAnsiTheme="minorHAnsi"/>
          <w:sz w:val="22"/>
          <w:szCs w:val="22"/>
        </w:rPr>
        <w:t>Variables</w:t>
      </w:r>
    </w:p>
    <w:tbl>
      <w:tblPr>
        <w:tblStyle w:val="TableGrid"/>
        <w:tblW w:w="0" w:type="auto"/>
        <w:tblLook w:val="04A0" w:firstRow="1" w:lastRow="0" w:firstColumn="1" w:lastColumn="0" w:noHBand="0" w:noVBand="1"/>
      </w:tblPr>
      <w:tblGrid>
        <w:gridCol w:w="1410"/>
        <w:gridCol w:w="2309"/>
        <w:gridCol w:w="5297"/>
      </w:tblGrid>
      <w:tr w:rsidR="0073091C" w:rsidRPr="00980605" w14:paraId="372B227F" w14:textId="77777777" w:rsidTr="0073091C">
        <w:tc>
          <w:tcPr>
            <w:tcW w:w="0" w:type="auto"/>
            <w:hideMark/>
          </w:tcPr>
          <w:p w14:paraId="501ED99D" w14:textId="77777777" w:rsidR="0073091C" w:rsidRPr="00980605" w:rsidRDefault="0073091C">
            <w:pPr>
              <w:jc w:val="center"/>
              <w:rPr>
                <w:rFonts w:asciiTheme="minorHAnsi" w:hAnsiTheme="minorHAnsi"/>
                <w:b/>
                <w:bCs/>
                <w:sz w:val="22"/>
                <w:szCs w:val="22"/>
              </w:rPr>
            </w:pPr>
            <w:r w:rsidRPr="00980605">
              <w:rPr>
                <w:rFonts w:asciiTheme="minorHAnsi" w:hAnsiTheme="minorHAnsi"/>
                <w:b/>
                <w:bCs/>
                <w:sz w:val="22"/>
                <w:szCs w:val="22"/>
              </w:rPr>
              <w:t>Role</w:t>
            </w:r>
          </w:p>
        </w:tc>
        <w:tc>
          <w:tcPr>
            <w:tcW w:w="0" w:type="auto"/>
            <w:hideMark/>
          </w:tcPr>
          <w:p w14:paraId="4A8F2FE1" w14:textId="77777777" w:rsidR="0073091C" w:rsidRPr="00980605" w:rsidRDefault="0073091C">
            <w:pPr>
              <w:jc w:val="center"/>
              <w:rPr>
                <w:rFonts w:asciiTheme="minorHAnsi" w:hAnsiTheme="minorHAnsi"/>
                <w:b/>
                <w:bCs/>
                <w:sz w:val="22"/>
                <w:szCs w:val="22"/>
              </w:rPr>
            </w:pPr>
            <w:r w:rsidRPr="00980605">
              <w:rPr>
                <w:rFonts w:asciiTheme="minorHAnsi" w:hAnsiTheme="minorHAnsi"/>
                <w:b/>
                <w:bCs/>
                <w:sz w:val="22"/>
                <w:szCs w:val="22"/>
              </w:rPr>
              <w:t>Variable (quarterly)</w:t>
            </w:r>
          </w:p>
        </w:tc>
        <w:tc>
          <w:tcPr>
            <w:tcW w:w="0" w:type="auto"/>
            <w:hideMark/>
          </w:tcPr>
          <w:p w14:paraId="722CAE64" w14:textId="77777777" w:rsidR="0073091C" w:rsidRPr="00980605" w:rsidRDefault="0073091C">
            <w:pPr>
              <w:jc w:val="center"/>
              <w:rPr>
                <w:rFonts w:asciiTheme="minorHAnsi" w:hAnsiTheme="minorHAnsi"/>
                <w:b/>
                <w:bCs/>
                <w:sz w:val="22"/>
                <w:szCs w:val="22"/>
              </w:rPr>
            </w:pPr>
            <w:r w:rsidRPr="00980605">
              <w:rPr>
                <w:rFonts w:asciiTheme="minorHAnsi" w:hAnsiTheme="minorHAnsi"/>
                <w:b/>
                <w:bCs/>
                <w:sz w:val="22"/>
                <w:szCs w:val="22"/>
              </w:rPr>
              <w:t>Notes</w:t>
            </w:r>
          </w:p>
        </w:tc>
      </w:tr>
      <w:tr w:rsidR="0073091C" w:rsidRPr="00980605" w14:paraId="59C58EF7" w14:textId="77777777" w:rsidTr="0073091C">
        <w:tc>
          <w:tcPr>
            <w:tcW w:w="0" w:type="auto"/>
            <w:hideMark/>
          </w:tcPr>
          <w:p w14:paraId="0CD738D5"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Dependent</w:t>
            </w:r>
          </w:p>
        </w:tc>
        <w:tc>
          <w:tcPr>
            <w:tcW w:w="0" w:type="auto"/>
            <w:hideMark/>
          </w:tcPr>
          <w:p w14:paraId="37ABFCED" w14:textId="77777777" w:rsidR="0073091C" w:rsidRPr="00980605" w:rsidRDefault="0073091C">
            <w:pPr>
              <w:rPr>
                <w:rFonts w:asciiTheme="minorHAnsi" w:hAnsiTheme="minorHAnsi"/>
                <w:sz w:val="22"/>
                <w:szCs w:val="22"/>
              </w:rPr>
            </w:pPr>
            <w:r w:rsidRPr="00980605">
              <w:rPr>
                <w:rFonts w:asciiTheme="minorHAnsi" w:hAnsiTheme="minorHAnsi"/>
                <w:sz w:val="22"/>
                <w:szCs w:val="22"/>
              </w:rPr>
              <w:t>Log real house price</w:t>
            </w:r>
          </w:p>
        </w:tc>
        <w:tc>
          <w:tcPr>
            <w:tcW w:w="0" w:type="auto"/>
            <w:hideMark/>
          </w:tcPr>
          <w:p w14:paraId="5C12D6C1" w14:textId="77777777" w:rsidR="0073091C" w:rsidRPr="00980605" w:rsidRDefault="0073091C">
            <w:pPr>
              <w:rPr>
                <w:rFonts w:asciiTheme="minorHAnsi" w:hAnsiTheme="minorHAnsi"/>
                <w:sz w:val="22"/>
                <w:szCs w:val="22"/>
              </w:rPr>
            </w:pPr>
            <w:r w:rsidRPr="00980605">
              <w:rPr>
                <w:rFonts w:asciiTheme="minorHAnsi" w:hAnsiTheme="minorHAnsi"/>
                <w:sz w:val="22"/>
                <w:szCs w:val="22"/>
              </w:rPr>
              <w:t>Log of RPPI, deflated to express changes in real terms.</w:t>
            </w:r>
          </w:p>
        </w:tc>
      </w:tr>
      <w:tr w:rsidR="0073091C" w:rsidRPr="00980605" w14:paraId="0987E026" w14:textId="77777777" w:rsidTr="0073091C">
        <w:tc>
          <w:tcPr>
            <w:tcW w:w="0" w:type="auto"/>
            <w:hideMark/>
          </w:tcPr>
          <w:p w14:paraId="0B0A864E"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2DCF1962" w14:textId="77777777" w:rsidR="0073091C" w:rsidRPr="00980605" w:rsidRDefault="0073091C">
            <w:pPr>
              <w:rPr>
                <w:rFonts w:asciiTheme="minorHAnsi" w:hAnsiTheme="minorHAnsi"/>
                <w:sz w:val="22"/>
                <w:szCs w:val="22"/>
              </w:rPr>
            </w:pPr>
            <w:r w:rsidRPr="00980605">
              <w:rPr>
                <w:rFonts w:asciiTheme="minorHAnsi" w:hAnsiTheme="minorHAnsi"/>
                <w:sz w:val="22"/>
                <w:szCs w:val="22"/>
              </w:rPr>
              <w:t>Cash rate</w:t>
            </w:r>
          </w:p>
        </w:tc>
        <w:tc>
          <w:tcPr>
            <w:tcW w:w="0" w:type="auto"/>
            <w:hideMark/>
          </w:tcPr>
          <w:p w14:paraId="7D0D7D2B" w14:textId="77777777" w:rsidR="0073091C" w:rsidRPr="00980605" w:rsidRDefault="0073091C">
            <w:pPr>
              <w:rPr>
                <w:rFonts w:asciiTheme="minorHAnsi" w:hAnsiTheme="minorHAnsi"/>
                <w:sz w:val="22"/>
                <w:szCs w:val="22"/>
              </w:rPr>
            </w:pPr>
            <w:r w:rsidRPr="00980605">
              <w:rPr>
                <w:rFonts w:asciiTheme="minorHAnsi" w:hAnsiTheme="minorHAnsi"/>
                <w:sz w:val="22"/>
                <w:szCs w:val="22"/>
              </w:rPr>
              <w:t>RBA cash rate (%).</w:t>
            </w:r>
          </w:p>
        </w:tc>
      </w:tr>
      <w:tr w:rsidR="0073091C" w:rsidRPr="00980605" w14:paraId="73C49528" w14:textId="77777777" w:rsidTr="0073091C">
        <w:tc>
          <w:tcPr>
            <w:tcW w:w="0" w:type="auto"/>
            <w:hideMark/>
          </w:tcPr>
          <w:p w14:paraId="3CAEB924"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160181C8" w14:textId="77777777" w:rsidR="0073091C" w:rsidRPr="00980605" w:rsidRDefault="0073091C">
            <w:pPr>
              <w:rPr>
                <w:rFonts w:asciiTheme="minorHAnsi" w:hAnsiTheme="minorHAnsi"/>
                <w:sz w:val="22"/>
                <w:szCs w:val="22"/>
              </w:rPr>
            </w:pPr>
            <w:r w:rsidRPr="00980605">
              <w:rPr>
                <w:rFonts w:asciiTheme="minorHAnsi" w:hAnsiTheme="minorHAnsi"/>
                <w:sz w:val="22"/>
                <w:szCs w:val="22"/>
              </w:rPr>
              <w:t>Unemployment rate</w:t>
            </w:r>
          </w:p>
        </w:tc>
        <w:tc>
          <w:tcPr>
            <w:tcW w:w="0" w:type="auto"/>
            <w:hideMark/>
          </w:tcPr>
          <w:p w14:paraId="52DC981E" w14:textId="77777777" w:rsidR="0073091C" w:rsidRPr="00980605" w:rsidRDefault="0073091C">
            <w:pPr>
              <w:rPr>
                <w:rFonts w:asciiTheme="minorHAnsi" w:hAnsiTheme="minorHAnsi"/>
                <w:sz w:val="22"/>
                <w:szCs w:val="22"/>
              </w:rPr>
            </w:pPr>
            <w:r w:rsidRPr="00980605">
              <w:rPr>
                <w:rFonts w:asciiTheme="minorHAnsi" w:hAnsiTheme="minorHAnsi"/>
                <w:sz w:val="22"/>
                <w:szCs w:val="22"/>
              </w:rPr>
              <w:t>ABS unemployment rate (%).</w:t>
            </w:r>
          </w:p>
        </w:tc>
      </w:tr>
      <w:tr w:rsidR="0073091C" w:rsidRPr="00980605" w14:paraId="5D8290A9" w14:textId="77777777" w:rsidTr="0073091C">
        <w:tc>
          <w:tcPr>
            <w:tcW w:w="0" w:type="auto"/>
            <w:hideMark/>
          </w:tcPr>
          <w:p w14:paraId="579B0CB3"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724321E4" w14:textId="77777777" w:rsidR="0073091C" w:rsidRPr="00980605" w:rsidRDefault="0073091C">
            <w:pPr>
              <w:rPr>
                <w:rFonts w:asciiTheme="minorHAnsi" w:hAnsiTheme="minorHAnsi"/>
                <w:sz w:val="22"/>
                <w:szCs w:val="22"/>
              </w:rPr>
            </w:pPr>
            <w:r w:rsidRPr="00980605">
              <w:rPr>
                <w:rFonts w:asciiTheme="minorHAnsi" w:hAnsiTheme="minorHAnsi"/>
                <w:sz w:val="22"/>
                <w:szCs w:val="22"/>
              </w:rPr>
              <w:t>Participation rate</w:t>
            </w:r>
          </w:p>
        </w:tc>
        <w:tc>
          <w:tcPr>
            <w:tcW w:w="0" w:type="auto"/>
            <w:hideMark/>
          </w:tcPr>
          <w:p w14:paraId="14781321" w14:textId="77777777" w:rsidR="0073091C" w:rsidRPr="00980605" w:rsidRDefault="0073091C">
            <w:pPr>
              <w:rPr>
                <w:rFonts w:asciiTheme="minorHAnsi" w:hAnsiTheme="minorHAnsi"/>
                <w:sz w:val="22"/>
                <w:szCs w:val="22"/>
              </w:rPr>
            </w:pPr>
            <w:r w:rsidRPr="00980605">
              <w:rPr>
                <w:rFonts w:asciiTheme="minorHAnsi" w:hAnsiTheme="minorHAnsi"/>
                <w:sz w:val="22"/>
                <w:szCs w:val="22"/>
              </w:rPr>
              <w:t>ABS labour force participation (%).</w:t>
            </w:r>
          </w:p>
        </w:tc>
      </w:tr>
      <w:tr w:rsidR="0073091C" w:rsidRPr="00980605" w14:paraId="63FED962" w14:textId="77777777" w:rsidTr="0073091C">
        <w:tc>
          <w:tcPr>
            <w:tcW w:w="0" w:type="auto"/>
            <w:hideMark/>
          </w:tcPr>
          <w:p w14:paraId="74F47BA8"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6238DB2F" w14:textId="77777777" w:rsidR="0073091C" w:rsidRPr="00980605" w:rsidRDefault="0073091C">
            <w:pPr>
              <w:rPr>
                <w:rFonts w:asciiTheme="minorHAnsi" w:hAnsiTheme="minorHAnsi"/>
                <w:sz w:val="22"/>
                <w:szCs w:val="22"/>
              </w:rPr>
            </w:pPr>
            <w:r w:rsidRPr="00980605">
              <w:rPr>
                <w:rFonts w:asciiTheme="minorHAnsi" w:hAnsiTheme="minorHAnsi"/>
                <w:sz w:val="22"/>
                <w:szCs w:val="22"/>
              </w:rPr>
              <w:t>Income</w:t>
            </w:r>
          </w:p>
        </w:tc>
        <w:tc>
          <w:tcPr>
            <w:tcW w:w="0" w:type="auto"/>
            <w:hideMark/>
          </w:tcPr>
          <w:p w14:paraId="3A3D7D5B" w14:textId="77777777" w:rsidR="0073091C" w:rsidRPr="00980605" w:rsidRDefault="0073091C">
            <w:pPr>
              <w:rPr>
                <w:rFonts w:asciiTheme="minorHAnsi" w:hAnsiTheme="minorHAnsi"/>
                <w:sz w:val="22"/>
                <w:szCs w:val="22"/>
              </w:rPr>
            </w:pPr>
            <w:r w:rsidRPr="00980605">
              <w:rPr>
                <w:rFonts w:asciiTheme="minorHAnsi" w:hAnsiTheme="minorHAnsi"/>
                <w:sz w:val="22"/>
                <w:szCs w:val="22"/>
              </w:rPr>
              <w:t>Household income per capita.</w:t>
            </w:r>
          </w:p>
        </w:tc>
      </w:tr>
      <w:tr w:rsidR="0073091C" w:rsidRPr="00980605" w14:paraId="3EC10AD9" w14:textId="77777777" w:rsidTr="0073091C">
        <w:tc>
          <w:tcPr>
            <w:tcW w:w="0" w:type="auto"/>
            <w:hideMark/>
          </w:tcPr>
          <w:p w14:paraId="42E66FD3"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1D5CC8B9" w14:textId="77777777" w:rsidR="0073091C" w:rsidRPr="00980605" w:rsidRDefault="0073091C">
            <w:pPr>
              <w:rPr>
                <w:rFonts w:asciiTheme="minorHAnsi" w:hAnsiTheme="minorHAnsi"/>
                <w:sz w:val="22"/>
                <w:szCs w:val="22"/>
              </w:rPr>
            </w:pPr>
            <w:r w:rsidRPr="00980605">
              <w:rPr>
                <w:rFonts w:asciiTheme="minorHAnsi" w:hAnsiTheme="minorHAnsi"/>
                <w:sz w:val="22"/>
                <w:szCs w:val="22"/>
              </w:rPr>
              <w:t>Wealth</w:t>
            </w:r>
          </w:p>
        </w:tc>
        <w:tc>
          <w:tcPr>
            <w:tcW w:w="0" w:type="auto"/>
            <w:hideMark/>
          </w:tcPr>
          <w:p w14:paraId="0B8D173C" w14:textId="77777777" w:rsidR="0073091C" w:rsidRPr="00980605" w:rsidRDefault="0073091C">
            <w:pPr>
              <w:rPr>
                <w:rFonts w:asciiTheme="minorHAnsi" w:hAnsiTheme="minorHAnsi"/>
                <w:sz w:val="22"/>
                <w:szCs w:val="22"/>
              </w:rPr>
            </w:pPr>
            <w:r w:rsidRPr="00980605">
              <w:rPr>
                <w:rFonts w:asciiTheme="minorHAnsi" w:hAnsiTheme="minorHAnsi"/>
                <w:sz w:val="22"/>
                <w:szCs w:val="22"/>
              </w:rPr>
              <w:t>Proxy for household net worth / dwelling wealth.</w:t>
            </w:r>
          </w:p>
        </w:tc>
      </w:tr>
      <w:tr w:rsidR="0073091C" w:rsidRPr="00980605" w14:paraId="45AF81E9" w14:textId="77777777" w:rsidTr="0073091C">
        <w:tc>
          <w:tcPr>
            <w:tcW w:w="0" w:type="auto"/>
            <w:hideMark/>
          </w:tcPr>
          <w:p w14:paraId="0ECA0D90"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Explanatory</w:t>
            </w:r>
          </w:p>
        </w:tc>
        <w:tc>
          <w:tcPr>
            <w:tcW w:w="0" w:type="auto"/>
            <w:hideMark/>
          </w:tcPr>
          <w:p w14:paraId="787701E9" w14:textId="77777777" w:rsidR="0073091C" w:rsidRPr="00980605" w:rsidRDefault="0073091C">
            <w:pPr>
              <w:rPr>
                <w:rFonts w:asciiTheme="minorHAnsi" w:hAnsiTheme="minorHAnsi"/>
                <w:sz w:val="22"/>
                <w:szCs w:val="22"/>
              </w:rPr>
            </w:pPr>
            <w:r w:rsidRPr="00980605">
              <w:rPr>
                <w:rFonts w:asciiTheme="minorHAnsi" w:hAnsiTheme="minorHAnsi"/>
                <w:sz w:val="22"/>
                <w:szCs w:val="22"/>
              </w:rPr>
              <w:t>Approvals / supply gap</w:t>
            </w:r>
          </w:p>
        </w:tc>
        <w:tc>
          <w:tcPr>
            <w:tcW w:w="0" w:type="auto"/>
            <w:hideMark/>
          </w:tcPr>
          <w:p w14:paraId="0891351E" w14:textId="77777777" w:rsidR="0073091C" w:rsidRPr="00980605" w:rsidRDefault="0073091C">
            <w:pPr>
              <w:rPr>
                <w:rFonts w:asciiTheme="minorHAnsi" w:hAnsiTheme="minorHAnsi"/>
                <w:sz w:val="22"/>
                <w:szCs w:val="22"/>
              </w:rPr>
            </w:pPr>
            <w:r w:rsidRPr="00980605">
              <w:rPr>
                <w:rFonts w:asciiTheme="minorHAnsi" w:hAnsiTheme="minorHAnsi"/>
                <w:sz w:val="22"/>
                <w:szCs w:val="22"/>
              </w:rPr>
              <w:t>Building approvals and supply-tightness indicators.</w:t>
            </w:r>
          </w:p>
        </w:tc>
      </w:tr>
      <w:tr w:rsidR="0073091C" w:rsidRPr="00980605" w14:paraId="3DE33587" w14:textId="77777777" w:rsidTr="0073091C">
        <w:tc>
          <w:tcPr>
            <w:tcW w:w="0" w:type="auto"/>
            <w:hideMark/>
          </w:tcPr>
          <w:p w14:paraId="7917A274" w14:textId="77777777" w:rsidR="0073091C" w:rsidRPr="00980605" w:rsidRDefault="0073091C">
            <w:pPr>
              <w:rPr>
                <w:rFonts w:asciiTheme="minorHAnsi" w:hAnsiTheme="minorHAnsi"/>
                <w:sz w:val="22"/>
                <w:szCs w:val="22"/>
              </w:rPr>
            </w:pPr>
            <w:r w:rsidRPr="00980605">
              <w:rPr>
                <w:rStyle w:val="Strong"/>
                <w:rFonts w:asciiTheme="minorHAnsi" w:eastAsiaTheme="majorEastAsia" w:hAnsiTheme="minorHAnsi"/>
                <w:sz w:val="22"/>
                <w:szCs w:val="22"/>
              </w:rPr>
              <w:t>Control</w:t>
            </w:r>
          </w:p>
        </w:tc>
        <w:tc>
          <w:tcPr>
            <w:tcW w:w="0" w:type="auto"/>
            <w:hideMark/>
          </w:tcPr>
          <w:p w14:paraId="1AC0420A" w14:textId="77777777" w:rsidR="0073091C" w:rsidRPr="00980605" w:rsidRDefault="0073091C">
            <w:pPr>
              <w:rPr>
                <w:rFonts w:asciiTheme="minorHAnsi" w:hAnsiTheme="minorHAnsi"/>
                <w:sz w:val="22"/>
                <w:szCs w:val="22"/>
              </w:rPr>
            </w:pPr>
            <w:r w:rsidRPr="00980605">
              <w:rPr>
                <w:rFonts w:asciiTheme="minorHAnsi" w:hAnsiTheme="minorHAnsi"/>
                <w:sz w:val="22"/>
                <w:szCs w:val="22"/>
              </w:rPr>
              <w:t>Population</w:t>
            </w:r>
          </w:p>
        </w:tc>
        <w:tc>
          <w:tcPr>
            <w:tcW w:w="0" w:type="auto"/>
            <w:hideMark/>
          </w:tcPr>
          <w:p w14:paraId="5CB243E3" w14:textId="77777777" w:rsidR="0073091C" w:rsidRPr="00980605" w:rsidRDefault="0073091C">
            <w:pPr>
              <w:rPr>
                <w:rFonts w:asciiTheme="minorHAnsi" w:hAnsiTheme="minorHAnsi"/>
                <w:sz w:val="22"/>
                <w:szCs w:val="22"/>
              </w:rPr>
            </w:pPr>
            <w:r w:rsidRPr="00980605">
              <w:rPr>
                <w:rFonts w:asciiTheme="minorHAnsi" w:hAnsiTheme="minorHAnsi"/>
                <w:sz w:val="22"/>
                <w:szCs w:val="22"/>
              </w:rPr>
              <w:t>Population levels or growth, capturing demand pressure.</w:t>
            </w:r>
          </w:p>
        </w:tc>
      </w:tr>
    </w:tbl>
    <w:p w14:paraId="41993ACA" w14:textId="230388FE"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lastRenderedPageBreak/>
        <w:t xml:space="preserve">In practice, the empirical models use </w:t>
      </w:r>
      <w:r w:rsidRPr="00980605">
        <w:rPr>
          <w:rStyle w:val="Strong"/>
          <w:rFonts w:asciiTheme="minorHAnsi" w:eastAsiaTheme="majorEastAsia" w:hAnsiTheme="minorHAnsi"/>
          <w:b w:val="0"/>
          <w:bCs w:val="0"/>
          <w:sz w:val="22"/>
          <w:szCs w:val="22"/>
        </w:rPr>
        <w:t>log transformations</w:t>
      </w:r>
      <w:r w:rsidRPr="00980605">
        <w:rPr>
          <w:rFonts w:asciiTheme="minorHAnsi" w:hAnsiTheme="minorHAnsi"/>
          <w:b/>
          <w:bCs/>
          <w:sz w:val="22"/>
          <w:szCs w:val="22"/>
        </w:rPr>
        <w:t xml:space="preserve">, </w:t>
      </w:r>
      <w:r w:rsidRPr="00980605">
        <w:rPr>
          <w:rStyle w:val="Strong"/>
          <w:rFonts w:asciiTheme="minorHAnsi" w:eastAsiaTheme="majorEastAsia" w:hAnsiTheme="minorHAnsi"/>
          <w:b w:val="0"/>
          <w:bCs w:val="0"/>
          <w:sz w:val="22"/>
          <w:szCs w:val="22"/>
        </w:rPr>
        <w:t>growth rates</w:t>
      </w:r>
      <w:r w:rsidRPr="00980605">
        <w:rPr>
          <w:rFonts w:asciiTheme="minorHAnsi" w:hAnsiTheme="minorHAnsi"/>
          <w:b/>
          <w:bCs/>
          <w:sz w:val="22"/>
          <w:szCs w:val="22"/>
        </w:rPr>
        <w:t xml:space="preserve">, </w:t>
      </w:r>
      <w:r w:rsidRPr="00980605">
        <w:rPr>
          <w:rStyle w:val="Strong"/>
          <w:rFonts w:asciiTheme="minorHAnsi" w:eastAsiaTheme="majorEastAsia" w:hAnsiTheme="minorHAnsi"/>
          <w:b w:val="0"/>
          <w:bCs w:val="0"/>
          <w:sz w:val="22"/>
          <w:szCs w:val="22"/>
        </w:rPr>
        <w:t>first differences</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interaction terms</w:t>
      </w:r>
      <w:r w:rsidRPr="00980605">
        <w:rPr>
          <w:rFonts w:asciiTheme="minorHAnsi" w:hAnsiTheme="minorHAnsi"/>
          <w:sz w:val="22"/>
          <w:szCs w:val="22"/>
        </w:rPr>
        <w:t xml:space="preserve"> (e.g. </w:t>
      </w:r>
      <w:r w:rsidRPr="00980605">
        <w:rPr>
          <w:rStyle w:val="Emphasis"/>
          <w:rFonts w:asciiTheme="minorHAnsi" w:eastAsiaTheme="majorEastAsia" w:hAnsiTheme="minorHAnsi"/>
          <w:sz w:val="22"/>
          <w:szCs w:val="22"/>
        </w:rPr>
        <w:t>cash rate × supply gap</w:t>
      </w:r>
      <w:r w:rsidRPr="00980605">
        <w:rPr>
          <w:rFonts w:asciiTheme="minorHAnsi" w:hAnsiTheme="minorHAnsi"/>
          <w:sz w:val="22"/>
          <w:szCs w:val="22"/>
        </w:rPr>
        <w:t>) constructed from the underlying series.</w:t>
      </w:r>
      <w:r w:rsidRPr="00980605">
        <w:rPr>
          <w:rFonts w:asciiTheme="minorHAnsi" w:hAnsiTheme="minorHAnsi"/>
          <w:sz w:val="22"/>
          <w:szCs w:val="22"/>
        </w:rPr>
        <w:br/>
        <w:t>A full variable list is provided in the data appendix / codebook.</w:t>
      </w:r>
    </w:p>
    <w:p w14:paraId="2E7126BC" w14:textId="165B8DB3" w:rsidR="0073091C" w:rsidRPr="00980605" w:rsidRDefault="008806D3" w:rsidP="0073091C">
      <w:pPr>
        <w:pStyle w:val="Heading3"/>
        <w:rPr>
          <w:rFonts w:asciiTheme="minorHAnsi" w:hAnsiTheme="minorHAnsi"/>
          <w:sz w:val="24"/>
          <w:szCs w:val="24"/>
        </w:rPr>
      </w:pPr>
      <w:r w:rsidRPr="00980605">
        <w:rPr>
          <w:rStyle w:val="Strong"/>
          <w:rFonts w:asciiTheme="minorHAnsi" w:hAnsiTheme="minorHAnsi"/>
          <w:b w:val="0"/>
          <w:bCs w:val="0"/>
          <w:sz w:val="24"/>
          <w:szCs w:val="24"/>
        </w:rPr>
        <w:t>2</w:t>
      </w:r>
      <w:r w:rsidR="0073091C" w:rsidRPr="00980605">
        <w:rPr>
          <w:rStyle w:val="Strong"/>
          <w:rFonts w:asciiTheme="minorHAnsi" w:hAnsiTheme="minorHAnsi"/>
          <w:b w:val="0"/>
          <w:bCs w:val="0"/>
          <w:sz w:val="24"/>
          <w:szCs w:val="24"/>
        </w:rPr>
        <w:t>.2 Methodology</w:t>
      </w:r>
    </w:p>
    <w:p w14:paraId="66105EEF" w14:textId="77777777" w:rsidR="0073091C" w:rsidRPr="00980605" w:rsidRDefault="0073091C" w:rsidP="0073091C">
      <w:pPr>
        <w:pStyle w:val="Heading4"/>
        <w:rPr>
          <w:rFonts w:asciiTheme="minorHAnsi" w:hAnsiTheme="minorHAnsi"/>
          <w:sz w:val="22"/>
          <w:szCs w:val="22"/>
        </w:rPr>
      </w:pPr>
      <w:r w:rsidRPr="00980605">
        <w:rPr>
          <w:rStyle w:val="Strong"/>
          <w:rFonts w:asciiTheme="minorHAnsi" w:hAnsiTheme="minorHAnsi"/>
          <w:b w:val="0"/>
          <w:bCs w:val="0"/>
          <w:sz w:val="22"/>
          <w:szCs w:val="22"/>
        </w:rPr>
        <w:t>Phase 1 — Dynamic responses (ARDL / distributed-lag models)</w:t>
      </w:r>
    </w:p>
    <w:p w14:paraId="1D16DD54"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 xml:space="preserve">These models trace </w:t>
      </w:r>
      <w:r w:rsidRPr="00980605">
        <w:rPr>
          <w:rStyle w:val="Strong"/>
          <w:rFonts w:asciiTheme="minorHAnsi" w:eastAsiaTheme="majorEastAsia" w:hAnsiTheme="minorHAnsi"/>
          <w:b w:val="0"/>
          <w:bCs w:val="0"/>
          <w:sz w:val="22"/>
          <w:szCs w:val="22"/>
        </w:rPr>
        <w:t>how macro shocks propagate over future quarters</w:t>
      </w:r>
      <w:r w:rsidRPr="00980605">
        <w:rPr>
          <w:rFonts w:asciiTheme="minorHAnsi" w:hAnsiTheme="minorHAnsi"/>
          <w:b/>
          <w:bCs/>
          <w:sz w:val="22"/>
          <w:szCs w:val="22"/>
        </w:rPr>
        <w:t>.</w:t>
      </w:r>
      <w:r w:rsidRPr="00980605">
        <w:rPr>
          <w:rFonts w:asciiTheme="minorHAnsi" w:hAnsiTheme="minorHAnsi"/>
          <w:sz w:val="22"/>
          <w:szCs w:val="22"/>
        </w:rPr>
        <w:t xml:space="preserve"> Current house prices depend on:</w:t>
      </w:r>
    </w:p>
    <w:p w14:paraId="1135A594" w14:textId="1E09C138" w:rsidR="0073091C" w:rsidRPr="00980605" w:rsidRDefault="00BB052F" w:rsidP="0073091C">
      <w:pPr>
        <w:pStyle w:val="NormalWeb"/>
        <w:numPr>
          <w:ilvl w:val="0"/>
          <w:numId w:val="45"/>
        </w:numPr>
        <w:rPr>
          <w:rFonts w:asciiTheme="minorHAnsi" w:hAnsiTheme="minorHAnsi"/>
          <w:sz w:val="22"/>
          <w:szCs w:val="22"/>
        </w:rPr>
      </w:pPr>
      <w:r w:rsidRPr="00980605">
        <w:rPr>
          <w:rFonts w:asciiTheme="minorHAnsi" w:hAnsiTheme="minorHAnsi" w:hint="eastAsia"/>
          <w:sz w:val="22"/>
          <w:szCs w:val="22"/>
        </w:rPr>
        <w:t>T</w:t>
      </w:r>
      <w:r w:rsidR="0073091C" w:rsidRPr="00980605">
        <w:rPr>
          <w:rFonts w:asciiTheme="minorHAnsi" w:hAnsiTheme="minorHAnsi"/>
          <w:sz w:val="22"/>
          <w:szCs w:val="22"/>
        </w:rPr>
        <w:t xml:space="preserve">heir </w:t>
      </w:r>
      <w:r w:rsidR="0073091C" w:rsidRPr="00980605">
        <w:rPr>
          <w:rStyle w:val="Strong"/>
          <w:rFonts w:asciiTheme="minorHAnsi" w:eastAsiaTheme="majorEastAsia" w:hAnsiTheme="minorHAnsi"/>
          <w:b w:val="0"/>
          <w:bCs w:val="0"/>
          <w:sz w:val="22"/>
          <w:szCs w:val="22"/>
        </w:rPr>
        <w:t>own lags</w:t>
      </w:r>
      <w:r w:rsidR="0073091C" w:rsidRPr="00980605">
        <w:rPr>
          <w:rFonts w:asciiTheme="minorHAnsi" w:hAnsiTheme="minorHAnsi"/>
          <w:sz w:val="22"/>
          <w:szCs w:val="22"/>
        </w:rPr>
        <w:t xml:space="preserve"> (capturing persistence), and</w:t>
      </w:r>
    </w:p>
    <w:p w14:paraId="521DCBDF" w14:textId="77777777" w:rsidR="0073091C" w:rsidRPr="00980605" w:rsidRDefault="0073091C" w:rsidP="0073091C">
      <w:pPr>
        <w:pStyle w:val="NormalWeb"/>
        <w:numPr>
          <w:ilvl w:val="0"/>
          <w:numId w:val="45"/>
        </w:numPr>
        <w:rPr>
          <w:rFonts w:asciiTheme="minorHAnsi" w:hAnsiTheme="minorHAnsi"/>
          <w:sz w:val="22"/>
          <w:szCs w:val="22"/>
        </w:rPr>
      </w:pPr>
      <w:r w:rsidRPr="00980605">
        <w:rPr>
          <w:rStyle w:val="Strong"/>
          <w:rFonts w:asciiTheme="minorHAnsi" w:eastAsiaTheme="majorEastAsia" w:hAnsiTheme="minorHAnsi"/>
          <w:b w:val="0"/>
          <w:bCs w:val="0"/>
          <w:sz w:val="22"/>
          <w:szCs w:val="22"/>
        </w:rPr>
        <w:t>current and lagged macro variables</w:t>
      </w:r>
      <w:r w:rsidRPr="00980605">
        <w:rPr>
          <w:rFonts w:asciiTheme="minorHAnsi" w:hAnsiTheme="minorHAnsi"/>
          <w:b/>
          <w:bCs/>
          <w:sz w:val="22"/>
          <w:szCs w:val="22"/>
        </w:rPr>
        <w:t xml:space="preserve"> </w:t>
      </w:r>
      <w:r w:rsidRPr="00980605">
        <w:rPr>
          <w:rFonts w:asciiTheme="minorHAnsi" w:hAnsiTheme="minorHAnsi"/>
          <w:sz w:val="22"/>
          <w:szCs w:val="22"/>
        </w:rPr>
        <w:t>such as the cash rate, unemployment and participation.</w:t>
      </w:r>
    </w:p>
    <w:p w14:paraId="5C231130"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From these models, I estimate:</w:t>
      </w:r>
    </w:p>
    <w:p w14:paraId="48573CD9" w14:textId="77777777" w:rsidR="0073091C" w:rsidRPr="00980605" w:rsidRDefault="0073091C" w:rsidP="0073091C">
      <w:pPr>
        <w:pStyle w:val="NormalWeb"/>
        <w:numPr>
          <w:ilvl w:val="0"/>
          <w:numId w:val="46"/>
        </w:numPr>
        <w:rPr>
          <w:rFonts w:asciiTheme="minorHAnsi" w:hAnsiTheme="minorHAnsi"/>
          <w:sz w:val="22"/>
          <w:szCs w:val="22"/>
        </w:rPr>
      </w:pPr>
      <w:r w:rsidRPr="00980605">
        <w:rPr>
          <w:rStyle w:val="Strong"/>
          <w:rFonts w:asciiTheme="minorHAnsi" w:eastAsiaTheme="majorEastAsia" w:hAnsiTheme="minorHAnsi"/>
          <w:sz w:val="22"/>
          <w:szCs w:val="22"/>
        </w:rPr>
        <w:t>Short-run effects:</w:t>
      </w:r>
      <w:r w:rsidRPr="00980605">
        <w:rPr>
          <w:rFonts w:asciiTheme="minorHAnsi" w:hAnsiTheme="minorHAnsi"/>
          <w:sz w:val="22"/>
          <w:szCs w:val="22"/>
        </w:rPr>
        <w:t xml:space="preserve"> immediate responses in the first 1–2 </w:t>
      </w:r>
      <w:proofErr w:type="gramStart"/>
      <w:r w:rsidRPr="00980605">
        <w:rPr>
          <w:rFonts w:asciiTheme="minorHAnsi" w:hAnsiTheme="minorHAnsi"/>
          <w:sz w:val="22"/>
          <w:szCs w:val="22"/>
        </w:rPr>
        <w:t>quarters;</w:t>
      </w:r>
      <w:proofErr w:type="gramEnd"/>
    </w:p>
    <w:p w14:paraId="55C62593" w14:textId="77777777" w:rsidR="0073091C" w:rsidRPr="00980605" w:rsidRDefault="0073091C" w:rsidP="0073091C">
      <w:pPr>
        <w:pStyle w:val="NormalWeb"/>
        <w:numPr>
          <w:ilvl w:val="0"/>
          <w:numId w:val="46"/>
        </w:numPr>
        <w:rPr>
          <w:rFonts w:asciiTheme="minorHAnsi" w:hAnsiTheme="minorHAnsi"/>
          <w:sz w:val="22"/>
          <w:szCs w:val="22"/>
        </w:rPr>
      </w:pPr>
      <w:r w:rsidRPr="00980605">
        <w:rPr>
          <w:rStyle w:val="Strong"/>
          <w:rFonts w:asciiTheme="minorHAnsi" w:eastAsiaTheme="majorEastAsia" w:hAnsiTheme="minorHAnsi"/>
          <w:sz w:val="22"/>
          <w:szCs w:val="22"/>
        </w:rPr>
        <w:t>Long-run effects:</w:t>
      </w:r>
      <w:r w:rsidRPr="00980605">
        <w:rPr>
          <w:rFonts w:asciiTheme="minorHAnsi" w:hAnsiTheme="minorHAnsi"/>
          <w:sz w:val="22"/>
          <w:szCs w:val="22"/>
        </w:rPr>
        <w:t xml:space="preserve"> the eventual impact after all </w:t>
      </w:r>
      <w:proofErr w:type="gramStart"/>
      <w:r w:rsidRPr="00980605">
        <w:rPr>
          <w:rFonts w:asciiTheme="minorHAnsi" w:hAnsiTheme="minorHAnsi"/>
          <w:sz w:val="22"/>
          <w:szCs w:val="22"/>
        </w:rPr>
        <w:t>adjustments;</w:t>
      </w:r>
      <w:proofErr w:type="gramEnd"/>
    </w:p>
    <w:p w14:paraId="2D9C62F4" w14:textId="77777777" w:rsidR="0073091C" w:rsidRPr="00980605" w:rsidRDefault="0073091C" w:rsidP="0073091C">
      <w:pPr>
        <w:pStyle w:val="NormalWeb"/>
        <w:numPr>
          <w:ilvl w:val="0"/>
          <w:numId w:val="46"/>
        </w:numPr>
        <w:rPr>
          <w:rFonts w:asciiTheme="minorHAnsi" w:hAnsiTheme="minorHAnsi"/>
          <w:sz w:val="22"/>
          <w:szCs w:val="22"/>
        </w:rPr>
      </w:pPr>
      <w:r w:rsidRPr="00980605">
        <w:rPr>
          <w:rStyle w:val="Strong"/>
          <w:rFonts w:asciiTheme="minorHAnsi" w:eastAsiaTheme="majorEastAsia" w:hAnsiTheme="minorHAnsi"/>
          <w:sz w:val="22"/>
          <w:szCs w:val="22"/>
        </w:rPr>
        <w:t>Cumulative effects:</w:t>
      </w:r>
      <w:r w:rsidRPr="00980605">
        <w:rPr>
          <w:rFonts w:asciiTheme="minorHAnsi" w:hAnsiTheme="minorHAnsi"/>
          <w:sz w:val="22"/>
          <w:szCs w:val="22"/>
        </w:rPr>
        <w:t xml:space="preserve"> the total price response over a given horizon (e.g., 1–2 years).</w:t>
      </w:r>
    </w:p>
    <w:p w14:paraId="638CE95B"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 xml:space="preserve">This “shock-and-response” framework gives clear answers to </w:t>
      </w:r>
      <w:r w:rsidRPr="00980605">
        <w:rPr>
          <w:rStyle w:val="Strong"/>
          <w:rFonts w:asciiTheme="minorHAnsi" w:eastAsiaTheme="majorEastAsia" w:hAnsiTheme="minorHAnsi"/>
          <w:b w:val="0"/>
          <w:bCs w:val="0"/>
          <w:sz w:val="22"/>
          <w:szCs w:val="22"/>
        </w:rPr>
        <w:t>“How big?”</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“How fast?”</w:t>
      </w:r>
      <w:r w:rsidRPr="00980605">
        <w:rPr>
          <w:rFonts w:asciiTheme="minorHAnsi" w:hAnsiTheme="minorHAnsi"/>
          <w:sz w:val="22"/>
          <w:szCs w:val="22"/>
        </w:rPr>
        <w:t xml:space="preserve"> macro variables affect house prices.</w:t>
      </w:r>
    </w:p>
    <w:p w14:paraId="2FE1232C" w14:textId="77777777" w:rsidR="0073091C" w:rsidRPr="00980605" w:rsidRDefault="0073091C" w:rsidP="0073091C">
      <w:pPr>
        <w:pStyle w:val="Heading4"/>
        <w:rPr>
          <w:rFonts w:asciiTheme="minorHAnsi" w:hAnsiTheme="minorHAnsi"/>
          <w:sz w:val="22"/>
          <w:szCs w:val="22"/>
        </w:rPr>
      </w:pPr>
      <w:r w:rsidRPr="00980605">
        <w:rPr>
          <w:rStyle w:val="Strong"/>
          <w:rFonts w:asciiTheme="minorHAnsi" w:hAnsiTheme="minorHAnsi"/>
          <w:b w:val="0"/>
          <w:bCs w:val="0"/>
          <w:sz w:val="22"/>
          <w:szCs w:val="22"/>
        </w:rPr>
        <w:t>Phase 2 — Long-run levels (fixed-effects panel model)</w:t>
      </w:r>
    </w:p>
    <w:p w14:paraId="6B0F2407"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A two-city panel (Sydney, Melbourne) is estimated with:</w:t>
      </w:r>
    </w:p>
    <w:p w14:paraId="3EE6009A" w14:textId="77777777" w:rsidR="0073091C" w:rsidRPr="00980605" w:rsidRDefault="0073091C" w:rsidP="0073091C">
      <w:pPr>
        <w:pStyle w:val="NormalWeb"/>
        <w:numPr>
          <w:ilvl w:val="0"/>
          <w:numId w:val="47"/>
        </w:numPr>
        <w:rPr>
          <w:rFonts w:asciiTheme="minorHAnsi" w:hAnsiTheme="minorHAnsi"/>
          <w:sz w:val="22"/>
          <w:szCs w:val="22"/>
        </w:rPr>
      </w:pPr>
      <w:r w:rsidRPr="00980605">
        <w:rPr>
          <w:rStyle w:val="Strong"/>
          <w:rFonts w:asciiTheme="minorHAnsi" w:eastAsiaTheme="majorEastAsia" w:hAnsiTheme="minorHAnsi"/>
          <w:sz w:val="22"/>
          <w:szCs w:val="22"/>
        </w:rPr>
        <w:t>State fixed effects:</w:t>
      </w:r>
      <w:r w:rsidRPr="00980605">
        <w:rPr>
          <w:rFonts w:asciiTheme="minorHAnsi" w:hAnsiTheme="minorHAnsi"/>
          <w:sz w:val="22"/>
          <w:szCs w:val="22"/>
        </w:rPr>
        <w:t xml:space="preserve"> controlling for permanent city differences (geography, planning regimes, long-run economic structure).</w:t>
      </w:r>
    </w:p>
    <w:p w14:paraId="18B1E88B" w14:textId="77777777" w:rsidR="0073091C" w:rsidRPr="00980605" w:rsidRDefault="0073091C" w:rsidP="0073091C">
      <w:pPr>
        <w:pStyle w:val="NormalWeb"/>
        <w:numPr>
          <w:ilvl w:val="0"/>
          <w:numId w:val="47"/>
        </w:numPr>
        <w:rPr>
          <w:rFonts w:asciiTheme="minorHAnsi" w:hAnsiTheme="minorHAnsi"/>
          <w:sz w:val="22"/>
          <w:szCs w:val="22"/>
        </w:rPr>
      </w:pPr>
      <w:r w:rsidRPr="00980605">
        <w:rPr>
          <w:rStyle w:val="Strong"/>
          <w:rFonts w:asciiTheme="minorHAnsi" w:eastAsiaTheme="majorEastAsia" w:hAnsiTheme="minorHAnsi"/>
          <w:sz w:val="22"/>
          <w:szCs w:val="22"/>
        </w:rPr>
        <w:t>Time fixed effects:</w:t>
      </w:r>
      <w:r w:rsidRPr="00980605">
        <w:rPr>
          <w:rFonts w:asciiTheme="minorHAnsi" w:hAnsiTheme="minorHAnsi"/>
          <w:sz w:val="22"/>
          <w:szCs w:val="22"/>
        </w:rPr>
        <w:t xml:space="preserve"> absorbing national and global shocks affecting both markets.</w:t>
      </w:r>
    </w:p>
    <w:p w14:paraId="7C32D2BE" w14:textId="607593A2" w:rsidR="0073091C" w:rsidRPr="00980605" w:rsidRDefault="0073091C" w:rsidP="0073091C">
      <w:pPr>
        <w:pStyle w:val="NormalWeb"/>
        <w:rPr>
          <w:rFonts w:asciiTheme="minorHAnsi" w:hAnsiTheme="minorHAnsi"/>
          <w:sz w:val="22"/>
          <w:szCs w:val="22"/>
        </w:rPr>
      </w:pPr>
      <w:r w:rsidRPr="00980605">
        <w:rPr>
          <w:rFonts w:asciiTheme="minorHAnsi" w:hAnsiTheme="minorHAnsi"/>
          <w:b/>
          <w:bCs/>
          <w:sz w:val="22"/>
          <w:szCs w:val="22"/>
        </w:rPr>
        <w:t>The model asks:</w:t>
      </w:r>
      <w:r w:rsidR="00BB052F" w:rsidRPr="00980605">
        <w:rPr>
          <w:rFonts w:asciiTheme="minorHAnsi" w:hAnsiTheme="minorHAnsi" w:hint="eastAsia"/>
          <w:sz w:val="22"/>
          <w:szCs w:val="22"/>
        </w:rPr>
        <w:t xml:space="preserve"> </w:t>
      </w:r>
      <w:r w:rsidRPr="00980605">
        <w:rPr>
          <w:rStyle w:val="Strong"/>
          <w:rFonts w:asciiTheme="minorHAnsi" w:eastAsiaTheme="majorEastAsia" w:hAnsiTheme="minorHAnsi"/>
          <w:b w:val="0"/>
          <w:bCs w:val="0"/>
          <w:sz w:val="22"/>
          <w:szCs w:val="22"/>
        </w:rPr>
        <w:t>Holding constant structural city traits and common shocks, which macro variables are systematically associated with higher or lower real house prices?</w:t>
      </w:r>
    </w:p>
    <w:p w14:paraId="44CBB058"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This framework identifies robust relationships (e.g., unemployment → lower prices; interest rates × supply tightness → amplified price movements).</w:t>
      </w:r>
    </w:p>
    <w:p w14:paraId="5538FA68" w14:textId="57F3A1D3" w:rsidR="0073091C" w:rsidRPr="00980605" w:rsidRDefault="0073091C" w:rsidP="0073091C">
      <w:pPr>
        <w:pStyle w:val="Heading4"/>
        <w:rPr>
          <w:rFonts w:asciiTheme="minorHAnsi" w:hAnsiTheme="minorHAnsi"/>
          <w:sz w:val="22"/>
          <w:szCs w:val="22"/>
        </w:rPr>
      </w:pPr>
      <w:r w:rsidRPr="00980605">
        <w:rPr>
          <w:rStyle w:val="Strong"/>
          <w:rFonts w:asciiTheme="minorHAnsi" w:hAnsiTheme="minorHAnsi"/>
          <w:b w:val="0"/>
          <w:bCs w:val="0"/>
          <w:sz w:val="22"/>
          <w:szCs w:val="22"/>
        </w:rPr>
        <w:t>Estimation details</w:t>
      </w:r>
    </w:p>
    <w:p w14:paraId="05EB4AD7" w14:textId="77777777" w:rsidR="0073091C" w:rsidRPr="00980605" w:rsidRDefault="0073091C" w:rsidP="0073091C">
      <w:pPr>
        <w:pStyle w:val="NormalWeb"/>
        <w:rPr>
          <w:rFonts w:asciiTheme="minorHAnsi" w:hAnsiTheme="minorHAnsi"/>
          <w:sz w:val="22"/>
          <w:szCs w:val="22"/>
        </w:rPr>
      </w:pPr>
      <w:r w:rsidRPr="00980605">
        <w:rPr>
          <w:rFonts w:asciiTheme="minorHAnsi" w:hAnsiTheme="minorHAnsi"/>
          <w:sz w:val="22"/>
          <w:szCs w:val="22"/>
        </w:rPr>
        <w:t>To keep the analysis rigorous but non-technical:</w:t>
      </w:r>
    </w:p>
    <w:p w14:paraId="2EA2D287" w14:textId="77777777" w:rsidR="0073091C" w:rsidRPr="00980605" w:rsidRDefault="0073091C" w:rsidP="0073091C">
      <w:pPr>
        <w:pStyle w:val="NormalWeb"/>
        <w:numPr>
          <w:ilvl w:val="0"/>
          <w:numId w:val="48"/>
        </w:numPr>
        <w:rPr>
          <w:rFonts w:asciiTheme="minorHAnsi" w:hAnsiTheme="minorHAnsi"/>
          <w:sz w:val="22"/>
          <w:szCs w:val="22"/>
        </w:rPr>
      </w:pPr>
      <w:r w:rsidRPr="00980605">
        <w:rPr>
          <w:rFonts w:asciiTheme="minorHAnsi" w:hAnsiTheme="minorHAnsi"/>
          <w:sz w:val="22"/>
          <w:szCs w:val="22"/>
        </w:rPr>
        <w:t>Time-series properties (trend vs stationarity) were checked to determine appropriate transformations.</w:t>
      </w:r>
    </w:p>
    <w:p w14:paraId="37735644" w14:textId="6141D7AB" w:rsidR="0073091C" w:rsidRPr="00980605" w:rsidRDefault="0073091C" w:rsidP="0073091C">
      <w:pPr>
        <w:pStyle w:val="NormalWeb"/>
        <w:numPr>
          <w:ilvl w:val="0"/>
          <w:numId w:val="48"/>
        </w:numPr>
        <w:rPr>
          <w:rFonts w:asciiTheme="minorHAnsi" w:hAnsiTheme="minorHAnsi"/>
          <w:b/>
          <w:bCs/>
          <w:sz w:val="22"/>
          <w:szCs w:val="22"/>
        </w:rPr>
      </w:pPr>
      <w:r w:rsidRPr="00980605">
        <w:rPr>
          <w:rFonts w:asciiTheme="minorHAnsi" w:hAnsiTheme="minorHAnsi"/>
          <w:sz w:val="22"/>
          <w:szCs w:val="22"/>
        </w:rPr>
        <w:t xml:space="preserve">Lag lengths were selected using </w:t>
      </w:r>
      <w:r w:rsidRPr="00980605">
        <w:rPr>
          <w:rStyle w:val="Strong"/>
          <w:rFonts w:asciiTheme="minorHAnsi" w:eastAsiaTheme="majorEastAsia" w:hAnsiTheme="minorHAnsi"/>
          <w:b w:val="0"/>
          <w:bCs w:val="0"/>
          <w:sz w:val="22"/>
          <w:szCs w:val="22"/>
        </w:rPr>
        <w:t>information criteria</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economic judgement</w:t>
      </w:r>
      <w:r w:rsidR="00BB052F" w:rsidRPr="00980605">
        <w:rPr>
          <w:rFonts w:ascii="Batang" w:eastAsia="Batang" w:hAnsi="Batang" w:cs="Batang" w:hint="eastAsia"/>
          <w:b/>
          <w:bCs/>
          <w:sz w:val="22"/>
          <w:szCs w:val="22"/>
        </w:rPr>
        <w:t>.</w:t>
      </w:r>
    </w:p>
    <w:p w14:paraId="5EC144A5" w14:textId="77777777" w:rsidR="0073091C" w:rsidRPr="00980605" w:rsidRDefault="0073091C" w:rsidP="0073091C">
      <w:pPr>
        <w:pStyle w:val="NormalWeb"/>
        <w:numPr>
          <w:ilvl w:val="0"/>
          <w:numId w:val="48"/>
        </w:numPr>
        <w:rPr>
          <w:rFonts w:asciiTheme="minorHAnsi" w:hAnsiTheme="minorHAnsi"/>
          <w:sz w:val="22"/>
          <w:szCs w:val="22"/>
        </w:rPr>
      </w:pPr>
      <w:r w:rsidRPr="00980605">
        <w:rPr>
          <w:rFonts w:asciiTheme="minorHAnsi" w:hAnsiTheme="minorHAnsi"/>
          <w:sz w:val="22"/>
          <w:szCs w:val="22"/>
        </w:rPr>
        <w:t xml:space="preserve">Interpretation prioritises </w:t>
      </w:r>
      <w:r w:rsidRPr="00980605">
        <w:rPr>
          <w:rStyle w:val="Strong"/>
          <w:rFonts w:asciiTheme="minorHAnsi" w:eastAsiaTheme="majorEastAsia" w:hAnsiTheme="minorHAnsi"/>
          <w:b w:val="0"/>
          <w:bCs w:val="0"/>
          <w:sz w:val="22"/>
          <w:szCs w:val="22"/>
        </w:rPr>
        <w:t>economic magnitude and direction</w:t>
      </w:r>
      <w:r w:rsidRPr="00980605">
        <w:rPr>
          <w:rFonts w:asciiTheme="minorHAnsi" w:hAnsiTheme="minorHAnsi"/>
          <w:sz w:val="22"/>
          <w:szCs w:val="22"/>
        </w:rPr>
        <w:t>, not p-values alone.</w:t>
      </w:r>
    </w:p>
    <w:p w14:paraId="36174673" w14:textId="31FDF6A3" w:rsidR="0026229A" w:rsidRPr="00980605" w:rsidRDefault="008806D3" w:rsidP="0026229A">
      <w:pPr>
        <w:pStyle w:val="Heading2"/>
        <w:rPr>
          <w:rFonts w:asciiTheme="minorHAnsi" w:hAnsiTheme="minorHAnsi"/>
          <w:sz w:val="28"/>
          <w:szCs w:val="28"/>
        </w:rPr>
      </w:pPr>
      <w:r w:rsidRPr="00980605">
        <w:rPr>
          <w:rFonts w:asciiTheme="minorHAnsi" w:hAnsiTheme="minorHAnsi"/>
          <w:sz w:val="28"/>
          <w:szCs w:val="28"/>
        </w:rPr>
        <w:t>3</w:t>
      </w:r>
      <w:r w:rsidR="0026229A" w:rsidRPr="00980605">
        <w:rPr>
          <w:rFonts w:asciiTheme="minorHAnsi" w:hAnsiTheme="minorHAnsi"/>
          <w:sz w:val="28"/>
          <w:szCs w:val="28"/>
        </w:rPr>
        <w:t>. Empirical results</w:t>
      </w:r>
    </w:p>
    <w:p w14:paraId="4C74D4F6" w14:textId="40D1C24B" w:rsidR="0026229A" w:rsidRPr="0026229A" w:rsidRDefault="00025F66" w:rsidP="00025F66">
      <w:pPr>
        <w:pStyle w:val="NormalWeb"/>
        <w:rPr>
          <w:rFonts w:asciiTheme="minorHAnsi" w:hAnsiTheme="minorHAnsi"/>
          <w:sz w:val="22"/>
          <w:szCs w:val="22"/>
        </w:rPr>
      </w:pPr>
      <w:r w:rsidRPr="00980605">
        <w:rPr>
          <w:rFonts w:asciiTheme="minorHAnsi" w:hAnsiTheme="minorHAnsi"/>
          <w:sz w:val="22"/>
          <w:szCs w:val="22"/>
        </w:rPr>
        <w:t xml:space="preserve">This section summarises how interest rates, labour-market conditions and income and wealth are related to house prices in Sydney and Melbourne over time. Using time-series models, it </w:t>
      </w:r>
      <w:r w:rsidRPr="00980605">
        <w:rPr>
          <w:rFonts w:asciiTheme="minorHAnsi" w:hAnsiTheme="minorHAnsi"/>
          <w:sz w:val="22"/>
          <w:szCs w:val="22"/>
        </w:rPr>
        <w:lastRenderedPageBreak/>
        <w:t>first tracks how prices respond to changes in the cash rate and labour-market indicators from quarter to quarter. It then uses a fixed-effects model to examine how levels of these variables are associated with house price levels once we control for broad differences between cities and for nationwide shocks. Together, these models show that monetary policy and labour-market tightness are the main drivers of short-run price movements, while other factors play smaller roles.</w:t>
      </w:r>
    </w:p>
    <w:p w14:paraId="391AC6E5" w14:textId="48DA3F40" w:rsidR="0026229A" w:rsidRPr="00980605" w:rsidRDefault="008806D3" w:rsidP="0026229A">
      <w:pPr>
        <w:pStyle w:val="Heading3"/>
        <w:rPr>
          <w:rFonts w:asciiTheme="minorHAnsi" w:hAnsiTheme="minorHAnsi"/>
          <w:sz w:val="24"/>
          <w:szCs w:val="24"/>
        </w:rPr>
      </w:pPr>
      <w:r w:rsidRPr="00980605">
        <w:rPr>
          <w:rFonts w:asciiTheme="minorHAnsi" w:hAnsiTheme="minorHAnsi"/>
          <w:sz w:val="24"/>
          <w:szCs w:val="24"/>
        </w:rPr>
        <w:t>3</w:t>
      </w:r>
      <w:r w:rsidR="0026229A" w:rsidRPr="00980605">
        <w:rPr>
          <w:rFonts w:asciiTheme="minorHAnsi" w:hAnsiTheme="minorHAnsi"/>
          <w:sz w:val="24"/>
          <w:szCs w:val="24"/>
        </w:rPr>
        <w:t>.1 Overview</w:t>
      </w:r>
    </w:p>
    <w:p w14:paraId="534D1DC0" w14:textId="77777777" w:rsidR="0026229A" w:rsidRPr="0026229A" w:rsidRDefault="0026229A" w:rsidP="0026229A">
      <w:pPr>
        <w:spacing w:before="100" w:beforeAutospacing="1" w:after="100" w:afterAutospacing="1"/>
        <w:rPr>
          <w:rFonts w:asciiTheme="minorHAnsi" w:hAnsiTheme="minorHAnsi"/>
          <w:sz w:val="22"/>
          <w:szCs w:val="22"/>
        </w:rPr>
      </w:pPr>
      <w:r w:rsidRPr="0026229A">
        <w:rPr>
          <w:rFonts w:asciiTheme="minorHAnsi" w:hAnsiTheme="minorHAnsi"/>
          <w:sz w:val="22"/>
          <w:szCs w:val="22"/>
        </w:rPr>
        <w:t>Across specifications, three groups of variables matter for house prices:</w:t>
      </w:r>
    </w:p>
    <w:p w14:paraId="507B316E" w14:textId="77777777" w:rsidR="0026229A" w:rsidRPr="0026229A" w:rsidRDefault="0026229A" w:rsidP="0026229A">
      <w:pPr>
        <w:numPr>
          <w:ilvl w:val="0"/>
          <w:numId w:val="14"/>
        </w:numPr>
        <w:spacing w:before="100" w:beforeAutospacing="1" w:after="100" w:afterAutospacing="1"/>
        <w:rPr>
          <w:rFonts w:asciiTheme="minorHAnsi" w:hAnsiTheme="minorHAnsi"/>
          <w:sz w:val="22"/>
          <w:szCs w:val="22"/>
        </w:rPr>
      </w:pPr>
      <w:r w:rsidRPr="0026229A">
        <w:rPr>
          <w:rFonts w:asciiTheme="minorHAnsi" w:hAnsiTheme="minorHAnsi"/>
          <w:sz w:val="22"/>
          <w:szCs w:val="22"/>
        </w:rPr>
        <w:t>Monetary policy: the cash rate (or its lag) is always one of the largest coefficients in absolute value.</w:t>
      </w:r>
    </w:p>
    <w:p w14:paraId="21242B45" w14:textId="77777777" w:rsidR="0026229A" w:rsidRPr="0026229A" w:rsidRDefault="0026229A" w:rsidP="0026229A">
      <w:pPr>
        <w:numPr>
          <w:ilvl w:val="0"/>
          <w:numId w:val="14"/>
        </w:numPr>
        <w:spacing w:before="100" w:beforeAutospacing="1" w:after="100" w:afterAutospacing="1"/>
        <w:rPr>
          <w:rFonts w:asciiTheme="minorHAnsi" w:hAnsiTheme="minorHAnsi"/>
          <w:sz w:val="22"/>
          <w:szCs w:val="22"/>
        </w:rPr>
      </w:pPr>
      <w:r w:rsidRPr="0026229A">
        <w:rPr>
          <w:rFonts w:asciiTheme="minorHAnsi" w:hAnsiTheme="minorHAnsi"/>
          <w:sz w:val="22"/>
          <w:szCs w:val="22"/>
        </w:rPr>
        <w:t>Labour-market tightness: the participation rate and unemployment rate show sizeable responses, especially over longer horizons.</w:t>
      </w:r>
    </w:p>
    <w:p w14:paraId="039CB589" w14:textId="676128E3" w:rsidR="0026229A" w:rsidRPr="0026229A" w:rsidRDefault="0026229A" w:rsidP="0026229A">
      <w:pPr>
        <w:numPr>
          <w:ilvl w:val="0"/>
          <w:numId w:val="14"/>
        </w:numPr>
        <w:spacing w:before="100" w:beforeAutospacing="1" w:after="100" w:afterAutospacing="1"/>
        <w:rPr>
          <w:rFonts w:asciiTheme="minorHAnsi" w:hAnsiTheme="minorHAnsi"/>
          <w:sz w:val="22"/>
          <w:szCs w:val="22"/>
        </w:rPr>
      </w:pPr>
      <w:r w:rsidRPr="0026229A">
        <w:rPr>
          <w:rFonts w:asciiTheme="minorHAnsi" w:hAnsiTheme="minorHAnsi"/>
          <w:sz w:val="22"/>
          <w:szCs w:val="22"/>
        </w:rPr>
        <w:t>Income and wealth: income and wealth enter with the expected signs but with comparatively modest magnitudes.</w:t>
      </w:r>
    </w:p>
    <w:p w14:paraId="2DECF67A" w14:textId="7BC4627B" w:rsidR="0026229A" w:rsidRPr="0026229A" w:rsidRDefault="002B0B7F" w:rsidP="0026229A">
      <w:pPr>
        <w:spacing w:before="100" w:beforeAutospacing="1" w:after="100" w:afterAutospacing="1"/>
        <w:rPr>
          <w:rFonts w:asciiTheme="minorHAnsi" w:hAnsiTheme="minorHAnsi"/>
          <w:sz w:val="22"/>
          <w:szCs w:val="22"/>
        </w:rPr>
      </w:pPr>
      <w:r w:rsidRPr="00980605">
        <w:rPr>
          <w:rFonts w:asciiTheme="minorHAnsi" w:hAnsiTheme="minorHAnsi"/>
          <w:noProof/>
          <w:sz w:val="22"/>
          <w:szCs w:val="22"/>
        </w:rPr>
        <w:drawing>
          <wp:anchor distT="0" distB="0" distL="114300" distR="114300" simplePos="0" relativeHeight="251663360" behindDoc="0" locked="0" layoutInCell="1" allowOverlap="1" wp14:anchorId="58B3F28D" wp14:editId="38F499B0">
            <wp:simplePos x="0" y="0"/>
            <wp:positionH relativeFrom="column">
              <wp:posOffset>68013</wp:posOffset>
            </wp:positionH>
            <wp:positionV relativeFrom="paragraph">
              <wp:posOffset>824865</wp:posOffset>
            </wp:positionV>
            <wp:extent cx="5492115" cy="3317240"/>
            <wp:effectExtent l="0" t="0" r="0" b="0"/>
            <wp:wrapTopAndBottom/>
            <wp:docPr id="419331953" name="Picture 23"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1953" name="Picture 23" descr="A table with numbers an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92115" cy="3317240"/>
                    </a:xfrm>
                    <a:prstGeom prst="rect">
                      <a:avLst/>
                    </a:prstGeom>
                  </pic:spPr>
                </pic:pic>
              </a:graphicData>
            </a:graphic>
            <wp14:sizeRelH relativeFrom="page">
              <wp14:pctWidth>0</wp14:pctWidth>
            </wp14:sizeRelH>
            <wp14:sizeRelV relativeFrom="page">
              <wp14:pctHeight>0</wp14:pctHeight>
            </wp14:sizeRelV>
          </wp:anchor>
        </w:drawing>
      </w:r>
      <w:r w:rsidR="0026229A" w:rsidRPr="0026229A">
        <w:rPr>
          <w:rFonts w:asciiTheme="minorHAnsi" w:hAnsiTheme="minorHAnsi"/>
          <w:sz w:val="22"/>
          <w:szCs w:val="22"/>
        </w:rPr>
        <w:t>The ARDL/DL models in Table 4.1 and Figures 1–3 capture dynamic responses of prices to movements in these drivers. The FE model in Table 4.2 and Figure 4 then asks how levels of these variables are related to the level of house prices once time-invariant state heterogeneity and common time shocks are removed.</w:t>
      </w:r>
    </w:p>
    <w:p w14:paraId="76B87883" w14:textId="11275C72" w:rsidR="0026229A" w:rsidRPr="0026229A" w:rsidRDefault="0026229A" w:rsidP="0026229A">
      <w:pPr>
        <w:rPr>
          <w:rFonts w:asciiTheme="minorHAnsi" w:hAnsiTheme="minorHAnsi"/>
          <w:sz w:val="22"/>
          <w:szCs w:val="22"/>
        </w:rPr>
      </w:pPr>
    </w:p>
    <w:p w14:paraId="1DF443C3" w14:textId="6F098030" w:rsidR="0026229A" w:rsidRPr="00980605" w:rsidRDefault="008806D3" w:rsidP="00F06C56">
      <w:pPr>
        <w:pStyle w:val="Heading3"/>
        <w:rPr>
          <w:rFonts w:asciiTheme="minorHAnsi" w:hAnsiTheme="minorHAnsi"/>
          <w:sz w:val="24"/>
          <w:szCs w:val="24"/>
        </w:rPr>
      </w:pPr>
      <w:r w:rsidRPr="00980605">
        <w:rPr>
          <w:rFonts w:asciiTheme="minorHAnsi" w:hAnsiTheme="minorHAnsi"/>
          <w:sz w:val="24"/>
          <w:szCs w:val="24"/>
        </w:rPr>
        <w:t>3</w:t>
      </w:r>
      <w:r w:rsidR="0026229A" w:rsidRPr="00980605">
        <w:rPr>
          <w:rFonts w:asciiTheme="minorHAnsi" w:hAnsiTheme="minorHAnsi"/>
          <w:sz w:val="24"/>
          <w:szCs w:val="24"/>
        </w:rPr>
        <w:t>.2 Short-run dynamic responses</w:t>
      </w:r>
    </w:p>
    <w:p w14:paraId="1AC72CA9" w14:textId="2B0E0840"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t>Short-run ARDL coefficients (Figure 1; Table 4.1) show that monetary and labour-market shocks have the largest immediate impact on house prices.</w:t>
      </w:r>
    </w:p>
    <w:p w14:paraId="660920C4" w14:textId="16437FFF" w:rsidR="00F4391F" w:rsidRPr="00980605" w:rsidRDefault="00F4391F" w:rsidP="00F4391F">
      <w:pPr>
        <w:pStyle w:val="NormalWeb"/>
        <w:numPr>
          <w:ilvl w:val="0"/>
          <w:numId w:val="19"/>
        </w:numPr>
        <w:rPr>
          <w:rFonts w:asciiTheme="minorHAnsi" w:hAnsiTheme="minorHAnsi"/>
          <w:sz w:val="22"/>
          <w:szCs w:val="22"/>
        </w:rPr>
      </w:pPr>
      <w:r w:rsidRPr="00980605">
        <w:rPr>
          <w:rFonts w:asciiTheme="minorHAnsi" w:hAnsiTheme="minorHAnsi"/>
          <w:sz w:val="22"/>
          <w:szCs w:val="22"/>
        </w:rPr>
        <w:t xml:space="preserve">A one-unit increase in the </w:t>
      </w:r>
      <w:r w:rsidRPr="00980605">
        <w:rPr>
          <w:rStyle w:val="Strong"/>
          <w:rFonts w:asciiTheme="minorHAnsi" w:eastAsiaTheme="majorEastAsia" w:hAnsiTheme="minorHAnsi"/>
          <w:b w:val="0"/>
          <w:bCs w:val="0"/>
          <w:sz w:val="22"/>
          <w:szCs w:val="22"/>
        </w:rPr>
        <w:t>cash rate</w:t>
      </w:r>
      <w:r w:rsidRPr="00980605">
        <w:rPr>
          <w:rFonts w:asciiTheme="minorHAnsi" w:hAnsiTheme="minorHAnsi"/>
          <w:sz w:val="22"/>
          <w:szCs w:val="22"/>
        </w:rPr>
        <w:t xml:space="preserve"> produces the largest immediate decline in prices (short-run ≈ −6.16), and </w:t>
      </w:r>
      <w:r w:rsidRPr="00980605">
        <w:rPr>
          <w:rStyle w:val="Strong"/>
          <w:rFonts w:asciiTheme="minorHAnsi" w:eastAsiaTheme="majorEastAsia" w:hAnsiTheme="minorHAnsi"/>
          <w:b w:val="0"/>
          <w:bCs w:val="0"/>
          <w:sz w:val="22"/>
          <w:szCs w:val="22"/>
        </w:rPr>
        <w:t>this effect is statistically significant at the 1% level</w:t>
      </w:r>
      <w:r w:rsidRPr="00980605">
        <w:rPr>
          <w:rFonts w:asciiTheme="minorHAnsi" w:hAnsiTheme="minorHAnsi"/>
          <w:sz w:val="22"/>
          <w:szCs w:val="22"/>
        </w:rPr>
        <w:t>.</w:t>
      </w:r>
    </w:p>
    <w:p w14:paraId="073AE316" w14:textId="06E6282C" w:rsidR="00F4391F" w:rsidRPr="00980605" w:rsidRDefault="00F4391F" w:rsidP="00F4391F">
      <w:pPr>
        <w:pStyle w:val="NormalWeb"/>
        <w:numPr>
          <w:ilvl w:val="0"/>
          <w:numId w:val="19"/>
        </w:numPr>
        <w:rPr>
          <w:rFonts w:asciiTheme="minorHAnsi" w:hAnsiTheme="minorHAnsi"/>
          <w:sz w:val="22"/>
          <w:szCs w:val="22"/>
        </w:rPr>
      </w:pPr>
      <w:r w:rsidRPr="00980605">
        <w:rPr>
          <w:rFonts w:asciiTheme="minorHAnsi" w:hAnsiTheme="minorHAnsi"/>
          <w:sz w:val="22"/>
          <w:szCs w:val="22"/>
        </w:rPr>
        <w:lastRenderedPageBreak/>
        <w:t xml:space="preserve">The </w:t>
      </w:r>
      <w:r w:rsidRPr="00980605">
        <w:rPr>
          <w:rStyle w:val="Strong"/>
          <w:rFonts w:asciiTheme="minorHAnsi" w:eastAsiaTheme="majorEastAsia" w:hAnsiTheme="minorHAnsi"/>
          <w:b w:val="0"/>
          <w:bCs w:val="0"/>
          <w:sz w:val="22"/>
          <w:szCs w:val="22"/>
        </w:rPr>
        <w:t>unemployment rate</w:t>
      </w:r>
      <w:r w:rsidRPr="00980605">
        <w:rPr>
          <w:rFonts w:asciiTheme="minorHAnsi" w:hAnsiTheme="minorHAnsi"/>
          <w:sz w:val="22"/>
          <w:szCs w:val="22"/>
        </w:rPr>
        <w:t xml:space="preserve"> also has a sizeable negative short-run coefficient (≈ −2.99), </w:t>
      </w:r>
      <w:r w:rsidRPr="00980605">
        <w:rPr>
          <w:rStyle w:val="Strong"/>
          <w:rFonts w:asciiTheme="minorHAnsi" w:eastAsiaTheme="majorEastAsia" w:hAnsiTheme="minorHAnsi"/>
          <w:b w:val="0"/>
          <w:bCs w:val="0"/>
          <w:sz w:val="22"/>
          <w:szCs w:val="22"/>
        </w:rPr>
        <w:t>statistically significant at the 1% level</w:t>
      </w:r>
      <w:r w:rsidRPr="00980605">
        <w:rPr>
          <w:rFonts w:asciiTheme="minorHAnsi" w:hAnsiTheme="minorHAnsi"/>
          <w:sz w:val="22"/>
          <w:szCs w:val="22"/>
        </w:rPr>
        <w:t>, consistent with weaker labour-market conditions depressing demand.</w:t>
      </w:r>
    </w:p>
    <w:p w14:paraId="79267B56" w14:textId="58E1D617" w:rsidR="00F4391F" w:rsidRPr="00980605" w:rsidRDefault="00F4391F" w:rsidP="00F4391F">
      <w:pPr>
        <w:pStyle w:val="NormalWeb"/>
        <w:numPr>
          <w:ilvl w:val="0"/>
          <w:numId w:val="19"/>
        </w:numPr>
        <w:rPr>
          <w:rFonts w:asciiTheme="minorHAnsi" w:hAnsiTheme="minorHAnsi"/>
          <w:sz w:val="22"/>
          <w:szCs w:val="22"/>
        </w:rPr>
      </w:pPr>
      <w:r w:rsidRPr="00980605">
        <w:rPr>
          <w:rFonts w:asciiTheme="minorHAnsi" w:hAnsiTheme="minorHAnsi"/>
          <w:sz w:val="22"/>
          <w:szCs w:val="22"/>
        </w:rPr>
        <w:t xml:space="preserve">A higher </w:t>
      </w:r>
      <w:r w:rsidRPr="00980605">
        <w:rPr>
          <w:rStyle w:val="Strong"/>
          <w:rFonts w:asciiTheme="minorHAnsi" w:eastAsiaTheme="majorEastAsia" w:hAnsiTheme="minorHAnsi"/>
          <w:b w:val="0"/>
          <w:bCs w:val="0"/>
          <w:sz w:val="22"/>
          <w:szCs w:val="22"/>
        </w:rPr>
        <w:t>participation rate</w:t>
      </w:r>
      <w:r w:rsidRPr="00980605">
        <w:rPr>
          <w:rFonts w:asciiTheme="minorHAnsi" w:hAnsiTheme="minorHAnsi"/>
          <w:sz w:val="22"/>
          <w:szCs w:val="22"/>
        </w:rPr>
        <w:t xml:space="preserve"> exerts a positive short-run effect (≈ +0.93), </w:t>
      </w:r>
      <w:r w:rsidRPr="00980605">
        <w:rPr>
          <w:rStyle w:val="Strong"/>
          <w:rFonts w:asciiTheme="minorHAnsi" w:eastAsiaTheme="majorEastAsia" w:hAnsiTheme="minorHAnsi"/>
          <w:b w:val="0"/>
          <w:bCs w:val="0"/>
          <w:sz w:val="22"/>
          <w:szCs w:val="22"/>
        </w:rPr>
        <w:t>statistically significant at the 5% level</w:t>
      </w:r>
      <w:r w:rsidRPr="00980605">
        <w:rPr>
          <w:rFonts w:asciiTheme="minorHAnsi" w:hAnsiTheme="minorHAnsi"/>
          <w:sz w:val="22"/>
          <w:szCs w:val="22"/>
        </w:rPr>
        <w:t>.</w:t>
      </w:r>
    </w:p>
    <w:p w14:paraId="545682DC" w14:textId="1125038A" w:rsidR="00F4391F" w:rsidRPr="00980605" w:rsidRDefault="00980605" w:rsidP="00F4391F">
      <w:pPr>
        <w:pStyle w:val="NormalWeb"/>
        <w:rPr>
          <w:rFonts w:asciiTheme="minorHAnsi" w:hAnsiTheme="minorHAnsi"/>
          <w:sz w:val="22"/>
          <w:szCs w:val="22"/>
        </w:rPr>
      </w:pPr>
      <w:r w:rsidRPr="00980605">
        <w:rPr>
          <w:rFonts w:asciiTheme="minorHAnsi" w:hAnsiTheme="minorHAnsi"/>
          <w:noProof/>
        </w:rPr>
        <w:drawing>
          <wp:anchor distT="0" distB="0" distL="114300" distR="114300" simplePos="0" relativeHeight="251664384" behindDoc="0" locked="0" layoutInCell="1" allowOverlap="1" wp14:anchorId="1E322025" wp14:editId="31FA1386">
            <wp:simplePos x="0" y="0"/>
            <wp:positionH relativeFrom="column">
              <wp:posOffset>311150</wp:posOffset>
            </wp:positionH>
            <wp:positionV relativeFrom="paragraph">
              <wp:posOffset>491382</wp:posOffset>
            </wp:positionV>
            <wp:extent cx="5062855" cy="2846705"/>
            <wp:effectExtent l="0" t="0" r="4445" b="0"/>
            <wp:wrapTopAndBottom/>
            <wp:docPr id="1478103177" name="Picture 25"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03177" name="Picture 25" descr="A table with numbers and lette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62855" cy="2846705"/>
                    </a:xfrm>
                    <a:prstGeom prst="rect">
                      <a:avLst/>
                    </a:prstGeom>
                  </pic:spPr>
                </pic:pic>
              </a:graphicData>
            </a:graphic>
            <wp14:sizeRelH relativeFrom="page">
              <wp14:pctWidth>0</wp14:pctWidth>
            </wp14:sizeRelH>
            <wp14:sizeRelV relativeFrom="page">
              <wp14:pctHeight>0</wp14:pctHeight>
            </wp14:sizeRelV>
          </wp:anchor>
        </w:drawing>
      </w:r>
      <w:r w:rsidR="00F4391F" w:rsidRPr="00980605">
        <w:rPr>
          <w:rFonts w:asciiTheme="minorHAnsi" w:hAnsiTheme="minorHAnsi"/>
          <w:sz w:val="22"/>
          <w:szCs w:val="22"/>
        </w:rPr>
        <w:t xml:space="preserve">By contrast, </w:t>
      </w:r>
      <w:r w:rsidR="00F4391F" w:rsidRPr="00980605">
        <w:rPr>
          <w:rStyle w:val="Strong"/>
          <w:rFonts w:asciiTheme="minorHAnsi" w:eastAsiaTheme="majorEastAsia" w:hAnsiTheme="minorHAnsi"/>
          <w:b w:val="0"/>
          <w:bCs w:val="0"/>
          <w:sz w:val="22"/>
          <w:szCs w:val="22"/>
        </w:rPr>
        <w:t xml:space="preserve">income, wealth, approvals and total employment have small coefficients and are </w:t>
      </w:r>
      <w:r w:rsidR="00F4391F" w:rsidRPr="00980605">
        <w:rPr>
          <w:rStyle w:val="Emphasis"/>
          <w:rFonts w:asciiTheme="minorHAnsi" w:eastAsiaTheme="majorEastAsia" w:hAnsiTheme="minorHAnsi"/>
          <w:sz w:val="22"/>
          <w:szCs w:val="22"/>
        </w:rPr>
        <w:t>not statistically different from zero at conventional levels</w:t>
      </w:r>
      <w:r w:rsidR="00F4391F" w:rsidRPr="00980605">
        <w:rPr>
          <w:rStyle w:val="Strong"/>
          <w:rFonts w:asciiTheme="minorHAnsi" w:eastAsiaTheme="majorEastAsia" w:hAnsiTheme="minorHAnsi"/>
          <w:b w:val="0"/>
          <w:bCs w:val="0"/>
          <w:sz w:val="22"/>
          <w:szCs w:val="22"/>
        </w:rPr>
        <w:t>.</w:t>
      </w:r>
    </w:p>
    <w:p w14:paraId="5C517C14" w14:textId="66D8AFE9" w:rsidR="00980605" w:rsidRPr="0026229A" w:rsidRDefault="00980605" w:rsidP="00980605">
      <w:pPr>
        <w:spacing w:before="100" w:beforeAutospacing="1" w:after="100" w:afterAutospacing="1"/>
        <w:rPr>
          <w:rFonts w:asciiTheme="minorHAnsi" w:hAnsiTheme="minorHAnsi" w:hint="eastAsia"/>
          <w:sz w:val="22"/>
          <w:szCs w:val="22"/>
        </w:rPr>
      </w:pPr>
      <w:r w:rsidRPr="00980605">
        <w:rPr>
          <w:rFonts w:asciiTheme="minorHAnsi" w:hAnsiTheme="minorHAnsi"/>
          <w:noProof/>
          <w:sz w:val="22"/>
          <w:szCs w:val="22"/>
        </w:rPr>
        <w:drawing>
          <wp:anchor distT="0" distB="0" distL="114300" distR="114300" simplePos="0" relativeHeight="251660288" behindDoc="0" locked="0" layoutInCell="1" allowOverlap="1" wp14:anchorId="78CB2B05" wp14:editId="377AAF75">
            <wp:simplePos x="0" y="0"/>
            <wp:positionH relativeFrom="column">
              <wp:posOffset>82550</wp:posOffset>
            </wp:positionH>
            <wp:positionV relativeFrom="paragraph">
              <wp:posOffset>3072323</wp:posOffset>
            </wp:positionV>
            <wp:extent cx="5370830" cy="3286760"/>
            <wp:effectExtent l="0" t="0" r="1270" b="2540"/>
            <wp:wrapTopAndBottom/>
            <wp:docPr id="659838326" name="Picture 1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38326" name="Picture 19" descr="A graph with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0830" cy="3286760"/>
                    </a:xfrm>
                    <a:prstGeom prst="rect">
                      <a:avLst/>
                    </a:prstGeom>
                  </pic:spPr>
                </pic:pic>
              </a:graphicData>
            </a:graphic>
            <wp14:sizeRelH relativeFrom="page">
              <wp14:pctWidth>0</wp14:pctWidth>
            </wp14:sizeRelH>
            <wp14:sizeRelV relativeFrom="page">
              <wp14:pctHeight>0</wp14:pctHeight>
            </wp14:sizeRelV>
          </wp:anchor>
        </w:drawing>
      </w:r>
      <w:r w:rsidRPr="0026229A">
        <w:rPr>
          <w:rFonts w:asciiTheme="minorHAnsi" w:hAnsiTheme="minorHAnsi"/>
          <w:i/>
          <w:iCs/>
          <w:sz w:val="22"/>
          <w:szCs w:val="22"/>
        </w:rPr>
        <w:t xml:space="preserve">Figure </w:t>
      </w:r>
      <w:r w:rsidRPr="00980605">
        <w:rPr>
          <w:rFonts w:asciiTheme="minorHAnsi" w:hAnsiTheme="minorHAnsi"/>
          <w:i/>
          <w:iCs/>
          <w:sz w:val="22"/>
          <w:szCs w:val="22"/>
        </w:rPr>
        <w:t>1</w:t>
      </w:r>
      <w:r w:rsidRPr="0026229A">
        <w:rPr>
          <w:rFonts w:asciiTheme="minorHAnsi" w:hAnsiTheme="minorHAnsi"/>
          <w:i/>
          <w:iCs/>
          <w:sz w:val="22"/>
          <w:szCs w:val="22"/>
        </w:rPr>
        <w:t>:</w:t>
      </w:r>
    </w:p>
    <w:p w14:paraId="0440D1CB" w14:textId="54E55A52" w:rsidR="00980605" w:rsidRDefault="00980605" w:rsidP="0026229A">
      <w:pPr>
        <w:spacing w:before="100" w:beforeAutospacing="1" w:after="100" w:afterAutospacing="1"/>
        <w:outlineLvl w:val="2"/>
        <w:rPr>
          <w:rFonts w:asciiTheme="minorHAnsi" w:hAnsiTheme="minorHAnsi"/>
        </w:rPr>
      </w:pPr>
    </w:p>
    <w:p w14:paraId="18833219" w14:textId="3845BFB7" w:rsidR="0026229A" w:rsidRPr="0026229A" w:rsidRDefault="008806D3" w:rsidP="0026229A">
      <w:pPr>
        <w:spacing w:before="100" w:beforeAutospacing="1" w:after="100" w:afterAutospacing="1"/>
        <w:outlineLvl w:val="2"/>
        <w:rPr>
          <w:rFonts w:asciiTheme="minorHAnsi" w:hAnsiTheme="minorHAnsi"/>
        </w:rPr>
      </w:pPr>
      <w:r w:rsidRPr="00980605">
        <w:rPr>
          <w:rFonts w:asciiTheme="minorHAnsi" w:hAnsiTheme="minorHAnsi"/>
        </w:rPr>
        <w:t>3</w:t>
      </w:r>
      <w:r w:rsidR="0026229A" w:rsidRPr="0026229A">
        <w:rPr>
          <w:rFonts w:asciiTheme="minorHAnsi" w:hAnsiTheme="minorHAnsi"/>
        </w:rPr>
        <w:t xml:space="preserve">.3 </w:t>
      </w:r>
      <w:proofErr w:type="gramStart"/>
      <w:r w:rsidR="0026229A" w:rsidRPr="0026229A">
        <w:rPr>
          <w:rFonts w:asciiTheme="minorHAnsi" w:hAnsiTheme="minorHAnsi"/>
        </w:rPr>
        <w:t>Long-run</w:t>
      </w:r>
      <w:proofErr w:type="gramEnd"/>
      <w:r w:rsidR="0026229A" w:rsidRPr="0026229A">
        <w:rPr>
          <w:rFonts w:asciiTheme="minorHAnsi" w:hAnsiTheme="minorHAnsi"/>
        </w:rPr>
        <w:t xml:space="preserve"> and cumulative impacts</w:t>
      </w:r>
    </w:p>
    <w:p w14:paraId="7C25A03A" w14:textId="7EE14FEA" w:rsidR="0026229A" w:rsidRPr="0026229A" w:rsidRDefault="008806D3" w:rsidP="0026229A">
      <w:pPr>
        <w:spacing w:before="100" w:beforeAutospacing="1" w:after="100" w:afterAutospacing="1"/>
        <w:outlineLvl w:val="3"/>
        <w:rPr>
          <w:rFonts w:asciiTheme="minorHAnsi" w:hAnsiTheme="minorHAnsi"/>
          <w:sz w:val="22"/>
          <w:szCs w:val="22"/>
        </w:rPr>
      </w:pPr>
      <w:r w:rsidRPr="00980605">
        <w:rPr>
          <w:rFonts w:asciiTheme="minorHAnsi" w:hAnsiTheme="minorHAnsi"/>
          <w:sz w:val="22"/>
          <w:szCs w:val="22"/>
        </w:rPr>
        <w:t>3</w:t>
      </w:r>
      <w:r w:rsidR="0026229A" w:rsidRPr="0026229A">
        <w:rPr>
          <w:rFonts w:asciiTheme="minorHAnsi" w:hAnsiTheme="minorHAnsi"/>
          <w:sz w:val="22"/>
          <w:szCs w:val="22"/>
        </w:rPr>
        <w:t>.3.1 Long-run ARDL elasticities</w:t>
      </w:r>
    </w:p>
    <w:p w14:paraId="3F8E9F00" w14:textId="47400297"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lastRenderedPageBreak/>
        <w:t>Long-run ARDL elasticities (Figure 2; Table 4.1) describe the steady-state response after full adjustment.</w:t>
      </w:r>
    </w:p>
    <w:p w14:paraId="5D76A288" w14:textId="03E1D98D" w:rsidR="00F4391F" w:rsidRPr="00980605" w:rsidRDefault="00F4391F" w:rsidP="00F4391F">
      <w:pPr>
        <w:pStyle w:val="NormalWeb"/>
        <w:numPr>
          <w:ilvl w:val="0"/>
          <w:numId w:val="20"/>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cash rate</w:t>
      </w:r>
      <w:r w:rsidRPr="00980605">
        <w:rPr>
          <w:rFonts w:asciiTheme="minorHAnsi" w:hAnsiTheme="minorHAnsi"/>
          <w:sz w:val="22"/>
          <w:szCs w:val="22"/>
        </w:rPr>
        <w:t xml:space="preserve"> shows a large and negative long-run effect (≈ −8.73), </w:t>
      </w:r>
      <w:r w:rsidRPr="00980605">
        <w:rPr>
          <w:rStyle w:val="Strong"/>
          <w:rFonts w:asciiTheme="minorHAnsi" w:eastAsiaTheme="majorEastAsia" w:hAnsiTheme="minorHAnsi"/>
          <w:b w:val="0"/>
          <w:bCs w:val="0"/>
          <w:sz w:val="22"/>
          <w:szCs w:val="22"/>
        </w:rPr>
        <w:t>statistically significant at the 1% level</w:t>
      </w:r>
      <w:r w:rsidRPr="00980605">
        <w:rPr>
          <w:rFonts w:asciiTheme="minorHAnsi" w:hAnsiTheme="minorHAnsi"/>
          <w:sz w:val="22"/>
          <w:szCs w:val="22"/>
        </w:rPr>
        <w:t>, confirming a persistent contractionary response.</w:t>
      </w:r>
    </w:p>
    <w:p w14:paraId="2B462BF3" w14:textId="7F596C9E" w:rsidR="00F4391F" w:rsidRPr="00980605" w:rsidRDefault="00F4391F" w:rsidP="00F4391F">
      <w:pPr>
        <w:pStyle w:val="NormalWeb"/>
        <w:numPr>
          <w:ilvl w:val="0"/>
          <w:numId w:val="20"/>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participation rate</w:t>
      </w:r>
      <w:r w:rsidRPr="00980605">
        <w:rPr>
          <w:rFonts w:asciiTheme="minorHAnsi" w:hAnsiTheme="minorHAnsi"/>
          <w:sz w:val="22"/>
          <w:szCs w:val="22"/>
        </w:rPr>
        <w:t xml:space="preserve"> displays an even larger positive long-run elasticity (≈ +7.06), </w:t>
      </w:r>
      <w:r w:rsidRPr="00980605">
        <w:rPr>
          <w:rStyle w:val="Strong"/>
          <w:rFonts w:asciiTheme="minorHAnsi" w:eastAsiaTheme="majorEastAsia" w:hAnsiTheme="minorHAnsi"/>
          <w:b w:val="0"/>
          <w:bCs w:val="0"/>
          <w:sz w:val="22"/>
          <w:szCs w:val="22"/>
        </w:rPr>
        <w:t>significant at the 1% level</w:t>
      </w:r>
      <w:r w:rsidRPr="00980605">
        <w:rPr>
          <w:rFonts w:asciiTheme="minorHAnsi" w:hAnsiTheme="minorHAnsi"/>
          <w:sz w:val="22"/>
          <w:szCs w:val="22"/>
        </w:rPr>
        <w:t>.</w:t>
      </w:r>
    </w:p>
    <w:p w14:paraId="3E10DC60" w14:textId="2A239E2D" w:rsidR="00F4391F" w:rsidRPr="00980605" w:rsidRDefault="00F4391F" w:rsidP="00F4391F">
      <w:pPr>
        <w:pStyle w:val="NormalWeb"/>
        <w:numPr>
          <w:ilvl w:val="0"/>
          <w:numId w:val="20"/>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unemployment rate</w:t>
      </w:r>
      <w:r w:rsidRPr="00980605">
        <w:rPr>
          <w:rFonts w:asciiTheme="minorHAnsi" w:hAnsiTheme="minorHAnsi"/>
          <w:sz w:val="22"/>
          <w:szCs w:val="22"/>
        </w:rPr>
        <w:t xml:space="preserve"> has a positive long-run coefficient (≈ +7.02), </w:t>
      </w:r>
      <w:r w:rsidRPr="00980605">
        <w:rPr>
          <w:rStyle w:val="Strong"/>
          <w:rFonts w:asciiTheme="minorHAnsi" w:eastAsiaTheme="majorEastAsia" w:hAnsiTheme="minorHAnsi"/>
          <w:b w:val="0"/>
          <w:bCs w:val="0"/>
          <w:sz w:val="22"/>
          <w:szCs w:val="22"/>
        </w:rPr>
        <w:t>statistically significant at the 1% level</w:t>
      </w:r>
      <w:r w:rsidRPr="00980605">
        <w:rPr>
          <w:rFonts w:asciiTheme="minorHAnsi" w:hAnsiTheme="minorHAnsi"/>
          <w:sz w:val="22"/>
          <w:szCs w:val="22"/>
        </w:rPr>
        <w:t>, though interpretation must be made jointly with the cumulative DL effect.</w:t>
      </w:r>
    </w:p>
    <w:p w14:paraId="27E31336" w14:textId="2201E753"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t xml:space="preserve">In contrast, </w:t>
      </w:r>
      <w:r w:rsidRPr="00980605">
        <w:rPr>
          <w:rStyle w:val="Strong"/>
          <w:rFonts w:asciiTheme="minorHAnsi" w:eastAsiaTheme="majorEastAsia" w:hAnsiTheme="minorHAnsi"/>
          <w:b w:val="0"/>
          <w:bCs w:val="0"/>
          <w:sz w:val="22"/>
          <w:szCs w:val="22"/>
        </w:rPr>
        <w:t xml:space="preserve">the long-run elasticities of income, total employment, and wealth are modest in magnitude and </w:t>
      </w:r>
      <w:r w:rsidRPr="00980605">
        <w:rPr>
          <w:rStyle w:val="Emphasis"/>
          <w:rFonts w:asciiTheme="minorHAnsi" w:eastAsiaTheme="majorEastAsia" w:hAnsiTheme="minorHAnsi"/>
          <w:sz w:val="22"/>
          <w:szCs w:val="22"/>
        </w:rPr>
        <w:t>not statistically different from zero at conventional levels</w:t>
      </w:r>
      <w:r w:rsidRPr="00980605">
        <w:rPr>
          <w:rStyle w:val="Strong"/>
          <w:rFonts w:asciiTheme="minorHAnsi" w:eastAsiaTheme="majorEastAsia" w:hAnsiTheme="minorHAnsi"/>
          <w:b w:val="0"/>
          <w:bCs w:val="0"/>
          <w:sz w:val="22"/>
          <w:szCs w:val="22"/>
        </w:rPr>
        <w:t>.</w:t>
      </w:r>
      <w:r w:rsidRPr="00980605">
        <w:rPr>
          <w:rFonts w:asciiTheme="minorHAnsi" w:hAnsiTheme="minorHAnsi"/>
          <w:sz w:val="22"/>
          <w:szCs w:val="22"/>
        </w:rPr>
        <w:t xml:space="preserve"> Approvals also remain economically small and insignificant.</w:t>
      </w:r>
    </w:p>
    <w:p w14:paraId="3A982126" w14:textId="46F43018" w:rsidR="0026229A" w:rsidRPr="0026229A" w:rsidRDefault="00F06C56" w:rsidP="0026229A">
      <w:pPr>
        <w:spacing w:before="100" w:beforeAutospacing="1" w:after="100" w:afterAutospacing="1"/>
        <w:rPr>
          <w:rFonts w:asciiTheme="minorHAnsi" w:eastAsia="Batang" w:hAnsiTheme="minorHAnsi" w:cs="Batang"/>
          <w:sz w:val="22"/>
          <w:szCs w:val="22"/>
        </w:rPr>
      </w:pPr>
      <w:r w:rsidRPr="00980605">
        <w:rPr>
          <w:rFonts w:asciiTheme="minorHAnsi" w:hAnsiTheme="minorHAnsi"/>
          <w:noProof/>
          <w:sz w:val="22"/>
          <w:szCs w:val="22"/>
        </w:rPr>
        <w:drawing>
          <wp:anchor distT="0" distB="0" distL="114300" distR="114300" simplePos="0" relativeHeight="251661312" behindDoc="0" locked="0" layoutInCell="1" allowOverlap="1" wp14:anchorId="60781B15" wp14:editId="52F37C51">
            <wp:simplePos x="0" y="0"/>
            <wp:positionH relativeFrom="column">
              <wp:posOffset>-62230</wp:posOffset>
            </wp:positionH>
            <wp:positionV relativeFrom="paragraph">
              <wp:posOffset>231140</wp:posOffset>
            </wp:positionV>
            <wp:extent cx="5731510" cy="3582035"/>
            <wp:effectExtent l="0" t="0" r="0" b="0"/>
            <wp:wrapTopAndBottom/>
            <wp:docPr id="627733066" name="Picture 20"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3066" name="Picture 20" descr="A graph with blue and whit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0026229A" w:rsidRPr="0026229A">
        <w:rPr>
          <w:rFonts w:asciiTheme="minorHAnsi" w:hAnsiTheme="minorHAnsi"/>
          <w:i/>
          <w:iCs/>
          <w:sz w:val="22"/>
          <w:szCs w:val="22"/>
        </w:rPr>
        <w:t>Figure 2</w:t>
      </w:r>
      <w:r w:rsidRPr="00980605">
        <w:rPr>
          <w:rFonts w:asciiTheme="minorHAnsi" w:eastAsia="Batang" w:hAnsiTheme="minorHAnsi" w:cs="Batang"/>
          <w:i/>
          <w:iCs/>
          <w:sz w:val="22"/>
          <w:szCs w:val="22"/>
        </w:rPr>
        <w:t>:</w:t>
      </w:r>
    </w:p>
    <w:p w14:paraId="793C8246" w14:textId="10F8BB2D" w:rsidR="0026229A" w:rsidRPr="0026229A" w:rsidRDefault="008806D3" w:rsidP="0026229A">
      <w:pPr>
        <w:spacing w:before="100" w:beforeAutospacing="1" w:after="100" w:afterAutospacing="1"/>
        <w:outlineLvl w:val="3"/>
        <w:rPr>
          <w:rFonts w:asciiTheme="minorHAnsi" w:hAnsiTheme="minorHAnsi"/>
          <w:sz w:val="22"/>
          <w:szCs w:val="22"/>
        </w:rPr>
      </w:pPr>
      <w:r w:rsidRPr="00980605">
        <w:rPr>
          <w:rFonts w:asciiTheme="minorHAnsi" w:hAnsiTheme="minorHAnsi"/>
          <w:sz w:val="22"/>
          <w:szCs w:val="22"/>
        </w:rPr>
        <w:t>3</w:t>
      </w:r>
      <w:r w:rsidR="0026229A" w:rsidRPr="0026229A">
        <w:rPr>
          <w:rFonts w:asciiTheme="minorHAnsi" w:hAnsiTheme="minorHAnsi"/>
          <w:sz w:val="22"/>
          <w:szCs w:val="22"/>
        </w:rPr>
        <w:t>.3.2 Cumulative multi-quarter DL responses</w:t>
      </w:r>
    </w:p>
    <w:p w14:paraId="779A402D" w14:textId="77777777"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t>DL cumulative effects (Figure 3; Table 4.1) illustrate how impacts accumulate over several quarters.</w:t>
      </w:r>
    </w:p>
    <w:p w14:paraId="739CFC73" w14:textId="77777777" w:rsidR="00F4391F" w:rsidRPr="00980605" w:rsidRDefault="00F4391F" w:rsidP="00F4391F">
      <w:pPr>
        <w:pStyle w:val="NormalWeb"/>
        <w:numPr>
          <w:ilvl w:val="0"/>
          <w:numId w:val="21"/>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cash rate</w:t>
      </w:r>
      <w:r w:rsidRPr="00980605">
        <w:rPr>
          <w:rFonts w:asciiTheme="minorHAnsi" w:hAnsiTheme="minorHAnsi"/>
          <w:sz w:val="22"/>
          <w:szCs w:val="22"/>
        </w:rPr>
        <w:t xml:space="preserve"> produces the largest cumulative drag (≈ −9.87), </w:t>
      </w:r>
      <w:r w:rsidRPr="00980605">
        <w:rPr>
          <w:rStyle w:val="Strong"/>
          <w:rFonts w:asciiTheme="minorHAnsi" w:eastAsiaTheme="majorEastAsia" w:hAnsiTheme="minorHAnsi"/>
          <w:b w:val="0"/>
          <w:bCs w:val="0"/>
          <w:sz w:val="22"/>
          <w:szCs w:val="22"/>
        </w:rPr>
        <w:t>statistically significant at the 1% level</w:t>
      </w:r>
      <w:r w:rsidRPr="00980605">
        <w:rPr>
          <w:rFonts w:asciiTheme="minorHAnsi" w:hAnsiTheme="minorHAnsi"/>
          <w:sz w:val="22"/>
          <w:szCs w:val="22"/>
        </w:rPr>
        <w:t>.</w:t>
      </w:r>
    </w:p>
    <w:p w14:paraId="688DBC97" w14:textId="77777777" w:rsidR="00F4391F" w:rsidRPr="00980605" w:rsidRDefault="00F4391F" w:rsidP="00F4391F">
      <w:pPr>
        <w:pStyle w:val="NormalWeb"/>
        <w:numPr>
          <w:ilvl w:val="0"/>
          <w:numId w:val="21"/>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participation rate</w:t>
      </w:r>
      <w:r w:rsidRPr="00980605">
        <w:rPr>
          <w:rFonts w:asciiTheme="minorHAnsi" w:hAnsiTheme="minorHAnsi"/>
          <w:sz w:val="22"/>
          <w:szCs w:val="22"/>
        </w:rPr>
        <w:t xml:space="preserve"> generates a large cumulative positive effect (≈ +9.37), </w:t>
      </w:r>
      <w:r w:rsidRPr="00980605">
        <w:rPr>
          <w:rStyle w:val="Strong"/>
          <w:rFonts w:asciiTheme="minorHAnsi" w:eastAsiaTheme="majorEastAsia" w:hAnsiTheme="minorHAnsi"/>
          <w:b w:val="0"/>
          <w:bCs w:val="0"/>
          <w:sz w:val="22"/>
          <w:szCs w:val="22"/>
        </w:rPr>
        <w:t>also significant at the 1% level</w:t>
      </w:r>
      <w:r w:rsidRPr="00980605">
        <w:rPr>
          <w:rFonts w:asciiTheme="minorHAnsi" w:hAnsiTheme="minorHAnsi"/>
          <w:sz w:val="22"/>
          <w:szCs w:val="22"/>
        </w:rPr>
        <w:t>.</w:t>
      </w:r>
    </w:p>
    <w:p w14:paraId="2088CD97" w14:textId="77777777" w:rsidR="00F4391F" w:rsidRPr="00980605" w:rsidRDefault="00F4391F" w:rsidP="00F4391F">
      <w:pPr>
        <w:pStyle w:val="NormalWeb"/>
        <w:numPr>
          <w:ilvl w:val="0"/>
          <w:numId w:val="21"/>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unemployment rate</w:t>
      </w:r>
      <w:r w:rsidRPr="00980605">
        <w:rPr>
          <w:rFonts w:asciiTheme="minorHAnsi" w:hAnsiTheme="minorHAnsi"/>
          <w:sz w:val="22"/>
          <w:szCs w:val="22"/>
        </w:rPr>
        <w:t xml:space="preserve"> has a negative cumulative effect (≈ −2.48), </w:t>
      </w:r>
      <w:r w:rsidRPr="00980605">
        <w:rPr>
          <w:rStyle w:val="Strong"/>
          <w:rFonts w:asciiTheme="minorHAnsi" w:eastAsiaTheme="majorEastAsia" w:hAnsiTheme="minorHAnsi"/>
          <w:b w:val="0"/>
          <w:bCs w:val="0"/>
          <w:sz w:val="22"/>
          <w:szCs w:val="22"/>
        </w:rPr>
        <w:t>statistically significant at the 10% level</w:t>
      </w:r>
      <w:r w:rsidRPr="00980605">
        <w:rPr>
          <w:rFonts w:asciiTheme="minorHAnsi" w:hAnsiTheme="minorHAnsi"/>
          <w:sz w:val="22"/>
          <w:szCs w:val="22"/>
        </w:rPr>
        <w:t>, indicating the initial contraction dominates the later rebound.</w:t>
      </w:r>
    </w:p>
    <w:p w14:paraId="3B43E070" w14:textId="77777777"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lastRenderedPageBreak/>
        <w:t xml:space="preserve">Cumulative effects for income, total employment, wealth and approvals remain </w:t>
      </w:r>
      <w:r w:rsidRPr="00980605">
        <w:rPr>
          <w:rStyle w:val="Strong"/>
          <w:rFonts w:asciiTheme="minorHAnsi" w:eastAsiaTheme="majorEastAsia" w:hAnsiTheme="minorHAnsi"/>
          <w:b w:val="0"/>
          <w:bCs w:val="0"/>
          <w:sz w:val="22"/>
          <w:szCs w:val="22"/>
        </w:rPr>
        <w:t>small and not statistically different from zero at conventional levels.</w:t>
      </w:r>
    </w:p>
    <w:p w14:paraId="2039EB03" w14:textId="77777777" w:rsidR="0026229A" w:rsidRPr="0026229A" w:rsidRDefault="0026229A" w:rsidP="0026229A">
      <w:pPr>
        <w:spacing w:before="100" w:beforeAutospacing="1" w:after="100" w:afterAutospacing="1"/>
        <w:rPr>
          <w:rFonts w:asciiTheme="minorHAnsi" w:hAnsiTheme="minorHAnsi"/>
          <w:sz w:val="22"/>
          <w:szCs w:val="22"/>
        </w:rPr>
      </w:pPr>
      <w:r w:rsidRPr="0026229A">
        <w:rPr>
          <w:rFonts w:asciiTheme="minorHAnsi" w:hAnsiTheme="minorHAnsi"/>
          <w:sz w:val="22"/>
          <w:szCs w:val="22"/>
        </w:rPr>
        <w:t>Taken together, the ARDL/DL evidence points to a clear pattern: monetary policy and labour-market tightness (especially participation) dominate both the short-run adjustment and the longer-horizon cumulative response of Sydney and Melbourne house prices.</w:t>
      </w:r>
    </w:p>
    <w:p w14:paraId="48F2ECEC" w14:textId="0F7ADEAD" w:rsidR="0026229A" w:rsidRPr="0026229A" w:rsidRDefault="0026229A" w:rsidP="008806D3">
      <w:pPr>
        <w:spacing w:before="100" w:beforeAutospacing="1" w:after="100" w:afterAutospacing="1"/>
        <w:rPr>
          <w:rFonts w:asciiTheme="minorHAnsi" w:hAnsiTheme="minorHAnsi"/>
          <w:sz w:val="22"/>
          <w:szCs w:val="22"/>
        </w:rPr>
      </w:pPr>
      <w:r w:rsidRPr="0026229A">
        <w:rPr>
          <w:rFonts w:asciiTheme="minorHAnsi" w:hAnsiTheme="minorHAnsi"/>
          <w:i/>
          <w:iCs/>
          <w:sz w:val="22"/>
          <w:szCs w:val="22"/>
        </w:rPr>
        <w:t xml:space="preserve">Figure 3 </w:t>
      </w:r>
      <w:r w:rsidR="00F06C56" w:rsidRPr="00980605">
        <w:rPr>
          <w:rFonts w:asciiTheme="minorHAnsi" w:hAnsiTheme="minorHAnsi"/>
          <w:noProof/>
          <w:sz w:val="22"/>
          <w:szCs w:val="22"/>
        </w:rPr>
        <w:drawing>
          <wp:anchor distT="0" distB="0" distL="114300" distR="114300" simplePos="0" relativeHeight="251662336" behindDoc="0" locked="0" layoutInCell="1" allowOverlap="1" wp14:anchorId="6C125D22" wp14:editId="184966A5">
            <wp:simplePos x="0" y="0"/>
            <wp:positionH relativeFrom="column">
              <wp:posOffset>0</wp:posOffset>
            </wp:positionH>
            <wp:positionV relativeFrom="paragraph">
              <wp:posOffset>179070</wp:posOffset>
            </wp:positionV>
            <wp:extent cx="5731510" cy="3582035"/>
            <wp:effectExtent l="0" t="0" r="0" b="0"/>
            <wp:wrapTopAndBottom/>
            <wp:docPr id="246087627" name="Picture 2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7627" name="Picture 21" descr="A graph with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00F06C56" w:rsidRPr="00980605">
        <w:rPr>
          <w:rFonts w:asciiTheme="minorHAnsi" w:hAnsiTheme="minorHAnsi"/>
          <w:i/>
          <w:iCs/>
          <w:sz w:val="22"/>
          <w:szCs w:val="22"/>
        </w:rPr>
        <w:t>:</w:t>
      </w:r>
    </w:p>
    <w:p w14:paraId="2A7800D6" w14:textId="51674D47" w:rsidR="0026229A" w:rsidRPr="0026229A" w:rsidRDefault="008806D3" w:rsidP="0026229A">
      <w:pPr>
        <w:spacing w:before="100" w:beforeAutospacing="1" w:after="100" w:afterAutospacing="1"/>
        <w:outlineLvl w:val="2"/>
        <w:rPr>
          <w:rFonts w:asciiTheme="minorHAnsi" w:hAnsiTheme="minorHAnsi"/>
        </w:rPr>
      </w:pPr>
      <w:r w:rsidRPr="00980605">
        <w:rPr>
          <w:rFonts w:asciiTheme="minorHAnsi" w:hAnsiTheme="minorHAnsi"/>
        </w:rPr>
        <w:t>3</w:t>
      </w:r>
      <w:r w:rsidR="0026229A" w:rsidRPr="0026229A">
        <w:rPr>
          <w:rFonts w:asciiTheme="minorHAnsi" w:hAnsiTheme="minorHAnsi"/>
        </w:rPr>
        <w:t>.4 Fixed-effects level estimates (Phase 2)</w:t>
      </w:r>
    </w:p>
    <w:p w14:paraId="2DF1E5C6" w14:textId="77777777"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t xml:space="preserve">The Phase-2 fixed-effects specification focuses on a targeted set of core variables and uses state and quarter dummies to purge the level regressions of unobserved heterogeneity. The results, shown in </w:t>
      </w:r>
      <w:r w:rsidRPr="00980605">
        <w:rPr>
          <w:rStyle w:val="Strong"/>
          <w:rFonts w:asciiTheme="minorHAnsi" w:eastAsiaTheme="majorEastAsia" w:hAnsiTheme="minorHAnsi"/>
          <w:b w:val="0"/>
          <w:bCs w:val="0"/>
          <w:sz w:val="22"/>
          <w:szCs w:val="22"/>
        </w:rPr>
        <w:t>Table 4.2</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Figure 4</w:t>
      </w:r>
      <w:r w:rsidRPr="00980605">
        <w:rPr>
          <w:rFonts w:asciiTheme="minorHAnsi" w:hAnsiTheme="minorHAnsi"/>
          <w:sz w:val="22"/>
          <w:szCs w:val="22"/>
        </w:rPr>
        <w:t>, identify three coefficients that are statistically significant at conventional levels.</w:t>
      </w:r>
    </w:p>
    <w:p w14:paraId="3408B6B2" w14:textId="45E1D2E8" w:rsidR="00F4391F" w:rsidRPr="00980605" w:rsidRDefault="00F4391F" w:rsidP="00F4391F">
      <w:pPr>
        <w:pStyle w:val="NormalWeb"/>
        <w:rPr>
          <w:rFonts w:asciiTheme="minorHAnsi" w:hAnsiTheme="minorHAnsi"/>
          <w:sz w:val="22"/>
          <w:szCs w:val="22"/>
        </w:rPr>
      </w:pPr>
      <w:r w:rsidRPr="00980605">
        <w:rPr>
          <w:rStyle w:val="Strong"/>
          <w:rFonts w:asciiTheme="minorHAnsi" w:eastAsiaTheme="majorEastAsia" w:hAnsiTheme="minorHAnsi"/>
          <w:b w:val="0"/>
          <w:bCs w:val="0"/>
          <w:sz w:val="22"/>
          <w:szCs w:val="22"/>
        </w:rPr>
        <w:t>First, the lagged cash-rate level</w:t>
      </w:r>
      <w:r w:rsidRPr="00980605">
        <w:rPr>
          <w:rFonts w:asciiTheme="minorHAnsi" w:hAnsiTheme="minorHAnsi"/>
          <w:sz w:val="22"/>
          <w:szCs w:val="22"/>
        </w:rPr>
        <w:t xml:space="preserve"> </w:t>
      </w:r>
      <m:oMath>
        <m:d>
          <m:dPr>
            <m:ctrlPr>
              <w:rPr>
                <w:rFonts w:ascii="Cambria Math" w:hAnsi="Cambria Math"/>
                <w:sz w:val="22"/>
                <w:szCs w:val="22"/>
              </w:rPr>
            </m:ctrlPr>
          </m:dPr>
          <m:e>
            <m:r>
              <w:rPr>
                <w:rFonts w:ascii="Cambria Math" w:hAnsi="Cambria Math"/>
                <w:sz w:val="22"/>
                <w:szCs w:val="22"/>
              </w:rPr>
              <m:t>cash</m:t>
            </m:r>
            <m:r>
              <m:rPr>
                <m:sty m:val="p"/>
              </m:rPr>
              <w:rPr>
                <w:rFonts w:ascii="Cambria Math" w:hAnsi="Cambria Math"/>
                <w:sz w:val="22"/>
                <w:szCs w:val="22"/>
              </w:rPr>
              <m:t>_</m:t>
            </m:r>
            <m:r>
              <w:rPr>
                <w:rFonts w:ascii="Cambria Math" w:hAnsi="Cambria Math"/>
                <w:sz w:val="22"/>
                <w:szCs w:val="22"/>
              </w:rPr>
              <m:t>rate</m:t>
            </m:r>
            <m:r>
              <m:rPr>
                <m:sty m:val="p"/>
              </m:rPr>
              <w:rPr>
                <w:rFonts w:ascii="Cambria Math" w:hAnsi="Cambria Math"/>
                <w:sz w:val="22"/>
                <w:szCs w:val="22"/>
              </w:rPr>
              <m:t>_</m:t>
            </m:r>
            <m:r>
              <w:rPr>
                <w:rFonts w:ascii="Cambria Math" w:hAnsi="Cambria Math"/>
                <w:sz w:val="22"/>
                <w:szCs w:val="22"/>
              </w:rPr>
              <m:t>level</m:t>
            </m:r>
            <m:r>
              <m:rPr>
                <m:sty m:val="p"/>
              </m:rPr>
              <w:rPr>
                <w:rFonts w:ascii="Cambria Math" w:hAnsi="Cambria Math"/>
                <w:sz w:val="22"/>
                <w:szCs w:val="22"/>
              </w:rPr>
              <m:t>_</m:t>
            </m:r>
            <m:r>
              <w:rPr>
                <w:rFonts w:ascii="Cambria Math" w:hAnsi="Cambria Math"/>
                <w:sz w:val="22"/>
                <w:szCs w:val="22"/>
              </w:rPr>
              <m:t>l1</m:t>
            </m:r>
          </m:e>
        </m:d>
      </m:oMath>
      <w:r w:rsidRPr="00980605">
        <w:rPr>
          <w:rFonts w:asciiTheme="minorHAnsi" w:hAnsiTheme="minorHAnsi"/>
          <w:sz w:val="22"/>
          <w:szCs w:val="22"/>
        </w:rPr>
        <w:t xml:space="preserve">enters </w:t>
      </w:r>
      <w:r w:rsidRPr="00980605">
        <w:rPr>
          <w:rStyle w:val="Strong"/>
          <w:rFonts w:asciiTheme="minorHAnsi" w:eastAsiaTheme="majorEastAsia" w:hAnsiTheme="minorHAnsi"/>
          <w:b w:val="0"/>
          <w:bCs w:val="0"/>
          <w:sz w:val="22"/>
          <w:szCs w:val="22"/>
        </w:rPr>
        <w:t>positively</w:t>
      </w:r>
      <w:r w:rsidRPr="00980605">
        <w:rPr>
          <w:rFonts w:asciiTheme="minorHAnsi" w:hAnsiTheme="minorHAnsi"/>
          <w:sz w:val="22"/>
          <w:szCs w:val="22"/>
        </w:rPr>
        <w:t xml:space="preserve"> (around </w:t>
      </w:r>
      <w:r w:rsidRPr="00980605">
        <w:rPr>
          <w:rStyle w:val="Strong"/>
          <w:rFonts w:asciiTheme="minorHAnsi" w:eastAsiaTheme="majorEastAsia" w:hAnsiTheme="minorHAnsi"/>
          <w:b w:val="0"/>
          <w:bCs w:val="0"/>
          <w:sz w:val="22"/>
          <w:szCs w:val="22"/>
        </w:rPr>
        <w:t>0.86</w:t>
      </w:r>
      <w:r w:rsidRPr="00980605">
        <w:rPr>
          <w:rFonts w:asciiTheme="minorHAnsi" w:hAnsiTheme="minorHAnsi"/>
          <w:sz w:val="22"/>
          <w:szCs w:val="22"/>
        </w:rPr>
        <w:t xml:space="preserve">) and is </w:t>
      </w:r>
      <w:r w:rsidRPr="00980605">
        <w:rPr>
          <w:rStyle w:val="Strong"/>
          <w:rFonts w:asciiTheme="minorHAnsi" w:eastAsiaTheme="majorEastAsia" w:hAnsiTheme="minorHAnsi"/>
          <w:b w:val="0"/>
          <w:bCs w:val="0"/>
          <w:sz w:val="22"/>
          <w:szCs w:val="22"/>
        </w:rPr>
        <w:t>statistically significant at the 5% level</w:t>
      </w:r>
      <w:r w:rsidRPr="00980605">
        <w:rPr>
          <w:rFonts w:asciiTheme="minorHAnsi" w:hAnsiTheme="minorHAnsi"/>
          <w:sz w:val="22"/>
          <w:szCs w:val="22"/>
        </w:rPr>
        <w:t xml:space="preserve">. Conditional on state and time fixed effects, periods with higher lagged policy rates are associated with higher current price levels. This sign reversal relative to the ARDL/DL results suggests that the FE model is picking up </w:t>
      </w:r>
      <w:r w:rsidRPr="00980605">
        <w:rPr>
          <w:rStyle w:val="Strong"/>
          <w:rFonts w:asciiTheme="minorHAnsi" w:eastAsiaTheme="majorEastAsia" w:hAnsiTheme="minorHAnsi"/>
          <w:b w:val="0"/>
          <w:bCs w:val="0"/>
          <w:sz w:val="22"/>
          <w:szCs w:val="22"/>
        </w:rPr>
        <w:t>monetary-policy regime timing rather than causal effects</w:t>
      </w:r>
      <w:r w:rsidRPr="00980605">
        <w:rPr>
          <w:rFonts w:asciiTheme="minorHAnsi" w:hAnsiTheme="minorHAnsi"/>
          <w:sz w:val="22"/>
          <w:szCs w:val="22"/>
        </w:rPr>
        <w:t>: the RBA tends to raise rates in economic expansions—when housing markets are strong—and cut rates when conditions weaken.</w:t>
      </w:r>
    </w:p>
    <w:p w14:paraId="4D55955E" w14:textId="77777777" w:rsidR="00F4391F" w:rsidRPr="00980605" w:rsidRDefault="00F4391F" w:rsidP="00F4391F">
      <w:pPr>
        <w:pStyle w:val="NormalWeb"/>
        <w:rPr>
          <w:rFonts w:asciiTheme="minorHAnsi" w:hAnsiTheme="minorHAnsi"/>
          <w:sz w:val="22"/>
          <w:szCs w:val="22"/>
        </w:rPr>
      </w:pPr>
      <w:r w:rsidRPr="00980605">
        <w:rPr>
          <w:rStyle w:val="Strong"/>
          <w:rFonts w:asciiTheme="minorHAnsi" w:eastAsiaTheme="majorEastAsia" w:hAnsiTheme="minorHAnsi"/>
          <w:b w:val="0"/>
          <w:bCs w:val="0"/>
          <w:sz w:val="22"/>
          <w:szCs w:val="22"/>
        </w:rPr>
        <w:t>Second, the unemployment rate</w:t>
      </w:r>
      <w:r w:rsidRPr="00980605">
        <w:rPr>
          <w:rFonts w:asciiTheme="minorHAnsi" w:hAnsiTheme="minorHAnsi"/>
          <w:sz w:val="22"/>
          <w:szCs w:val="22"/>
        </w:rPr>
        <w:t xml:space="preserve"> has a </w:t>
      </w:r>
      <w:r w:rsidRPr="00980605">
        <w:rPr>
          <w:rStyle w:val="Strong"/>
          <w:rFonts w:asciiTheme="minorHAnsi" w:eastAsiaTheme="majorEastAsia" w:hAnsiTheme="minorHAnsi"/>
          <w:b w:val="0"/>
          <w:bCs w:val="0"/>
          <w:sz w:val="22"/>
          <w:szCs w:val="22"/>
        </w:rPr>
        <w:t>negative coefficient</w:t>
      </w:r>
      <w:r w:rsidRPr="00980605">
        <w:rPr>
          <w:rFonts w:asciiTheme="minorHAnsi" w:hAnsiTheme="minorHAnsi"/>
          <w:sz w:val="22"/>
          <w:szCs w:val="22"/>
        </w:rPr>
        <w:t xml:space="preserve"> (around </w:t>
      </w:r>
      <w:r w:rsidRPr="00980605">
        <w:rPr>
          <w:rStyle w:val="Strong"/>
          <w:rFonts w:asciiTheme="minorHAnsi" w:eastAsiaTheme="majorEastAsia" w:hAnsiTheme="minorHAnsi"/>
          <w:b w:val="0"/>
          <w:bCs w:val="0"/>
          <w:sz w:val="22"/>
          <w:szCs w:val="22"/>
        </w:rPr>
        <w:t>–0.13</w:t>
      </w:r>
      <w:r w:rsidRPr="00980605">
        <w:rPr>
          <w:rFonts w:asciiTheme="minorHAnsi" w:hAnsiTheme="minorHAnsi"/>
          <w:sz w:val="22"/>
          <w:szCs w:val="22"/>
        </w:rPr>
        <w:t xml:space="preserve">) that is also </w:t>
      </w:r>
      <w:r w:rsidRPr="00980605">
        <w:rPr>
          <w:rStyle w:val="Strong"/>
          <w:rFonts w:asciiTheme="minorHAnsi" w:eastAsiaTheme="majorEastAsia" w:hAnsiTheme="minorHAnsi"/>
          <w:b w:val="0"/>
          <w:bCs w:val="0"/>
          <w:sz w:val="22"/>
          <w:szCs w:val="22"/>
        </w:rPr>
        <w:t>statistically significant at the 5% level</w:t>
      </w:r>
      <w:r w:rsidRPr="00980605">
        <w:rPr>
          <w:rFonts w:asciiTheme="minorHAnsi" w:hAnsiTheme="minorHAnsi"/>
          <w:sz w:val="22"/>
          <w:szCs w:val="22"/>
        </w:rPr>
        <w:t>. This indicates that, after purging unobserved heterogeneity, higher local unemployment is associated with lower house prices, aligning with the dynamic ARDL finding that labour-market weakness depresses housing demand.</w:t>
      </w:r>
    </w:p>
    <w:p w14:paraId="675014A8" w14:textId="713A86F7" w:rsidR="00F4391F" w:rsidRPr="00980605" w:rsidRDefault="00F4391F" w:rsidP="00F4391F">
      <w:pPr>
        <w:pStyle w:val="NormalWeb"/>
        <w:rPr>
          <w:rFonts w:asciiTheme="minorHAnsi" w:hAnsiTheme="minorHAnsi"/>
          <w:sz w:val="22"/>
          <w:szCs w:val="22"/>
        </w:rPr>
      </w:pPr>
      <w:r w:rsidRPr="00980605">
        <w:rPr>
          <w:rStyle w:val="Strong"/>
          <w:rFonts w:asciiTheme="minorHAnsi" w:eastAsiaTheme="majorEastAsia" w:hAnsiTheme="minorHAnsi"/>
          <w:b w:val="0"/>
          <w:bCs w:val="0"/>
          <w:sz w:val="22"/>
          <w:szCs w:val="22"/>
        </w:rPr>
        <w:t>Third, the interaction between the lagged policy rate and the local supply gap</w:t>
      </w:r>
      <w:r w:rsidRPr="00980605">
        <w:rPr>
          <w:rFonts w:asciiTheme="minorHAnsi" w:hAnsiTheme="minorHAnsi"/>
          <w:sz w:val="22"/>
          <w:szCs w:val="22"/>
        </w:rPr>
        <w:t xml:space="preserve"> </w:t>
      </w:r>
      <m:oMath>
        <m:d>
          <m:dPr>
            <m:ctrlPr>
              <w:rPr>
                <w:rFonts w:ascii="Cambria Math" w:hAnsi="Cambria Math"/>
                <w:sz w:val="22"/>
                <w:szCs w:val="22"/>
              </w:rPr>
            </m:ctrlPr>
          </m:dPr>
          <m:e>
            <m:r>
              <w:rPr>
                <w:rFonts w:ascii="Cambria Math" w:hAnsi="Cambria Math"/>
                <w:sz w:val="22"/>
                <w:szCs w:val="22"/>
              </w:rPr>
              <m:t>rate</m:t>
            </m:r>
            <m:r>
              <m:rPr>
                <m:sty m:val="p"/>
              </m:rPr>
              <w:rPr>
                <w:rFonts w:ascii="Cambria Math" w:hAnsi="Cambria Math"/>
                <w:sz w:val="22"/>
                <w:szCs w:val="22"/>
              </w:rPr>
              <m:t>_</m:t>
            </m:r>
            <m:r>
              <w:rPr>
                <w:rFonts w:ascii="Cambria Math" w:hAnsi="Cambria Math"/>
                <w:sz w:val="22"/>
                <w:szCs w:val="22"/>
              </w:rPr>
              <m:t>x</m:t>
            </m:r>
            <m:r>
              <m:rPr>
                <m:sty m:val="p"/>
              </m:rPr>
              <w:rPr>
                <w:rFonts w:ascii="Cambria Math" w:hAnsi="Cambria Math"/>
                <w:sz w:val="22"/>
                <w:szCs w:val="22"/>
              </w:rPr>
              <m:t>_</m:t>
            </m:r>
            <m:r>
              <w:rPr>
                <w:rFonts w:ascii="Cambria Math" w:hAnsi="Cambria Math"/>
                <w:sz w:val="22"/>
                <w:szCs w:val="22"/>
              </w:rPr>
              <m:t>supply</m:t>
            </m:r>
            <m:r>
              <m:rPr>
                <m:sty m:val="p"/>
              </m:rPr>
              <w:rPr>
                <w:rFonts w:ascii="Cambria Math" w:hAnsi="Cambria Math"/>
                <w:sz w:val="22"/>
                <w:szCs w:val="22"/>
              </w:rPr>
              <m:t>_</m:t>
            </m:r>
            <m:r>
              <w:rPr>
                <w:rFonts w:ascii="Cambria Math" w:hAnsi="Cambria Math"/>
                <w:sz w:val="22"/>
                <w:szCs w:val="22"/>
              </w:rPr>
              <m:t>gap</m:t>
            </m:r>
            <m:r>
              <m:rPr>
                <m:sty m:val="p"/>
              </m:rPr>
              <w:rPr>
                <w:rFonts w:ascii="Cambria Math" w:hAnsi="Cambria Math"/>
                <w:sz w:val="22"/>
                <w:szCs w:val="22"/>
              </w:rPr>
              <m:t>_</m:t>
            </m:r>
            <m:r>
              <w:rPr>
                <w:rFonts w:ascii="Cambria Math" w:hAnsi="Cambria Math"/>
                <w:sz w:val="22"/>
                <w:szCs w:val="22"/>
              </w:rPr>
              <m:t>l1</m:t>
            </m:r>
          </m:e>
        </m:d>
      </m:oMath>
      <w:r w:rsidRPr="00980605">
        <w:rPr>
          <w:rFonts w:asciiTheme="minorHAnsi" w:hAnsiTheme="minorHAnsi"/>
          <w:sz w:val="22"/>
          <w:szCs w:val="22"/>
        </w:rPr>
        <w:t xml:space="preserve">is </w:t>
      </w:r>
      <w:r w:rsidRPr="00980605">
        <w:rPr>
          <w:rStyle w:val="Strong"/>
          <w:rFonts w:asciiTheme="minorHAnsi" w:eastAsiaTheme="majorEastAsia" w:hAnsiTheme="minorHAnsi"/>
          <w:b w:val="0"/>
          <w:bCs w:val="0"/>
          <w:sz w:val="22"/>
          <w:szCs w:val="22"/>
        </w:rPr>
        <w:t>positive</w:t>
      </w:r>
      <w:r w:rsidRPr="00980605">
        <w:rPr>
          <w:rFonts w:asciiTheme="minorHAnsi" w:hAnsiTheme="minorHAnsi"/>
          <w:sz w:val="22"/>
          <w:szCs w:val="22"/>
        </w:rPr>
        <w:t xml:space="preserve"> (around </w:t>
      </w:r>
      <w:r w:rsidRPr="00980605">
        <w:rPr>
          <w:rStyle w:val="Strong"/>
          <w:rFonts w:asciiTheme="minorHAnsi" w:eastAsiaTheme="majorEastAsia" w:hAnsiTheme="minorHAnsi"/>
          <w:b w:val="0"/>
          <w:bCs w:val="0"/>
          <w:sz w:val="22"/>
          <w:szCs w:val="22"/>
        </w:rPr>
        <w:t>0.10</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marginally significant at the 10% level</w:t>
      </w:r>
      <w:r w:rsidRPr="00980605">
        <w:rPr>
          <w:rFonts w:asciiTheme="minorHAnsi" w:hAnsiTheme="minorHAnsi"/>
          <w:sz w:val="22"/>
          <w:szCs w:val="22"/>
        </w:rPr>
        <w:t xml:space="preserve">. This suggests heterogeneous policy transmission: in markets where supply is tight (larger </w:t>
      </w:r>
      <w:r w:rsidRPr="00980605">
        <w:rPr>
          <w:rFonts w:asciiTheme="minorHAnsi" w:hAnsiTheme="minorHAnsi"/>
          <w:sz w:val="22"/>
          <w:szCs w:val="22"/>
        </w:rPr>
        <w:lastRenderedPageBreak/>
        <w:t>supply gaps), the price response to higher interest rates is less negative—consistent with constrained supply limiting the extent of price declines.</w:t>
      </w:r>
    </w:p>
    <w:p w14:paraId="06356540" w14:textId="77777777" w:rsidR="00F4391F" w:rsidRPr="00980605" w:rsidRDefault="00F4391F" w:rsidP="00F4391F">
      <w:pPr>
        <w:pStyle w:val="NormalWeb"/>
        <w:rPr>
          <w:rFonts w:asciiTheme="minorHAnsi" w:hAnsiTheme="minorHAnsi"/>
          <w:sz w:val="22"/>
          <w:szCs w:val="22"/>
        </w:rPr>
      </w:pPr>
      <w:r w:rsidRPr="00980605">
        <w:rPr>
          <w:rFonts w:asciiTheme="minorHAnsi" w:hAnsiTheme="minorHAnsi"/>
          <w:sz w:val="22"/>
          <w:szCs w:val="22"/>
        </w:rPr>
        <w:t xml:space="preserve">In contrast, the coefficients on </w:t>
      </w:r>
      <w:r w:rsidRPr="00980605">
        <w:rPr>
          <w:rStyle w:val="Strong"/>
          <w:rFonts w:asciiTheme="minorHAnsi" w:eastAsiaTheme="majorEastAsia" w:hAnsiTheme="minorHAnsi"/>
          <w:b w:val="0"/>
          <w:bCs w:val="0"/>
          <w:sz w:val="22"/>
          <w:szCs w:val="22"/>
        </w:rPr>
        <w:t>completion intensity</w:t>
      </w:r>
      <w:r w:rsidRPr="00980605">
        <w:rPr>
          <w:rFonts w:asciiTheme="minorHAnsi" w:hAnsiTheme="minorHAnsi"/>
          <w:sz w:val="22"/>
          <w:szCs w:val="22"/>
        </w:rPr>
        <w:t xml:space="preserve">, </w:t>
      </w:r>
      <w:r w:rsidRPr="00980605">
        <w:rPr>
          <w:rStyle w:val="Strong"/>
          <w:rFonts w:asciiTheme="minorHAnsi" w:eastAsiaTheme="majorEastAsia" w:hAnsiTheme="minorHAnsi"/>
          <w:b w:val="0"/>
          <w:bCs w:val="0"/>
          <w:sz w:val="22"/>
          <w:szCs w:val="22"/>
        </w:rPr>
        <w:t>log population</w:t>
      </w:r>
      <w:r w:rsidRPr="00980605">
        <w:rPr>
          <w:rFonts w:asciiTheme="minorHAnsi" w:hAnsiTheme="minorHAnsi"/>
          <w:sz w:val="22"/>
          <w:szCs w:val="22"/>
        </w:rPr>
        <w:t xml:space="preserve">, </w:t>
      </w:r>
      <w:r w:rsidRPr="00980605">
        <w:rPr>
          <w:rStyle w:val="Strong"/>
          <w:rFonts w:asciiTheme="minorHAnsi" w:eastAsiaTheme="majorEastAsia" w:hAnsiTheme="minorHAnsi"/>
          <w:b w:val="0"/>
          <w:bCs w:val="0"/>
          <w:sz w:val="22"/>
          <w:szCs w:val="22"/>
        </w:rPr>
        <w:t>log approvals</w:t>
      </w:r>
      <w:r w:rsidRPr="00980605">
        <w:rPr>
          <w:rFonts w:asciiTheme="minorHAnsi" w:hAnsiTheme="minorHAnsi"/>
          <w:sz w:val="22"/>
          <w:szCs w:val="22"/>
        </w:rPr>
        <w:t xml:space="preserve">, and </w:t>
      </w:r>
      <w:r w:rsidRPr="00980605">
        <w:rPr>
          <w:rStyle w:val="Strong"/>
          <w:rFonts w:asciiTheme="minorHAnsi" w:eastAsiaTheme="majorEastAsia" w:hAnsiTheme="minorHAnsi"/>
          <w:b w:val="0"/>
          <w:bCs w:val="0"/>
          <w:sz w:val="22"/>
          <w:szCs w:val="22"/>
        </w:rPr>
        <w:t>national nominal inflows</w:t>
      </w:r>
      <w:r w:rsidRPr="00980605">
        <w:rPr>
          <w:rFonts w:asciiTheme="minorHAnsi" w:hAnsiTheme="minorHAnsi"/>
          <w:sz w:val="22"/>
          <w:szCs w:val="22"/>
        </w:rPr>
        <w:t xml:space="preserve"> are </w:t>
      </w:r>
      <w:r w:rsidRPr="00980605">
        <w:rPr>
          <w:rStyle w:val="Strong"/>
          <w:rFonts w:asciiTheme="minorHAnsi" w:eastAsiaTheme="majorEastAsia" w:hAnsiTheme="minorHAnsi"/>
          <w:b w:val="0"/>
          <w:bCs w:val="0"/>
          <w:sz w:val="22"/>
          <w:szCs w:val="22"/>
        </w:rPr>
        <w:t>imprecisely estimated and not statistically different from zero at conventional levels</w:t>
      </w:r>
      <w:r w:rsidRPr="00980605">
        <w:rPr>
          <w:rFonts w:asciiTheme="minorHAnsi" w:hAnsiTheme="minorHAnsi"/>
          <w:sz w:val="22"/>
          <w:szCs w:val="22"/>
        </w:rPr>
        <w:t xml:space="preserve">. These variables should therefore be interpreted primarily as </w:t>
      </w:r>
      <w:r w:rsidRPr="00980605">
        <w:rPr>
          <w:rStyle w:val="Strong"/>
          <w:rFonts w:asciiTheme="minorHAnsi" w:eastAsiaTheme="majorEastAsia" w:hAnsiTheme="minorHAnsi"/>
          <w:b w:val="0"/>
          <w:bCs w:val="0"/>
          <w:sz w:val="22"/>
          <w:szCs w:val="22"/>
        </w:rPr>
        <w:t>structural controls</w:t>
      </w:r>
      <w:r w:rsidRPr="00980605">
        <w:rPr>
          <w:rFonts w:asciiTheme="minorHAnsi" w:hAnsiTheme="minorHAnsi"/>
          <w:sz w:val="22"/>
          <w:szCs w:val="22"/>
        </w:rPr>
        <w:t>, not as precisely estimated determinants of price levels in this two-state panel.</w:t>
      </w:r>
    </w:p>
    <w:p w14:paraId="2C54DE17" w14:textId="2706E4DC" w:rsidR="0026229A" w:rsidRPr="0026229A" w:rsidRDefault="0026229A" w:rsidP="0026229A">
      <w:pPr>
        <w:spacing w:before="100" w:beforeAutospacing="1" w:after="100" w:afterAutospacing="1"/>
        <w:rPr>
          <w:rFonts w:asciiTheme="minorHAnsi" w:hAnsiTheme="minorHAnsi"/>
          <w:sz w:val="22"/>
          <w:szCs w:val="22"/>
        </w:rPr>
      </w:pPr>
      <w:r w:rsidRPr="0026229A">
        <w:rPr>
          <w:rFonts w:asciiTheme="minorHAnsi" w:hAnsiTheme="minorHAnsi"/>
          <w:i/>
          <w:iCs/>
          <w:sz w:val="22"/>
          <w:szCs w:val="22"/>
        </w:rPr>
        <w:t>Figure 4:</w:t>
      </w:r>
    </w:p>
    <w:p w14:paraId="7AD66331" w14:textId="75513B67" w:rsidR="00E14080" w:rsidRPr="00980605" w:rsidRDefault="009F155C" w:rsidP="0026229A">
      <w:pPr>
        <w:rPr>
          <w:rFonts w:asciiTheme="minorHAnsi" w:hAnsiTheme="minorHAnsi"/>
          <w:sz w:val="22"/>
          <w:szCs w:val="22"/>
        </w:rPr>
      </w:pPr>
      <w:r w:rsidRPr="00980605">
        <w:rPr>
          <w:rFonts w:asciiTheme="minorHAnsi" w:hAnsiTheme="minorHAnsi"/>
          <w:noProof/>
          <w:sz w:val="22"/>
          <w:szCs w:val="22"/>
        </w:rPr>
        <w:drawing>
          <wp:inline distT="0" distB="0" distL="0" distR="0" wp14:anchorId="4860E105" wp14:editId="0DA1AB5D">
            <wp:extent cx="5731510" cy="3582035"/>
            <wp:effectExtent l="0" t="0" r="0" b="0"/>
            <wp:docPr id="965311969" name="Picture 2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11969" name="Picture 22" descr="A graph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1949EED" w14:textId="77777777" w:rsidR="009F155C" w:rsidRPr="0026229A" w:rsidRDefault="009F155C" w:rsidP="009F155C">
      <w:pPr>
        <w:spacing w:before="100" w:beforeAutospacing="1" w:after="100" w:afterAutospacing="1"/>
        <w:rPr>
          <w:rFonts w:asciiTheme="minorHAnsi" w:hAnsiTheme="minorHAnsi"/>
          <w:sz w:val="22"/>
          <w:szCs w:val="22"/>
        </w:rPr>
      </w:pPr>
      <w:r w:rsidRPr="0026229A">
        <w:rPr>
          <w:rFonts w:asciiTheme="minorHAnsi" w:hAnsiTheme="minorHAnsi"/>
          <w:sz w:val="22"/>
          <w:szCs w:val="22"/>
        </w:rPr>
        <w:t>Overall, the FE results complement the ARDL/DL evidence. The dynamic specifications emphasise the contractionary impact of interest-rate hikes and labour-market slack on the path of house prices. The FE model shows that, once we condition on time and state effects, prices are higher in periods when the policy rate and labour-market conditions are stronger, consistent with interest rates reacting endogenously to underlying housing-market strength.</w:t>
      </w:r>
    </w:p>
    <w:p w14:paraId="5AE56E22" w14:textId="31D876FE" w:rsidR="0002003D" w:rsidRPr="00980605" w:rsidRDefault="008806D3" w:rsidP="0002003D">
      <w:pPr>
        <w:pStyle w:val="Heading3"/>
        <w:rPr>
          <w:rFonts w:asciiTheme="minorHAnsi" w:hAnsiTheme="minorHAnsi"/>
          <w:sz w:val="24"/>
          <w:szCs w:val="24"/>
        </w:rPr>
      </w:pPr>
      <w:r w:rsidRPr="00980605">
        <w:rPr>
          <w:rFonts w:asciiTheme="minorHAnsi" w:hAnsiTheme="minorHAnsi"/>
          <w:sz w:val="24"/>
          <w:szCs w:val="24"/>
        </w:rPr>
        <w:t>4</w:t>
      </w:r>
      <w:r w:rsidR="0002003D" w:rsidRPr="00980605">
        <w:rPr>
          <w:rFonts w:asciiTheme="minorHAnsi" w:hAnsiTheme="minorHAnsi"/>
          <w:sz w:val="24"/>
          <w:szCs w:val="24"/>
        </w:rPr>
        <w:t>. Discussion &amp; Policy Implications</w:t>
      </w:r>
    </w:p>
    <w:p w14:paraId="2EBEE33F" w14:textId="08674650" w:rsidR="0002003D" w:rsidRPr="00980605" w:rsidRDefault="008806D3" w:rsidP="0002003D">
      <w:pPr>
        <w:pStyle w:val="Heading4"/>
        <w:rPr>
          <w:rFonts w:asciiTheme="minorHAnsi" w:hAnsiTheme="minorHAnsi"/>
          <w:sz w:val="22"/>
          <w:szCs w:val="22"/>
        </w:rPr>
      </w:pPr>
      <w:r w:rsidRPr="00980605">
        <w:rPr>
          <w:rFonts w:asciiTheme="minorHAnsi" w:hAnsiTheme="minorHAnsi"/>
          <w:sz w:val="22"/>
          <w:szCs w:val="22"/>
        </w:rPr>
        <w:t>4</w:t>
      </w:r>
      <w:r w:rsidR="0002003D" w:rsidRPr="00980605">
        <w:rPr>
          <w:rFonts w:asciiTheme="minorHAnsi" w:hAnsiTheme="minorHAnsi"/>
          <w:sz w:val="22"/>
          <w:szCs w:val="22"/>
        </w:rPr>
        <w:t>.1 What drives house prices in the short run?</w:t>
      </w:r>
    </w:p>
    <w:p w14:paraId="6C20BA01" w14:textId="77777777" w:rsidR="0002003D" w:rsidRPr="00980605" w:rsidRDefault="0002003D" w:rsidP="0002003D">
      <w:pPr>
        <w:pStyle w:val="NormalWeb"/>
        <w:rPr>
          <w:rFonts w:asciiTheme="minorHAnsi" w:hAnsiTheme="minorHAnsi"/>
          <w:sz w:val="22"/>
          <w:szCs w:val="22"/>
        </w:rPr>
      </w:pPr>
      <w:r w:rsidRPr="00980605">
        <w:rPr>
          <w:rFonts w:asciiTheme="minorHAnsi" w:hAnsiTheme="minorHAnsi"/>
          <w:sz w:val="22"/>
          <w:szCs w:val="22"/>
        </w:rPr>
        <w:t>The dynamic models point to two clear short-run drivers of Sydney and Melbourne house prices:</w:t>
      </w:r>
    </w:p>
    <w:p w14:paraId="3E8CBB90" w14:textId="77777777" w:rsidR="0002003D" w:rsidRPr="00980605" w:rsidRDefault="0002003D" w:rsidP="0002003D">
      <w:pPr>
        <w:pStyle w:val="NormalWeb"/>
        <w:numPr>
          <w:ilvl w:val="0"/>
          <w:numId w:val="38"/>
        </w:numPr>
        <w:rPr>
          <w:rFonts w:asciiTheme="minorHAnsi" w:hAnsiTheme="minorHAnsi"/>
          <w:sz w:val="22"/>
          <w:szCs w:val="22"/>
        </w:rPr>
      </w:pPr>
      <w:r w:rsidRPr="00980605">
        <w:rPr>
          <w:rStyle w:val="Strong"/>
          <w:rFonts w:asciiTheme="minorHAnsi" w:eastAsiaTheme="majorEastAsia" w:hAnsiTheme="minorHAnsi"/>
          <w:sz w:val="22"/>
          <w:szCs w:val="22"/>
        </w:rPr>
        <w:t>Interest rates:</w:t>
      </w:r>
      <w:r w:rsidRPr="00980605">
        <w:rPr>
          <w:rFonts w:asciiTheme="minorHAnsi" w:hAnsiTheme="minorHAnsi"/>
          <w:sz w:val="22"/>
          <w:szCs w:val="22"/>
        </w:rPr>
        <w:br/>
        <w:t xml:space="preserve">Increases in the </w:t>
      </w:r>
      <w:r w:rsidRPr="00980605">
        <w:rPr>
          <w:rStyle w:val="Strong"/>
          <w:rFonts w:asciiTheme="minorHAnsi" w:eastAsiaTheme="majorEastAsia" w:hAnsiTheme="minorHAnsi"/>
          <w:b w:val="0"/>
          <w:bCs w:val="0"/>
          <w:sz w:val="22"/>
          <w:szCs w:val="22"/>
        </w:rPr>
        <w:t>cash rate</w:t>
      </w:r>
      <w:r w:rsidRPr="00980605">
        <w:rPr>
          <w:rFonts w:asciiTheme="minorHAnsi" w:hAnsiTheme="minorHAnsi"/>
          <w:sz w:val="22"/>
          <w:szCs w:val="22"/>
        </w:rPr>
        <w:t xml:space="preserve"> are followed by </w:t>
      </w:r>
      <w:r w:rsidRPr="00980605">
        <w:rPr>
          <w:rStyle w:val="Strong"/>
          <w:rFonts w:asciiTheme="minorHAnsi" w:eastAsiaTheme="majorEastAsia" w:hAnsiTheme="minorHAnsi"/>
          <w:b w:val="0"/>
          <w:bCs w:val="0"/>
          <w:sz w:val="22"/>
          <w:szCs w:val="22"/>
        </w:rPr>
        <w:t>slower real house price growth over the next few quarters</w:t>
      </w:r>
      <w:r w:rsidRPr="00980605">
        <w:rPr>
          <w:rFonts w:asciiTheme="minorHAnsi" w:hAnsiTheme="minorHAnsi"/>
          <w:b/>
          <w:bCs/>
          <w:sz w:val="22"/>
          <w:szCs w:val="22"/>
        </w:rPr>
        <w:t>.</w:t>
      </w:r>
      <w:r w:rsidRPr="00980605">
        <w:rPr>
          <w:rFonts w:asciiTheme="minorHAnsi" w:hAnsiTheme="minorHAnsi"/>
          <w:sz w:val="22"/>
          <w:szCs w:val="22"/>
        </w:rPr>
        <w:t xml:space="preserve"> This is consistent with higher borrowing costs tightening credit conditions and dampening demand.</w:t>
      </w:r>
    </w:p>
    <w:p w14:paraId="38045F40" w14:textId="77777777" w:rsidR="0002003D" w:rsidRPr="00980605" w:rsidRDefault="0002003D" w:rsidP="0002003D">
      <w:pPr>
        <w:pStyle w:val="NormalWeb"/>
        <w:numPr>
          <w:ilvl w:val="0"/>
          <w:numId w:val="38"/>
        </w:numPr>
        <w:rPr>
          <w:rFonts w:asciiTheme="minorHAnsi" w:hAnsiTheme="minorHAnsi"/>
          <w:sz w:val="22"/>
          <w:szCs w:val="22"/>
        </w:rPr>
      </w:pPr>
      <w:r w:rsidRPr="00980605">
        <w:rPr>
          <w:rStyle w:val="Strong"/>
          <w:rFonts w:asciiTheme="minorHAnsi" w:eastAsiaTheme="majorEastAsia" w:hAnsiTheme="minorHAnsi"/>
          <w:sz w:val="22"/>
          <w:szCs w:val="22"/>
        </w:rPr>
        <w:t>Labour market conditions:</w:t>
      </w:r>
    </w:p>
    <w:p w14:paraId="1AC6EF39" w14:textId="77777777" w:rsidR="0002003D" w:rsidRPr="00980605" w:rsidRDefault="0002003D" w:rsidP="0002003D">
      <w:pPr>
        <w:pStyle w:val="NormalWeb"/>
        <w:numPr>
          <w:ilvl w:val="1"/>
          <w:numId w:val="38"/>
        </w:numPr>
        <w:rPr>
          <w:rFonts w:asciiTheme="minorHAnsi" w:hAnsiTheme="minorHAnsi"/>
          <w:b/>
          <w:bCs/>
          <w:sz w:val="22"/>
          <w:szCs w:val="22"/>
        </w:rPr>
      </w:pPr>
      <w:r w:rsidRPr="00980605">
        <w:rPr>
          <w:rFonts w:asciiTheme="minorHAnsi" w:hAnsiTheme="minorHAnsi"/>
          <w:sz w:val="22"/>
          <w:szCs w:val="22"/>
        </w:rPr>
        <w:t xml:space="preserve">A </w:t>
      </w:r>
      <w:r w:rsidRPr="00980605">
        <w:rPr>
          <w:rStyle w:val="Strong"/>
          <w:rFonts w:asciiTheme="minorHAnsi" w:eastAsiaTheme="majorEastAsia" w:hAnsiTheme="minorHAnsi"/>
          <w:b w:val="0"/>
          <w:bCs w:val="0"/>
          <w:sz w:val="22"/>
          <w:szCs w:val="22"/>
        </w:rPr>
        <w:t>higher unemployment rate</w:t>
      </w:r>
      <w:r w:rsidRPr="00980605">
        <w:rPr>
          <w:rFonts w:asciiTheme="minorHAnsi" w:hAnsiTheme="minorHAnsi"/>
          <w:sz w:val="22"/>
          <w:szCs w:val="22"/>
        </w:rPr>
        <w:t xml:space="preserve"> is associated with </w:t>
      </w:r>
      <w:r w:rsidRPr="00980605">
        <w:rPr>
          <w:rStyle w:val="Strong"/>
          <w:rFonts w:asciiTheme="minorHAnsi" w:eastAsiaTheme="majorEastAsia" w:hAnsiTheme="minorHAnsi"/>
          <w:b w:val="0"/>
          <w:bCs w:val="0"/>
          <w:sz w:val="22"/>
          <w:szCs w:val="22"/>
        </w:rPr>
        <w:t>weaker subsequent price growth</w:t>
      </w:r>
      <w:r w:rsidRPr="00980605">
        <w:rPr>
          <w:rFonts w:asciiTheme="minorHAnsi" w:hAnsiTheme="minorHAnsi"/>
          <w:b/>
          <w:bCs/>
          <w:sz w:val="22"/>
          <w:szCs w:val="22"/>
        </w:rPr>
        <w:t>.</w:t>
      </w:r>
    </w:p>
    <w:p w14:paraId="5CD4106F" w14:textId="77777777" w:rsidR="0002003D" w:rsidRPr="00980605" w:rsidRDefault="0002003D" w:rsidP="0002003D">
      <w:pPr>
        <w:pStyle w:val="NormalWeb"/>
        <w:numPr>
          <w:ilvl w:val="1"/>
          <w:numId w:val="38"/>
        </w:numPr>
        <w:rPr>
          <w:rFonts w:asciiTheme="minorHAnsi" w:hAnsiTheme="minorHAnsi"/>
          <w:sz w:val="22"/>
          <w:szCs w:val="22"/>
        </w:rPr>
      </w:pPr>
      <w:r w:rsidRPr="00980605">
        <w:rPr>
          <w:rFonts w:asciiTheme="minorHAnsi" w:hAnsiTheme="minorHAnsi"/>
          <w:sz w:val="22"/>
          <w:szCs w:val="22"/>
        </w:rPr>
        <w:lastRenderedPageBreak/>
        <w:t xml:space="preserve">A </w:t>
      </w:r>
      <w:r w:rsidRPr="00980605">
        <w:rPr>
          <w:rStyle w:val="Strong"/>
          <w:rFonts w:asciiTheme="minorHAnsi" w:eastAsiaTheme="majorEastAsia" w:hAnsiTheme="minorHAnsi"/>
          <w:b w:val="0"/>
          <w:bCs w:val="0"/>
          <w:sz w:val="22"/>
          <w:szCs w:val="22"/>
        </w:rPr>
        <w:t>higher participation rate</w:t>
      </w:r>
      <w:r w:rsidRPr="00980605">
        <w:rPr>
          <w:rFonts w:asciiTheme="minorHAnsi" w:hAnsiTheme="minorHAnsi"/>
          <w:sz w:val="22"/>
          <w:szCs w:val="22"/>
        </w:rPr>
        <w:t xml:space="preserve"> is associated with </w:t>
      </w:r>
      <w:r w:rsidRPr="00980605">
        <w:rPr>
          <w:rStyle w:val="Strong"/>
          <w:rFonts w:asciiTheme="minorHAnsi" w:eastAsiaTheme="majorEastAsia" w:hAnsiTheme="minorHAnsi"/>
          <w:b w:val="0"/>
          <w:bCs w:val="0"/>
          <w:sz w:val="22"/>
          <w:szCs w:val="22"/>
        </w:rPr>
        <w:t>stronger price growth</w:t>
      </w:r>
      <w:r w:rsidRPr="00980605">
        <w:rPr>
          <w:rFonts w:asciiTheme="minorHAnsi" w:hAnsiTheme="minorHAnsi"/>
          <w:sz w:val="22"/>
          <w:szCs w:val="22"/>
        </w:rPr>
        <w:t>, reflecting more people attached to the labour market and able to buy or trade up.</w:t>
      </w:r>
    </w:p>
    <w:p w14:paraId="37569ADF" w14:textId="01B873F4" w:rsidR="0002003D" w:rsidRPr="00980605" w:rsidRDefault="0002003D" w:rsidP="0002003D">
      <w:pPr>
        <w:pStyle w:val="NormalWeb"/>
        <w:rPr>
          <w:rFonts w:asciiTheme="minorHAnsi" w:hAnsiTheme="minorHAnsi"/>
          <w:sz w:val="22"/>
          <w:szCs w:val="22"/>
        </w:rPr>
      </w:pPr>
      <w:r w:rsidRPr="00980605">
        <w:rPr>
          <w:rFonts w:asciiTheme="minorHAnsi" w:hAnsiTheme="minorHAnsi"/>
          <w:sz w:val="22"/>
          <w:szCs w:val="22"/>
        </w:rPr>
        <w:t xml:space="preserve">Once these are controlled for, other variables (such as income or approvals) add relatively little in explaining </w:t>
      </w:r>
      <w:r w:rsidRPr="00980605">
        <w:rPr>
          <w:rStyle w:val="Strong"/>
          <w:rFonts w:asciiTheme="minorHAnsi" w:eastAsiaTheme="majorEastAsia" w:hAnsiTheme="minorHAnsi"/>
          <w:b w:val="0"/>
          <w:bCs w:val="0"/>
          <w:sz w:val="22"/>
          <w:szCs w:val="22"/>
        </w:rPr>
        <w:t>quarter-to-quarter price movements</w:t>
      </w:r>
      <w:r w:rsidRPr="00980605">
        <w:rPr>
          <w:rFonts w:asciiTheme="minorHAnsi" w:hAnsiTheme="minorHAnsi"/>
          <w:sz w:val="22"/>
          <w:szCs w:val="22"/>
        </w:rPr>
        <w:t xml:space="preserve">. In the short run, house prices mainly respond to </w:t>
      </w:r>
      <w:r w:rsidRPr="00980605">
        <w:rPr>
          <w:rStyle w:val="Strong"/>
          <w:rFonts w:asciiTheme="minorHAnsi" w:eastAsiaTheme="majorEastAsia" w:hAnsiTheme="minorHAnsi"/>
          <w:b w:val="0"/>
          <w:bCs w:val="0"/>
          <w:sz w:val="22"/>
          <w:szCs w:val="22"/>
        </w:rPr>
        <w:t>the cost of finance and the strength of the labour market</w:t>
      </w:r>
      <w:r w:rsidRPr="00980605">
        <w:rPr>
          <w:rFonts w:asciiTheme="minorHAnsi" w:hAnsiTheme="minorHAnsi"/>
          <w:sz w:val="22"/>
          <w:szCs w:val="22"/>
        </w:rPr>
        <w:t>.</w:t>
      </w:r>
    </w:p>
    <w:p w14:paraId="1080277E" w14:textId="2F989ED3" w:rsidR="0002003D" w:rsidRPr="00980605" w:rsidRDefault="008806D3" w:rsidP="0002003D">
      <w:pPr>
        <w:pStyle w:val="Heading4"/>
        <w:rPr>
          <w:rFonts w:asciiTheme="minorHAnsi" w:hAnsiTheme="minorHAnsi"/>
          <w:sz w:val="22"/>
          <w:szCs w:val="22"/>
        </w:rPr>
      </w:pPr>
      <w:r w:rsidRPr="00980605">
        <w:rPr>
          <w:rFonts w:asciiTheme="minorHAnsi" w:hAnsiTheme="minorHAnsi"/>
          <w:sz w:val="22"/>
          <w:szCs w:val="22"/>
        </w:rPr>
        <w:t>4</w:t>
      </w:r>
      <w:r w:rsidR="0002003D" w:rsidRPr="00980605">
        <w:rPr>
          <w:rFonts w:asciiTheme="minorHAnsi" w:hAnsiTheme="minorHAnsi"/>
          <w:sz w:val="22"/>
          <w:szCs w:val="22"/>
        </w:rPr>
        <w:t>.2 Longer-run patterns and structural drivers</w:t>
      </w:r>
    </w:p>
    <w:p w14:paraId="1F77D562" w14:textId="77777777" w:rsidR="0002003D" w:rsidRPr="00980605" w:rsidRDefault="0002003D" w:rsidP="0002003D">
      <w:pPr>
        <w:pStyle w:val="NormalWeb"/>
        <w:rPr>
          <w:rFonts w:asciiTheme="minorHAnsi" w:hAnsiTheme="minorHAnsi"/>
          <w:sz w:val="22"/>
          <w:szCs w:val="22"/>
        </w:rPr>
      </w:pPr>
      <w:r w:rsidRPr="00980605">
        <w:rPr>
          <w:rFonts w:asciiTheme="minorHAnsi" w:hAnsiTheme="minorHAnsi"/>
          <w:sz w:val="22"/>
          <w:szCs w:val="22"/>
        </w:rPr>
        <w:t xml:space="preserve">The fixed-effects panel results highlight how </w:t>
      </w:r>
      <w:r w:rsidRPr="00980605">
        <w:rPr>
          <w:rStyle w:val="Strong"/>
          <w:rFonts w:asciiTheme="minorHAnsi" w:eastAsiaTheme="majorEastAsia" w:hAnsiTheme="minorHAnsi"/>
          <w:b w:val="0"/>
          <w:bCs w:val="0"/>
          <w:sz w:val="22"/>
          <w:szCs w:val="22"/>
        </w:rPr>
        <w:t>longer-run price levels</w:t>
      </w:r>
      <w:r w:rsidRPr="00980605">
        <w:rPr>
          <w:rFonts w:asciiTheme="minorHAnsi" w:hAnsiTheme="minorHAnsi"/>
          <w:sz w:val="22"/>
          <w:szCs w:val="22"/>
        </w:rPr>
        <w:t xml:space="preserve"> are shaped:</w:t>
      </w:r>
    </w:p>
    <w:p w14:paraId="5341C473" w14:textId="77777777" w:rsidR="0002003D" w:rsidRPr="00980605" w:rsidRDefault="0002003D" w:rsidP="0002003D">
      <w:pPr>
        <w:pStyle w:val="NormalWeb"/>
        <w:numPr>
          <w:ilvl w:val="0"/>
          <w:numId w:val="39"/>
        </w:numPr>
        <w:rPr>
          <w:rFonts w:asciiTheme="minorHAnsi" w:hAnsiTheme="minorHAnsi"/>
          <w:sz w:val="22"/>
          <w:szCs w:val="22"/>
        </w:rPr>
      </w:pPr>
      <w:r w:rsidRPr="00980605">
        <w:rPr>
          <w:rFonts w:asciiTheme="minorHAnsi" w:hAnsiTheme="minorHAnsi"/>
          <w:sz w:val="22"/>
          <w:szCs w:val="22"/>
        </w:rPr>
        <w:t xml:space="preserve">With only </w:t>
      </w:r>
      <w:r w:rsidRPr="00980605">
        <w:rPr>
          <w:rStyle w:val="Strong"/>
          <w:rFonts w:asciiTheme="minorHAnsi" w:eastAsiaTheme="majorEastAsia" w:hAnsiTheme="minorHAnsi"/>
          <w:b w:val="0"/>
          <w:bCs w:val="0"/>
          <w:sz w:val="22"/>
          <w:szCs w:val="22"/>
        </w:rPr>
        <w:t>Sydney and Melbourne</w:t>
      </w:r>
      <w:r w:rsidRPr="00980605">
        <w:rPr>
          <w:rFonts w:asciiTheme="minorHAnsi" w:hAnsiTheme="minorHAnsi"/>
          <w:sz w:val="22"/>
          <w:szCs w:val="22"/>
        </w:rPr>
        <w:t xml:space="preserve"> in the panel, much of the variation in levels is absorbed by:</w:t>
      </w:r>
    </w:p>
    <w:p w14:paraId="1D1A644B" w14:textId="77777777" w:rsidR="0002003D" w:rsidRPr="00980605" w:rsidRDefault="0002003D" w:rsidP="0002003D">
      <w:pPr>
        <w:pStyle w:val="NormalWeb"/>
        <w:numPr>
          <w:ilvl w:val="1"/>
          <w:numId w:val="39"/>
        </w:numPr>
        <w:rPr>
          <w:rFonts w:asciiTheme="minorHAnsi" w:hAnsiTheme="minorHAnsi"/>
          <w:sz w:val="22"/>
          <w:szCs w:val="22"/>
        </w:rPr>
      </w:pPr>
      <w:r w:rsidRPr="00980605">
        <w:rPr>
          <w:rStyle w:val="Strong"/>
          <w:rFonts w:asciiTheme="minorHAnsi" w:eastAsiaTheme="majorEastAsia" w:hAnsiTheme="minorHAnsi"/>
          <w:sz w:val="22"/>
          <w:szCs w:val="22"/>
        </w:rPr>
        <w:t>City fixed effects</w:t>
      </w:r>
      <w:r w:rsidRPr="00980605">
        <w:rPr>
          <w:rFonts w:asciiTheme="minorHAnsi" w:hAnsiTheme="minorHAnsi"/>
          <w:sz w:val="22"/>
          <w:szCs w:val="22"/>
        </w:rPr>
        <w:t xml:space="preserve"> (structural features such as geography, planning regimes, long-run income profiles), and</w:t>
      </w:r>
    </w:p>
    <w:p w14:paraId="18865608" w14:textId="77777777" w:rsidR="0002003D" w:rsidRPr="00980605" w:rsidRDefault="0002003D" w:rsidP="0002003D">
      <w:pPr>
        <w:pStyle w:val="NormalWeb"/>
        <w:numPr>
          <w:ilvl w:val="1"/>
          <w:numId w:val="39"/>
        </w:numPr>
        <w:rPr>
          <w:rFonts w:asciiTheme="minorHAnsi" w:hAnsiTheme="minorHAnsi"/>
          <w:sz w:val="22"/>
          <w:szCs w:val="22"/>
        </w:rPr>
      </w:pPr>
      <w:r w:rsidRPr="00980605">
        <w:rPr>
          <w:rStyle w:val="Strong"/>
          <w:rFonts w:asciiTheme="minorHAnsi" w:eastAsiaTheme="majorEastAsia" w:hAnsiTheme="minorHAnsi"/>
          <w:sz w:val="22"/>
          <w:szCs w:val="22"/>
        </w:rPr>
        <w:t>Time fixed effects</w:t>
      </w:r>
      <w:r w:rsidRPr="00980605">
        <w:rPr>
          <w:rFonts w:asciiTheme="minorHAnsi" w:hAnsiTheme="minorHAnsi"/>
          <w:sz w:val="22"/>
          <w:szCs w:val="22"/>
        </w:rPr>
        <w:t xml:space="preserve"> (national and global shocks that move both markets together).</w:t>
      </w:r>
    </w:p>
    <w:p w14:paraId="749F4100" w14:textId="77777777" w:rsidR="0002003D" w:rsidRPr="00980605" w:rsidRDefault="0002003D" w:rsidP="0002003D">
      <w:pPr>
        <w:pStyle w:val="NormalWeb"/>
        <w:numPr>
          <w:ilvl w:val="0"/>
          <w:numId w:val="39"/>
        </w:numPr>
        <w:rPr>
          <w:rFonts w:asciiTheme="minorHAnsi" w:hAnsiTheme="minorHAnsi"/>
          <w:sz w:val="22"/>
          <w:szCs w:val="22"/>
        </w:rPr>
      </w:pPr>
      <w:r w:rsidRPr="00980605">
        <w:rPr>
          <w:rFonts w:asciiTheme="minorHAnsi" w:hAnsiTheme="minorHAnsi"/>
          <w:sz w:val="22"/>
          <w:szCs w:val="22"/>
        </w:rPr>
        <w:t xml:space="preserve">Within this structure, </w:t>
      </w:r>
      <w:r w:rsidRPr="00980605">
        <w:rPr>
          <w:rStyle w:val="Strong"/>
          <w:rFonts w:asciiTheme="minorHAnsi" w:eastAsiaTheme="majorEastAsia" w:hAnsiTheme="minorHAnsi"/>
          <w:b w:val="0"/>
          <w:bCs w:val="0"/>
          <w:sz w:val="22"/>
          <w:szCs w:val="22"/>
        </w:rPr>
        <w:t>labour market conditions and supply tightness still matter</w:t>
      </w:r>
      <w:r w:rsidRPr="00980605">
        <w:rPr>
          <w:rFonts w:asciiTheme="minorHAnsi" w:hAnsiTheme="minorHAnsi"/>
          <w:sz w:val="22"/>
          <w:szCs w:val="22"/>
        </w:rPr>
        <w:t>:</w:t>
      </w:r>
    </w:p>
    <w:p w14:paraId="1C8DA3E0" w14:textId="77777777" w:rsidR="0002003D" w:rsidRPr="00980605" w:rsidRDefault="0002003D" w:rsidP="0002003D">
      <w:pPr>
        <w:pStyle w:val="NormalWeb"/>
        <w:numPr>
          <w:ilvl w:val="1"/>
          <w:numId w:val="39"/>
        </w:numPr>
        <w:rPr>
          <w:rFonts w:asciiTheme="minorHAnsi" w:hAnsiTheme="minorHAnsi"/>
          <w:sz w:val="22"/>
          <w:szCs w:val="22"/>
        </w:rPr>
      </w:pPr>
      <w:r w:rsidRPr="00980605">
        <w:rPr>
          <w:rStyle w:val="Strong"/>
          <w:rFonts w:asciiTheme="minorHAnsi" w:eastAsiaTheme="majorEastAsia" w:hAnsiTheme="minorHAnsi"/>
          <w:b w:val="0"/>
          <w:bCs w:val="0"/>
          <w:sz w:val="22"/>
          <w:szCs w:val="22"/>
        </w:rPr>
        <w:t>Higher unemployment</w:t>
      </w:r>
      <w:r w:rsidRPr="00980605">
        <w:rPr>
          <w:rFonts w:asciiTheme="minorHAnsi" w:hAnsiTheme="minorHAnsi"/>
          <w:sz w:val="22"/>
          <w:szCs w:val="22"/>
        </w:rPr>
        <w:t xml:space="preserve"> remains associated with </w:t>
      </w:r>
      <w:r w:rsidRPr="00980605">
        <w:rPr>
          <w:rStyle w:val="Strong"/>
          <w:rFonts w:asciiTheme="minorHAnsi" w:eastAsiaTheme="majorEastAsia" w:hAnsiTheme="minorHAnsi"/>
          <w:b w:val="0"/>
          <w:bCs w:val="0"/>
          <w:sz w:val="22"/>
          <w:szCs w:val="22"/>
        </w:rPr>
        <w:t>lower house prices</w:t>
      </w:r>
      <w:r w:rsidRPr="00980605">
        <w:rPr>
          <w:rFonts w:asciiTheme="minorHAnsi" w:hAnsiTheme="minorHAnsi"/>
          <w:sz w:val="22"/>
          <w:szCs w:val="22"/>
        </w:rPr>
        <w:t>.</w:t>
      </w:r>
    </w:p>
    <w:p w14:paraId="00D47A0F" w14:textId="77777777" w:rsidR="0002003D" w:rsidRPr="00980605" w:rsidRDefault="0002003D" w:rsidP="0002003D">
      <w:pPr>
        <w:pStyle w:val="NormalWeb"/>
        <w:numPr>
          <w:ilvl w:val="1"/>
          <w:numId w:val="39"/>
        </w:numPr>
        <w:rPr>
          <w:rFonts w:asciiTheme="minorHAnsi" w:hAnsiTheme="minorHAnsi"/>
          <w:sz w:val="22"/>
          <w:szCs w:val="22"/>
        </w:rPr>
      </w:pPr>
      <w:r w:rsidRPr="00980605">
        <w:rPr>
          <w:rFonts w:asciiTheme="minorHAnsi" w:hAnsiTheme="minorHAnsi"/>
          <w:sz w:val="22"/>
          <w:szCs w:val="22"/>
        </w:rPr>
        <w:t xml:space="preserve">The </w:t>
      </w:r>
      <w:r w:rsidRPr="00980605">
        <w:rPr>
          <w:rStyle w:val="Strong"/>
          <w:rFonts w:asciiTheme="minorHAnsi" w:eastAsiaTheme="majorEastAsia" w:hAnsiTheme="minorHAnsi"/>
          <w:b w:val="0"/>
          <w:bCs w:val="0"/>
          <w:sz w:val="22"/>
          <w:szCs w:val="22"/>
        </w:rPr>
        <w:t>interaction between interest rates and supply tightness</w:t>
      </w:r>
      <w:r w:rsidRPr="00980605">
        <w:rPr>
          <w:rFonts w:asciiTheme="minorHAnsi" w:hAnsiTheme="minorHAnsi"/>
          <w:sz w:val="22"/>
          <w:szCs w:val="22"/>
        </w:rPr>
        <w:t xml:space="preserve"> is positive: when supply is constrained, a given change in the cash rate is linked to </w:t>
      </w:r>
      <w:r w:rsidRPr="00980605">
        <w:rPr>
          <w:rStyle w:val="Strong"/>
          <w:rFonts w:asciiTheme="minorHAnsi" w:eastAsiaTheme="majorEastAsia" w:hAnsiTheme="minorHAnsi"/>
          <w:b w:val="0"/>
          <w:bCs w:val="0"/>
          <w:sz w:val="22"/>
          <w:szCs w:val="22"/>
        </w:rPr>
        <w:t>larger price movements</w:t>
      </w:r>
      <w:r w:rsidRPr="00980605">
        <w:rPr>
          <w:rFonts w:asciiTheme="minorHAnsi" w:hAnsiTheme="minorHAnsi"/>
          <w:sz w:val="22"/>
          <w:szCs w:val="22"/>
        </w:rPr>
        <w:t>.</w:t>
      </w:r>
    </w:p>
    <w:p w14:paraId="2F25CFAA" w14:textId="354A6587" w:rsidR="0002003D" w:rsidRPr="00980605" w:rsidRDefault="0002003D" w:rsidP="001B76BC">
      <w:pPr>
        <w:pStyle w:val="NormalWeb"/>
        <w:rPr>
          <w:rFonts w:asciiTheme="minorHAnsi" w:hAnsiTheme="minorHAnsi"/>
          <w:sz w:val="22"/>
          <w:szCs w:val="22"/>
        </w:rPr>
      </w:pPr>
      <w:r w:rsidRPr="00980605">
        <w:rPr>
          <w:rFonts w:asciiTheme="minorHAnsi" w:hAnsiTheme="minorHAnsi"/>
          <w:sz w:val="22"/>
          <w:szCs w:val="22"/>
        </w:rPr>
        <w:t xml:space="preserve">Overall, long-run price patterns in these two cities are best thought of as the outcome of </w:t>
      </w:r>
      <w:r w:rsidRPr="00980605">
        <w:rPr>
          <w:rStyle w:val="Strong"/>
          <w:rFonts w:asciiTheme="minorHAnsi" w:eastAsiaTheme="majorEastAsia" w:hAnsiTheme="minorHAnsi"/>
          <w:b w:val="0"/>
          <w:bCs w:val="0"/>
          <w:sz w:val="22"/>
          <w:szCs w:val="22"/>
        </w:rPr>
        <w:t>structural city traits plus the macro environment</w:t>
      </w:r>
      <w:r w:rsidRPr="00980605">
        <w:rPr>
          <w:rFonts w:asciiTheme="minorHAnsi" w:hAnsiTheme="minorHAnsi"/>
          <w:sz w:val="22"/>
          <w:szCs w:val="22"/>
        </w:rPr>
        <w:t>, with labour market health and supply constraints shaping how that environment translates into price levels.</w:t>
      </w:r>
      <w:r w:rsidR="001B76BC" w:rsidRPr="00980605">
        <w:rPr>
          <w:rFonts w:asciiTheme="minorHAnsi" w:hAnsiTheme="minorHAnsi"/>
          <w:sz w:val="22"/>
          <w:szCs w:val="22"/>
        </w:rPr>
        <w:t xml:space="preserve"> </w:t>
      </w:r>
    </w:p>
    <w:p w14:paraId="589C7D74" w14:textId="33BBDC64" w:rsidR="0002003D" w:rsidRPr="00980605" w:rsidRDefault="008806D3" w:rsidP="0002003D">
      <w:pPr>
        <w:pStyle w:val="Heading4"/>
        <w:rPr>
          <w:rFonts w:asciiTheme="minorHAnsi" w:hAnsiTheme="minorHAnsi"/>
          <w:sz w:val="22"/>
          <w:szCs w:val="22"/>
        </w:rPr>
      </w:pPr>
      <w:r w:rsidRPr="00980605">
        <w:rPr>
          <w:rFonts w:asciiTheme="minorHAnsi" w:hAnsiTheme="minorHAnsi"/>
          <w:sz w:val="22"/>
          <w:szCs w:val="22"/>
        </w:rPr>
        <w:t>4</w:t>
      </w:r>
      <w:r w:rsidR="0002003D" w:rsidRPr="00980605">
        <w:rPr>
          <w:rFonts w:asciiTheme="minorHAnsi" w:hAnsiTheme="minorHAnsi"/>
          <w:sz w:val="22"/>
          <w:szCs w:val="22"/>
        </w:rPr>
        <w:t>.3 Policy implications</w:t>
      </w:r>
    </w:p>
    <w:p w14:paraId="53B1B957" w14:textId="77777777" w:rsidR="0002003D" w:rsidRPr="00980605" w:rsidRDefault="0002003D" w:rsidP="0002003D">
      <w:pPr>
        <w:pStyle w:val="NormalWeb"/>
        <w:numPr>
          <w:ilvl w:val="0"/>
          <w:numId w:val="40"/>
        </w:numPr>
        <w:rPr>
          <w:rFonts w:asciiTheme="minorHAnsi" w:hAnsiTheme="minorHAnsi"/>
          <w:sz w:val="22"/>
          <w:szCs w:val="22"/>
        </w:rPr>
      </w:pPr>
      <w:r w:rsidRPr="00980605">
        <w:rPr>
          <w:rStyle w:val="Strong"/>
          <w:rFonts w:asciiTheme="minorHAnsi" w:eastAsiaTheme="majorEastAsia" w:hAnsiTheme="minorHAnsi"/>
          <w:sz w:val="22"/>
          <w:szCs w:val="22"/>
        </w:rPr>
        <w:t>Monetary policy and housing are tightly connected</w:t>
      </w:r>
      <w:r w:rsidRPr="00980605">
        <w:rPr>
          <w:rFonts w:asciiTheme="minorHAnsi" w:hAnsiTheme="minorHAnsi"/>
          <w:sz w:val="22"/>
          <w:szCs w:val="22"/>
        </w:rPr>
        <w:br/>
        <w:t xml:space="preserve">Because cash rate changes have </w:t>
      </w:r>
      <w:r w:rsidRPr="00980605">
        <w:rPr>
          <w:rStyle w:val="Strong"/>
          <w:rFonts w:asciiTheme="minorHAnsi" w:eastAsiaTheme="majorEastAsia" w:hAnsiTheme="minorHAnsi"/>
          <w:b w:val="0"/>
          <w:bCs w:val="0"/>
          <w:sz w:val="22"/>
          <w:szCs w:val="22"/>
        </w:rPr>
        <w:t>clear short-run and cumulative effects</w:t>
      </w:r>
      <w:r w:rsidRPr="00980605">
        <w:rPr>
          <w:rFonts w:asciiTheme="minorHAnsi" w:hAnsiTheme="minorHAnsi"/>
          <w:sz w:val="22"/>
          <w:szCs w:val="22"/>
        </w:rPr>
        <w:t xml:space="preserve">, interest rate decisions directly influence </w:t>
      </w:r>
      <w:r w:rsidRPr="00980605">
        <w:rPr>
          <w:rStyle w:val="Strong"/>
          <w:rFonts w:asciiTheme="minorHAnsi" w:eastAsiaTheme="majorEastAsia" w:hAnsiTheme="minorHAnsi"/>
          <w:b w:val="0"/>
          <w:bCs w:val="0"/>
          <w:sz w:val="22"/>
          <w:szCs w:val="22"/>
        </w:rPr>
        <w:t>housing affordability, household balance sheets and wealth distribution</w:t>
      </w:r>
      <w:r w:rsidRPr="00980605">
        <w:rPr>
          <w:rFonts w:asciiTheme="minorHAnsi" w:hAnsiTheme="minorHAnsi"/>
          <w:b/>
          <w:bCs/>
          <w:sz w:val="22"/>
          <w:szCs w:val="22"/>
        </w:rPr>
        <w:t xml:space="preserve">, </w:t>
      </w:r>
      <w:r w:rsidRPr="00980605">
        <w:rPr>
          <w:rFonts w:asciiTheme="minorHAnsi" w:hAnsiTheme="minorHAnsi"/>
          <w:sz w:val="22"/>
          <w:szCs w:val="22"/>
        </w:rPr>
        <w:t>especially in supply-constrained markets.</w:t>
      </w:r>
    </w:p>
    <w:p w14:paraId="64202BD9" w14:textId="77777777" w:rsidR="0002003D" w:rsidRPr="00980605" w:rsidRDefault="0002003D" w:rsidP="0002003D">
      <w:pPr>
        <w:pStyle w:val="NormalWeb"/>
        <w:numPr>
          <w:ilvl w:val="0"/>
          <w:numId w:val="40"/>
        </w:numPr>
        <w:rPr>
          <w:rFonts w:asciiTheme="minorHAnsi" w:hAnsiTheme="minorHAnsi"/>
          <w:sz w:val="22"/>
          <w:szCs w:val="22"/>
        </w:rPr>
      </w:pPr>
      <w:r w:rsidRPr="00980605">
        <w:rPr>
          <w:rStyle w:val="Strong"/>
          <w:rFonts w:asciiTheme="minorHAnsi" w:eastAsiaTheme="majorEastAsia" w:hAnsiTheme="minorHAnsi"/>
          <w:sz w:val="22"/>
          <w:szCs w:val="22"/>
        </w:rPr>
        <w:t>Labour market performance supports housing stability</w:t>
      </w:r>
      <w:r w:rsidRPr="00980605">
        <w:rPr>
          <w:rFonts w:asciiTheme="minorHAnsi" w:hAnsiTheme="minorHAnsi"/>
          <w:sz w:val="22"/>
          <w:szCs w:val="22"/>
        </w:rPr>
        <w:br/>
        <w:t xml:space="preserve">Policies that keep people </w:t>
      </w:r>
      <w:r w:rsidRPr="00980605">
        <w:rPr>
          <w:rStyle w:val="Strong"/>
          <w:rFonts w:asciiTheme="minorHAnsi" w:eastAsiaTheme="majorEastAsia" w:hAnsiTheme="minorHAnsi"/>
          <w:b w:val="0"/>
          <w:bCs w:val="0"/>
          <w:sz w:val="22"/>
          <w:szCs w:val="22"/>
        </w:rPr>
        <w:t>employed and participating in the labour force</w:t>
      </w:r>
      <w:r w:rsidRPr="00980605">
        <w:rPr>
          <w:rFonts w:asciiTheme="minorHAnsi" w:hAnsiTheme="minorHAnsi"/>
          <w:sz w:val="22"/>
          <w:szCs w:val="22"/>
        </w:rPr>
        <w:t xml:space="preserve"> help stabilise housing demand and reduce downside risks in the housing market, reinforcing the link between </w:t>
      </w:r>
      <w:r w:rsidRPr="00980605">
        <w:rPr>
          <w:rStyle w:val="Strong"/>
          <w:rFonts w:asciiTheme="minorHAnsi" w:eastAsiaTheme="majorEastAsia" w:hAnsiTheme="minorHAnsi"/>
          <w:b w:val="0"/>
          <w:bCs w:val="0"/>
          <w:sz w:val="22"/>
          <w:szCs w:val="22"/>
        </w:rPr>
        <w:t>jobs policy and housing outcomes</w:t>
      </w:r>
      <w:r w:rsidRPr="00980605">
        <w:rPr>
          <w:rFonts w:asciiTheme="minorHAnsi" w:hAnsiTheme="minorHAnsi"/>
          <w:sz w:val="22"/>
          <w:szCs w:val="22"/>
        </w:rPr>
        <w:t>.</w:t>
      </w:r>
    </w:p>
    <w:p w14:paraId="413F1D97" w14:textId="77777777" w:rsidR="0002003D" w:rsidRPr="00980605" w:rsidRDefault="0002003D" w:rsidP="0002003D">
      <w:pPr>
        <w:pStyle w:val="NormalWeb"/>
        <w:numPr>
          <w:ilvl w:val="0"/>
          <w:numId w:val="40"/>
        </w:numPr>
        <w:rPr>
          <w:rFonts w:asciiTheme="minorHAnsi" w:hAnsiTheme="minorHAnsi"/>
          <w:sz w:val="22"/>
          <w:szCs w:val="22"/>
        </w:rPr>
      </w:pPr>
      <w:r w:rsidRPr="00980605">
        <w:rPr>
          <w:rStyle w:val="Strong"/>
          <w:rFonts w:asciiTheme="minorHAnsi" w:eastAsiaTheme="majorEastAsia" w:hAnsiTheme="minorHAnsi"/>
          <w:sz w:val="22"/>
          <w:szCs w:val="22"/>
        </w:rPr>
        <w:t>Macro-sensitive planning and monitoring</w:t>
      </w:r>
      <w:r w:rsidRPr="00980605">
        <w:rPr>
          <w:rFonts w:asciiTheme="minorHAnsi" w:hAnsiTheme="minorHAnsi"/>
          <w:sz w:val="22"/>
          <w:szCs w:val="22"/>
        </w:rPr>
        <w:br/>
        <w:t xml:space="preserve">Property prices and turnover, and any policies or revenues linked to them, are </w:t>
      </w:r>
      <w:r w:rsidRPr="00980605">
        <w:rPr>
          <w:rStyle w:val="Strong"/>
          <w:rFonts w:asciiTheme="minorHAnsi" w:eastAsiaTheme="majorEastAsia" w:hAnsiTheme="minorHAnsi"/>
          <w:b w:val="0"/>
          <w:bCs w:val="0"/>
          <w:sz w:val="22"/>
          <w:szCs w:val="22"/>
        </w:rPr>
        <w:t>highly sensitive to the cash rate and labour market shocks</w:t>
      </w:r>
      <w:r w:rsidRPr="00980605">
        <w:rPr>
          <w:rFonts w:asciiTheme="minorHAnsi" w:hAnsiTheme="minorHAnsi"/>
          <w:sz w:val="22"/>
          <w:szCs w:val="22"/>
        </w:rPr>
        <w:t>. A compact monitoring set—</w:t>
      </w:r>
      <w:r w:rsidRPr="00980605">
        <w:rPr>
          <w:rStyle w:val="Strong"/>
          <w:rFonts w:asciiTheme="minorHAnsi" w:eastAsiaTheme="majorEastAsia" w:hAnsiTheme="minorHAnsi"/>
          <w:b w:val="0"/>
          <w:bCs w:val="0"/>
          <w:sz w:val="22"/>
          <w:szCs w:val="22"/>
        </w:rPr>
        <w:t>cash rate, unemployment, participation, plus basic supply</w:t>
      </w:r>
      <w:r w:rsidRPr="00980605">
        <w:rPr>
          <w:rStyle w:val="Strong"/>
          <w:rFonts w:asciiTheme="minorHAnsi" w:eastAsiaTheme="majorEastAsia" w:hAnsiTheme="minorHAnsi"/>
          <w:sz w:val="22"/>
          <w:szCs w:val="22"/>
        </w:rPr>
        <w:t xml:space="preserve"> </w:t>
      </w:r>
      <w:r w:rsidRPr="00980605">
        <w:rPr>
          <w:rStyle w:val="Strong"/>
          <w:rFonts w:asciiTheme="minorHAnsi" w:eastAsiaTheme="majorEastAsia" w:hAnsiTheme="minorHAnsi"/>
          <w:b w:val="0"/>
          <w:bCs w:val="0"/>
          <w:sz w:val="22"/>
          <w:szCs w:val="22"/>
        </w:rPr>
        <w:t>indicators (approvals, completions, supply gaps)</w:t>
      </w:r>
      <w:r w:rsidRPr="00980605">
        <w:rPr>
          <w:rFonts w:asciiTheme="minorHAnsi" w:hAnsiTheme="minorHAnsi"/>
          <w:sz w:val="22"/>
          <w:szCs w:val="22"/>
        </w:rPr>
        <w:t xml:space="preserve">—can serve as an early-warning framework for </w:t>
      </w:r>
      <w:r w:rsidRPr="00980605">
        <w:rPr>
          <w:rStyle w:val="Strong"/>
          <w:rFonts w:asciiTheme="minorHAnsi" w:eastAsiaTheme="majorEastAsia" w:hAnsiTheme="minorHAnsi"/>
          <w:b w:val="0"/>
          <w:bCs w:val="0"/>
          <w:sz w:val="22"/>
          <w:szCs w:val="22"/>
        </w:rPr>
        <w:t>housing stress and cyclical risk</w:t>
      </w:r>
      <w:r w:rsidRPr="00980605">
        <w:rPr>
          <w:rFonts w:asciiTheme="minorHAnsi" w:hAnsiTheme="minorHAnsi"/>
          <w:sz w:val="22"/>
          <w:szCs w:val="22"/>
        </w:rPr>
        <w:t>.</w:t>
      </w:r>
    </w:p>
    <w:p w14:paraId="5765B416" w14:textId="05E64215" w:rsidR="00A10E65" w:rsidRPr="00980605" w:rsidRDefault="008806D3" w:rsidP="00A10E65">
      <w:pPr>
        <w:pStyle w:val="Heading3"/>
        <w:rPr>
          <w:rFonts w:asciiTheme="minorHAnsi" w:hAnsiTheme="minorHAnsi"/>
          <w:sz w:val="24"/>
          <w:szCs w:val="24"/>
        </w:rPr>
      </w:pPr>
      <w:r w:rsidRPr="00980605">
        <w:rPr>
          <w:rFonts w:asciiTheme="minorHAnsi" w:hAnsiTheme="minorHAnsi"/>
          <w:sz w:val="24"/>
          <w:szCs w:val="24"/>
        </w:rPr>
        <w:t>5</w:t>
      </w:r>
      <w:r w:rsidR="00A10E65" w:rsidRPr="00980605">
        <w:rPr>
          <w:rFonts w:asciiTheme="minorHAnsi" w:hAnsiTheme="minorHAnsi"/>
          <w:sz w:val="24"/>
          <w:szCs w:val="24"/>
        </w:rPr>
        <w:t>. Limitations and Future Work</w:t>
      </w:r>
    </w:p>
    <w:p w14:paraId="20EC8F66" w14:textId="7986806F" w:rsidR="00A10E65" w:rsidRPr="00980605" w:rsidRDefault="008806D3" w:rsidP="00A10E65">
      <w:pPr>
        <w:pStyle w:val="Heading4"/>
        <w:rPr>
          <w:rFonts w:asciiTheme="minorHAnsi" w:hAnsiTheme="minorHAnsi"/>
          <w:sz w:val="22"/>
          <w:szCs w:val="22"/>
        </w:rPr>
      </w:pPr>
      <w:r w:rsidRPr="00980605">
        <w:rPr>
          <w:rFonts w:asciiTheme="minorHAnsi" w:hAnsiTheme="minorHAnsi"/>
          <w:sz w:val="22"/>
          <w:szCs w:val="22"/>
        </w:rPr>
        <w:t>5</w:t>
      </w:r>
      <w:r w:rsidR="00A10E65" w:rsidRPr="00980605">
        <w:rPr>
          <w:rFonts w:asciiTheme="minorHAnsi" w:hAnsiTheme="minorHAnsi"/>
          <w:sz w:val="22"/>
          <w:szCs w:val="22"/>
        </w:rPr>
        <w:t>.1 Limitations</w:t>
      </w:r>
    </w:p>
    <w:p w14:paraId="2E4608A2" w14:textId="77777777" w:rsidR="00A10E65" w:rsidRPr="00980605" w:rsidRDefault="00A10E65" w:rsidP="00A10E65">
      <w:pPr>
        <w:pStyle w:val="NormalWeb"/>
        <w:numPr>
          <w:ilvl w:val="0"/>
          <w:numId w:val="41"/>
        </w:numPr>
        <w:rPr>
          <w:rFonts w:asciiTheme="minorHAnsi" w:hAnsiTheme="minorHAnsi"/>
          <w:sz w:val="22"/>
          <w:szCs w:val="22"/>
        </w:rPr>
      </w:pPr>
      <w:r w:rsidRPr="00980605">
        <w:rPr>
          <w:rStyle w:val="Strong"/>
          <w:rFonts w:asciiTheme="minorHAnsi" w:eastAsiaTheme="majorEastAsia" w:hAnsiTheme="minorHAnsi"/>
          <w:sz w:val="22"/>
          <w:szCs w:val="22"/>
        </w:rPr>
        <w:t>Scope of coverage</w:t>
      </w:r>
      <w:r w:rsidRPr="00980605">
        <w:rPr>
          <w:rFonts w:asciiTheme="minorHAnsi" w:hAnsiTheme="minorHAnsi"/>
          <w:sz w:val="22"/>
          <w:szCs w:val="22"/>
        </w:rPr>
        <w:br/>
        <w:t xml:space="preserve">The analysis focuses on </w:t>
      </w:r>
      <w:r w:rsidRPr="00980605">
        <w:rPr>
          <w:rStyle w:val="Strong"/>
          <w:rFonts w:asciiTheme="minorHAnsi" w:eastAsiaTheme="majorEastAsia" w:hAnsiTheme="minorHAnsi"/>
          <w:b w:val="0"/>
          <w:bCs w:val="0"/>
          <w:sz w:val="22"/>
          <w:szCs w:val="22"/>
        </w:rPr>
        <w:t>Sydney and Melbourne only</w:t>
      </w:r>
      <w:r w:rsidRPr="00980605">
        <w:rPr>
          <w:rFonts w:asciiTheme="minorHAnsi" w:hAnsiTheme="minorHAnsi"/>
          <w:sz w:val="22"/>
          <w:szCs w:val="22"/>
        </w:rPr>
        <w:t xml:space="preserve">, at a </w:t>
      </w:r>
      <w:r w:rsidRPr="00980605">
        <w:rPr>
          <w:rStyle w:val="Strong"/>
          <w:rFonts w:asciiTheme="minorHAnsi" w:eastAsiaTheme="majorEastAsia" w:hAnsiTheme="minorHAnsi"/>
          <w:b w:val="0"/>
          <w:bCs w:val="0"/>
          <w:sz w:val="22"/>
          <w:szCs w:val="22"/>
        </w:rPr>
        <w:t>quarterly frequency</w:t>
      </w:r>
      <w:r w:rsidRPr="00980605">
        <w:rPr>
          <w:rFonts w:asciiTheme="minorHAnsi" w:hAnsiTheme="minorHAnsi"/>
          <w:sz w:val="22"/>
          <w:szCs w:val="22"/>
        </w:rPr>
        <w:t>. This provides a clean, policy-relevant panel but does not capture:</w:t>
      </w:r>
    </w:p>
    <w:p w14:paraId="4FC5FAC1" w14:textId="77777777" w:rsidR="00A10E65" w:rsidRPr="00980605" w:rsidRDefault="00A10E65" w:rsidP="00A10E65">
      <w:pPr>
        <w:pStyle w:val="NormalWeb"/>
        <w:numPr>
          <w:ilvl w:val="1"/>
          <w:numId w:val="41"/>
        </w:numPr>
        <w:rPr>
          <w:rFonts w:asciiTheme="minorHAnsi" w:hAnsiTheme="minorHAnsi"/>
          <w:sz w:val="22"/>
          <w:szCs w:val="22"/>
        </w:rPr>
      </w:pPr>
      <w:r w:rsidRPr="00980605">
        <w:rPr>
          <w:rFonts w:asciiTheme="minorHAnsi" w:hAnsiTheme="minorHAnsi"/>
          <w:sz w:val="22"/>
          <w:szCs w:val="22"/>
        </w:rPr>
        <w:t>differences across other states and territories; or</w:t>
      </w:r>
    </w:p>
    <w:p w14:paraId="79319806" w14:textId="77777777" w:rsidR="00A10E65" w:rsidRPr="00980605" w:rsidRDefault="00A10E65" w:rsidP="00A10E65">
      <w:pPr>
        <w:pStyle w:val="NormalWeb"/>
        <w:numPr>
          <w:ilvl w:val="1"/>
          <w:numId w:val="41"/>
        </w:numPr>
        <w:rPr>
          <w:rFonts w:asciiTheme="minorHAnsi" w:hAnsiTheme="minorHAnsi"/>
          <w:sz w:val="22"/>
          <w:szCs w:val="22"/>
        </w:rPr>
      </w:pPr>
      <w:r w:rsidRPr="00980605">
        <w:rPr>
          <w:rFonts w:asciiTheme="minorHAnsi" w:hAnsiTheme="minorHAnsi"/>
          <w:sz w:val="22"/>
          <w:szCs w:val="22"/>
        </w:rPr>
        <w:lastRenderedPageBreak/>
        <w:t>finer spatial variation within cities (e.g. LGAs, dwelling types, price segments).</w:t>
      </w:r>
    </w:p>
    <w:p w14:paraId="7EA21D2E" w14:textId="77777777" w:rsidR="00A10E65" w:rsidRPr="00980605" w:rsidRDefault="00A10E65" w:rsidP="00A10E65">
      <w:pPr>
        <w:pStyle w:val="NormalWeb"/>
        <w:numPr>
          <w:ilvl w:val="0"/>
          <w:numId w:val="41"/>
        </w:numPr>
        <w:rPr>
          <w:rFonts w:asciiTheme="minorHAnsi" w:hAnsiTheme="minorHAnsi"/>
          <w:sz w:val="22"/>
          <w:szCs w:val="22"/>
        </w:rPr>
      </w:pPr>
      <w:r w:rsidRPr="00980605">
        <w:rPr>
          <w:rStyle w:val="Strong"/>
          <w:rFonts w:asciiTheme="minorHAnsi" w:eastAsiaTheme="majorEastAsia" w:hAnsiTheme="minorHAnsi"/>
          <w:sz w:val="22"/>
          <w:szCs w:val="22"/>
        </w:rPr>
        <w:t>Missing dimensions of housing finance and behaviour</w:t>
      </w:r>
      <w:r w:rsidRPr="00980605">
        <w:rPr>
          <w:rFonts w:asciiTheme="minorHAnsi" w:hAnsiTheme="minorHAnsi"/>
          <w:sz w:val="22"/>
          <w:szCs w:val="22"/>
        </w:rPr>
        <w:br/>
        <w:t xml:space="preserve">The dataset does not directly observe </w:t>
      </w:r>
      <w:r w:rsidRPr="00980605">
        <w:rPr>
          <w:rStyle w:val="Strong"/>
          <w:rFonts w:asciiTheme="minorHAnsi" w:eastAsiaTheme="majorEastAsia" w:hAnsiTheme="minorHAnsi"/>
          <w:b w:val="0"/>
          <w:bCs w:val="0"/>
          <w:sz w:val="22"/>
          <w:szCs w:val="22"/>
        </w:rPr>
        <w:t>credit conditions, lending standards, LVRs, investor vs owner-occupier shares, or expectations</w:t>
      </w:r>
      <w:r w:rsidRPr="00980605">
        <w:rPr>
          <w:rFonts w:asciiTheme="minorHAnsi" w:hAnsiTheme="minorHAnsi"/>
          <w:sz w:val="22"/>
          <w:szCs w:val="22"/>
        </w:rPr>
        <w:t>. These factors likely mediate how macro shocks translate into house prices and could explain part of the residual variation attributed to fixed effects.</w:t>
      </w:r>
    </w:p>
    <w:p w14:paraId="24470384" w14:textId="0CE06396" w:rsidR="00A10E65" w:rsidRPr="00980605" w:rsidRDefault="00A10E65" w:rsidP="00A10E65">
      <w:pPr>
        <w:pStyle w:val="NormalWeb"/>
        <w:numPr>
          <w:ilvl w:val="0"/>
          <w:numId w:val="41"/>
        </w:numPr>
        <w:rPr>
          <w:rFonts w:asciiTheme="minorHAnsi" w:hAnsiTheme="minorHAnsi"/>
          <w:sz w:val="22"/>
          <w:szCs w:val="22"/>
        </w:rPr>
      </w:pPr>
      <w:r w:rsidRPr="00980605">
        <w:rPr>
          <w:rStyle w:val="Strong"/>
          <w:rFonts w:asciiTheme="minorHAnsi" w:eastAsiaTheme="majorEastAsia" w:hAnsiTheme="minorHAnsi"/>
          <w:sz w:val="22"/>
          <w:szCs w:val="22"/>
        </w:rPr>
        <w:t>Correlations rather than identified causal effects</w:t>
      </w:r>
      <w:r w:rsidRPr="00980605">
        <w:rPr>
          <w:rFonts w:asciiTheme="minorHAnsi" w:hAnsiTheme="minorHAnsi"/>
          <w:sz w:val="22"/>
          <w:szCs w:val="22"/>
        </w:rPr>
        <w:br/>
        <w:t xml:space="preserve">The ARDL/DL and FE models document </w:t>
      </w:r>
      <w:r w:rsidRPr="00980605">
        <w:rPr>
          <w:rStyle w:val="Strong"/>
          <w:rFonts w:asciiTheme="minorHAnsi" w:eastAsiaTheme="majorEastAsia" w:hAnsiTheme="minorHAnsi"/>
          <w:b w:val="0"/>
          <w:bCs w:val="0"/>
          <w:sz w:val="22"/>
          <w:szCs w:val="22"/>
        </w:rPr>
        <w:t>associations and dynamic patterns</w:t>
      </w:r>
      <w:r w:rsidRPr="00980605">
        <w:rPr>
          <w:rFonts w:asciiTheme="minorHAnsi" w:hAnsiTheme="minorHAnsi"/>
          <w:sz w:val="22"/>
          <w:szCs w:val="22"/>
        </w:rPr>
        <w:t xml:space="preserve">, not fully identified causal effects. The cash rate and labour market variables are themselves outcomes of broader macro conditions. No instrumental variables, policy discontinuities or natural experiments are used here, so </w:t>
      </w:r>
      <w:r w:rsidRPr="00980605">
        <w:rPr>
          <w:rStyle w:val="Strong"/>
          <w:rFonts w:asciiTheme="minorHAnsi" w:eastAsiaTheme="majorEastAsia" w:hAnsiTheme="minorHAnsi"/>
          <w:b w:val="0"/>
          <w:bCs w:val="0"/>
          <w:sz w:val="22"/>
          <w:szCs w:val="22"/>
        </w:rPr>
        <w:t>reverse causality and omitted variables cannot be ruled out</w:t>
      </w:r>
      <w:r w:rsidRPr="00980605">
        <w:rPr>
          <w:rFonts w:asciiTheme="minorHAnsi" w:hAnsiTheme="minorHAnsi"/>
          <w:sz w:val="22"/>
          <w:szCs w:val="22"/>
        </w:rPr>
        <w:t>.</w:t>
      </w:r>
    </w:p>
    <w:p w14:paraId="535EAA08" w14:textId="0F7C0448" w:rsidR="00A10E65" w:rsidRPr="00980605" w:rsidRDefault="008806D3" w:rsidP="00A10E65">
      <w:pPr>
        <w:pStyle w:val="Heading4"/>
        <w:rPr>
          <w:rFonts w:asciiTheme="minorHAnsi" w:hAnsiTheme="minorHAnsi"/>
          <w:sz w:val="22"/>
          <w:szCs w:val="22"/>
        </w:rPr>
      </w:pPr>
      <w:r w:rsidRPr="00980605">
        <w:rPr>
          <w:rFonts w:asciiTheme="minorHAnsi" w:hAnsiTheme="minorHAnsi"/>
          <w:sz w:val="22"/>
          <w:szCs w:val="22"/>
        </w:rPr>
        <w:t>5</w:t>
      </w:r>
      <w:r w:rsidR="00A10E65" w:rsidRPr="00980605">
        <w:rPr>
          <w:rFonts w:asciiTheme="minorHAnsi" w:hAnsiTheme="minorHAnsi"/>
          <w:sz w:val="22"/>
          <w:szCs w:val="22"/>
        </w:rPr>
        <w:t>.2 Future work</w:t>
      </w:r>
    </w:p>
    <w:p w14:paraId="33E706CD" w14:textId="77777777" w:rsidR="00A10E65" w:rsidRPr="00980605" w:rsidRDefault="00A10E65" w:rsidP="00A10E65">
      <w:pPr>
        <w:pStyle w:val="NormalWeb"/>
        <w:numPr>
          <w:ilvl w:val="0"/>
          <w:numId w:val="42"/>
        </w:numPr>
        <w:rPr>
          <w:rFonts w:asciiTheme="minorHAnsi" w:hAnsiTheme="minorHAnsi"/>
          <w:sz w:val="22"/>
          <w:szCs w:val="22"/>
        </w:rPr>
      </w:pPr>
      <w:r w:rsidRPr="00980605">
        <w:rPr>
          <w:rStyle w:val="Strong"/>
          <w:rFonts w:asciiTheme="minorHAnsi" w:eastAsiaTheme="majorEastAsia" w:hAnsiTheme="minorHAnsi"/>
          <w:sz w:val="22"/>
          <w:szCs w:val="22"/>
        </w:rPr>
        <w:t>Broader and more granular coverage</w:t>
      </w:r>
    </w:p>
    <w:p w14:paraId="40FCB79F" w14:textId="77777777" w:rsidR="00A10E65" w:rsidRPr="00980605" w:rsidRDefault="00A10E65" w:rsidP="00A10E65">
      <w:pPr>
        <w:pStyle w:val="NormalWeb"/>
        <w:numPr>
          <w:ilvl w:val="1"/>
          <w:numId w:val="42"/>
        </w:numPr>
        <w:rPr>
          <w:rFonts w:asciiTheme="minorHAnsi" w:hAnsiTheme="minorHAnsi"/>
          <w:sz w:val="22"/>
          <w:szCs w:val="22"/>
        </w:rPr>
      </w:pPr>
      <w:r w:rsidRPr="00980605">
        <w:rPr>
          <w:rFonts w:asciiTheme="minorHAnsi" w:hAnsiTheme="minorHAnsi"/>
          <w:sz w:val="22"/>
          <w:szCs w:val="22"/>
        </w:rPr>
        <w:t xml:space="preserve">Extend the dataset to </w:t>
      </w:r>
      <w:r w:rsidRPr="00980605">
        <w:rPr>
          <w:rStyle w:val="Strong"/>
          <w:rFonts w:asciiTheme="minorHAnsi" w:eastAsiaTheme="majorEastAsia" w:hAnsiTheme="minorHAnsi"/>
          <w:b w:val="0"/>
          <w:bCs w:val="0"/>
          <w:sz w:val="22"/>
          <w:szCs w:val="22"/>
        </w:rPr>
        <w:t>all states and territories</w:t>
      </w:r>
      <w:r w:rsidRPr="00980605">
        <w:rPr>
          <w:rFonts w:asciiTheme="minorHAnsi" w:hAnsiTheme="minorHAnsi"/>
          <w:sz w:val="22"/>
          <w:szCs w:val="22"/>
        </w:rPr>
        <w:t xml:space="preserve">, and where possible to </w:t>
      </w:r>
      <w:r w:rsidRPr="00980605">
        <w:rPr>
          <w:rStyle w:val="Strong"/>
          <w:rFonts w:asciiTheme="minorHAnsi" w:eastAsiaTheme="majorEastAsia" w:hAnsiTheme="minorHAnsi"/>
          <w:b w:val="0"/>
          <w:bCs w:val="0"/>
          <w:sz w:val="22"/>
          <w:szCs w:val="22"/>
        </w:rPr>
        <w:t>sub-city or regional levels</w:t>
      </w:r>
      <w:r w:rsidRPr="00980605">
        <w:rPr>
          <w:rFonts w:asciiTheme="minorHAnsi" w:hAnsiTheme="minorHAnsi"/>
          <w:sz w:val="22"/>
          <w:szCs w:val="22"/>
        </w:rPr>
        <w:t>, to test how far the Sydney/Melbourne patterns generalise and to explore regional heterogeneity in housing responses.</w:t>
      </w:r>
    </w:p>
    <w:p w14:paraId="3A1D1DBD" w14:textId="77777777" w:rsidR="00A10E65" w:rsidRPr="00980605" w:rsidRDefault="00A10E65" w:rsidP="00A10E65">
      <w:pPr>
        <w:pStyle w:val="NormalWeb"/>
        <w:numPr>
          <w:ilvl w:val="0"/>
          <w:numId w:val="42"/>
        </w:numPr>
        <w:rPr>
          <w:rFonts w:asciiTheme="minorHAnsi" w:hAnsiTheme="minorHAnsi"/>
          <w:sz w:val="22"/>
          <w:szCs w:val="22"/>
        </w:rPr>
      </w:pPr>
      <w:r w:rsidRPr="00980605">
        <w:rPr>
          <w:rStyle w:val="Strong"/>
          <w:rFonts w:asciiTheme="minorHAnsi" w:eastAsiaTheme="majorEastAsia" w:hAnsiTheme="minorHAnsi"/>
          <w:sz w:val="22"/>
          <w:szCs w:val="22"/>
        </w:rPr>
        <w:t>Richer modelling of credit and policy channels</w:t>
      </w:r>
    </w:p>
    <w:p w14:paraId="0A0AA05F" w14:textId="77777777" w:rsidR="00A10E65" w:rsidRPr="00980605" w:rsidRDefault="00A10E65" w:rsidP="00A10E65">
      <w:pPr>
        <w:pStyle w:val="NormalWeb"/>
        <w:numPr>
          <w:ilvl w:val="1"/>
          <w:numId w:val="42"/>
        </w:numPr>
        <w:rPr>
          <w:rFonts w:asciiTheme="minorHAnsi" w:hAnsiTheme="minorHAnsi"/>
          <w:sz w:val="22"/>
          <w:szCs w:val="22"/>
        </w:rPr>
      </w:pPr>
      <w:r w:rsidRPr="00980605">
        <w:rPr>
          <w:rFonts w:asciiTheme="minorHAnsi" w:hAnsiTheme="minorHAnsi"/>
          <w:sz w:val="22"/>
          <w:szCs w:val="22"/>
        </w:rPr>
        <w:t xml:space="preserve">Incorporate measures of </w:t>
      </w:r>
      <w:r w:rsidRPr="00980605">
        <w:rPr>
          <w:rStyle w:val="Strong"/>
          <w:rFonts w:asciiTheme="minorHAnsi" w:eastAsiaTheme="majorEastAsia" w:hAnsiTheme="minorHAnsi"/>
          <w:b w:val="0"/>
          <w:bCs w:val="0"/>
          <w:sz w:val="22"/>
          <w:szCs w:val="22"/>
        </w:rPr>
        <w:t>credit availability, macro-prudential rules, LVR/DTI limits and investor activity</w:t>
      </w:r>
      <w:r w:rsidRPr="00980605">
        <w:rPr>
          <w:rFonts w:asciiTheme="minorHAnsi" w:hAnsiTheme="minorHAnsi"/>
          <w:sz w:val="22"/>
          <w:szCs w:val="22"/>
        </w:rPr>
        <w:t xml:space="preserve">, and explore </w:t>
      </w:r>
      <w:r w:rsidRPr="00980605">
        <w:rPr>
          <w:rStyle w:val="Strong"/>
          <w:rFonts w:asciiTheme="minorHAnsi" w:eastAsiaTheme="majorEastAsia" w:hAnsiTheme="minorHAnsi"/>
          <w:b w:val="0"/>
          <w:bCs w:val="0"/>
          <w:sz w:val="22"/>
          <w:szCs w:val="22"/>
        </w:rPr>
        <w:t>policy changes or targeted interventions</w:t>
      </w:r>
      <w:r w:rsidRPr="00980605">
        <w:rPr>
          <w:rFonts w:asciiTheme="minorHAnsi" w:hAnsiTheme="minorHAnsi"/>
          <w:sz w:val="22"/>
          <w:szCs w:val="22"/>
        </w:rPr>
        <w:t xml:space="preserve"> (e.g. lending restrictions, stamp duty reforms) as potential sources of causal identification.</w:t>
      </w:r>
    </w:p>
    <w:p w14:paraId="54B725A4" w14:textId="77777777" w:rsidR="00A10E65" w:rsidRPr="00980605" w:rsidRDefault="00A10E65" w:rsidP="00A10E65">
      <w:pPr>
        <w:pStyle w:val="NormalWeb"/>
        <w:numPr>
          <w:ilvl w:val="0"/>
          <w:numId w:val="42"/>
        </w:numPr>
        <w:rPr>
          <w:rFonts w:asciiTheme="minorHAnsi" w:hAnsiTheme="minorHAnsi"/>
          <w:sz w:val="22"/>
          <w:szCs w:val="22"/>
        </w:rPr>
      </w:pPr>
      <w:r w:rsidRPr="00980605">
        <w:rPr>
          <w:rStyle w:val="Strong"/>
          <w:rFonts w:asciiTheme="minorHAnsi" w:eastAsiaTheme="majorEastAsia" w:hAnsiTheme="minorHAnsi"/>
          <w:sz w:val="22"/>
          <w:szCs w:val="22"/>
        </w:rPr>
        <w:t>Linking housing dynamics to fiscal outcomes</w:t>
      </w:r>
    </w:p>
    <w:p w14:paraId="112BE936" w14:textId="77777777" w:rsidR="00A10E65" w:rsidRPr="00980605" w:rsidRDefault="00A10E65" w:rsidP="00A10E65">
      <w:pPr>
        <w:pStyle w:val="NormalWeb"/>
        <w:numPr>
          <w:ilvl w:val="1"/>
          <w:numId w:val="42"/>
        </w:numPr>
        <w:rPr>
          <w:rFonts w:asciiTheme="minorHAnsi" w:hAnsiTheme="minorHAnsi"/>
          <w:sz w:val="22"/>
          <w:szCs w:val="22"/>
        </w:rPr>
      </w:pPr>
      <w:r w:rsidRPr="00980605">
        <w:rPr>
          <w:rFonts w:asciiTheme="minorHAnsi" w:hAnsiTheme="minorHAnsi"/>
          <w:sz w:val="22"/>
          <w:szCs w:val="22"/>
        </w:rPr>
        <w:t xml:space="preserve">Embed the housing models in a simple </w:t>
      </w:r>
      <w:r w:rsidRPr="00980605">
        <w:rPr>
          <w:rStyle w:val="Strong"/>
          <w:rFonts w:asciiTheme="minorHAnsi" w:eastAsiaTheme="majorEastAsia" w:hAnsiTheme="minorHAnsi"/>
          <w:b w:val="0"/>
          <w:bCs w:val="0"/>
          <w:sz w:val="22"/>
          <w:szCs w:val="22"/>
        </w:rPr>
        <w:t>“house prices → transactions → revenue” framework</w:t>
      </w:r>
      <w:r w:rsidRPr="00980605">
        <w:rPr>
          <w:rFonts w:asciiTheme="minorHAnsi" w:hAnsiTheme="minorHAnsi"/>
          <w:sz w:val="22"/>
          <w:szCs w:val="22"/>
        </w:rPr>
        <w:t xml:space="preserve">, to translate macro shocks into </w:t>
      </w:r>
      <w:r w:rsidRPr="00980605">
        <w:rPr>
          <w:rStyle w:val="Strong"/>
          <w:rFonts w:asciiTheme="minorHAnsi" w:eastAsiaTheme="majorEastAsia" w:hAnsiTheme="minorHAnsi"/>
          <w:b w:val="0"/>
          <w:bCs w:val="0"/>
          <w:sz w:val="22"/>
          <w:szCs w:val="22"/>
        </w:rPr>
        <w:t>scenarios for property-related tax bases</w:t>
      </w:r>
      <w:r w:rsidRPr="00980605">
        <w:rPr>
          <w:rFonts w:asciiTheme="minorHAnsi" w:hAnsiTheme="minorHAnsi"/>
          <w:sz w:val="22"/>
          <w:szCs w:val="22"/>
        </w:rPr>
        <w:t xml:space="preserve"> and to assess how different macro and housing policy settings might affect medium-term fiscal risks.</w:t>
      </w:r>
    </w:p>
    <w:p w14:paraId="4DBF0C45" w14:textId="209D5BE6" w:rsidR="00A10E65" w:rsidRPr="00980605" w:rsidRDefault="008806D3" w:rsidP="00A10E65">
      <w:pPr>
        <w:pStyle w:val="Heading3"/>
        <w:rPr>
          <w:rFonts w:asciiTheme="minorHAnsi" w:hAnsiTheme="minorHAnsi"/>
          <w:sz w:val="24"/>
          <w:szCs w:val="24"/>
        </w:rPr>
      </w:pPr>
      <w:r w:rsidRPr="00980605">
        <w:rPr>
          <w:rFonts w:asciiTheme="minorHAnsi" w:hAnsiTheme="minorHAnsi"/>
          <w:sz w:val="24"/>
          <w:szCs w:val="24"/>
        </w:rPr>
        <w:t>6</w:t>
      </w:r>
      <w:r w:rsidR="00A10E65" w:rsidRPr="00980605">
        <w:rPr>
          <w:rFonts w:asciiTheme="minorHAnsi" w:hAnsiTheme="minorHAnsi"/>
          <w:sz w:val="24"/>
          <w:szCs w:val="24"/>
        </w:rPr>
        <w:t>. Conclusion</w:t>
      </w:r>
    </w:p>
    <w:p w14:paraId="35468078" w14:textId="77777777" w:rsidR="00A10E65" w:rsidRPr="00980605" w:rsidRDefault="00A10E65" w:rsidP="00A10E65">
      <w:pPr>
        <w:pStyle w:val="NormalWeb"/>
        <w:rPr>
          <w:rFonts w:asciiTheme="minorHAnsi" w:hAnsiTheme="minorHAnsi"/>
          <w:sz w:val="22"/>
          <w:szCs w:val="22"/>
        </w:rPr>
      </w:pPr>
      <w:r w:rsidRPr="00980605">
        <w:rPr>
          <w:rFonts w:asciiTheme="minorHAnsi" w:hAnsiTheme="minorHAnsi"/>
          <w:sz w:val="22"/>
          <w:szCs w:val="22"/>
        </w:rPr>
        <w:t xml:space="preserve">This report examined the macroeconomic forces shaping house prices in Sydney and Melbourne using official ABS and RBA data and a combination of dynamic (ARDL/DL) and fixed-effects models. Across specifications, </w:t>
      </w:r>
      <w:r w:rsidRPr="00980605">
        <w:rPr>
          <w:rStyle w:val="Strong"/>
          <w:rFonts w:asciiTheme="minorHAnsi" w:eastAsiaTheme="majorEastAsia" w:hAnsiTheme="minorHAnsi"/>
          <w:b w:val="0"/>
          <w:bCs w:val="0"/>
          <w:sz w:val="22"/>
          <w:szCs w:val="22"/>
        </w:rPr>
        <w:t>interest rates and labour market conditions consistently emerged as the strongest and most timely drivers of short-run price movements</w:t>
      </w:r>
      <w:r w:rsidRPr="00980605">
        <w:rPr>
          <w:rFonts w:asciiTheme="minorHAnsi" w:hAnsiTheme="minorHAnsi"/>
          <w:sz w:val="22"/>
          <w:szCs w:val="22"/>
        </w:rPr>
        <w:t xml:space="preserve">, while </w:t>
      </w:r>
      <w:r w:rsidRPr="00980605">
        <w:rPr>
          <w:rStyle w:val="Strong"/>
          <w:rFonts w:asciiTheme="minorHAnsi" w:eastAsiaTheme="majorEastAsia" w:hAnsiTheme="minorHAnsi"/>
          <w:b w:val="0"/>
          <w:bCs w:val="0"/>
          <w:sz w:val="22"/>
          <w:szCs w:val="22"/>
        </w:rPr>
        <w:t>long-run levels</w:t>
      </w:r>
      <w:r w:rsidRPr="00980605">
        <w:rPr>
          <w:rFonts w:asciiTheme="minorHAnsi" w:hAnsiTheme="minorHAnsi"/>
          <w:sz w:val="22"/>
          <w:szCs w:val="22"/>
        </w:rPr>
        <w:t xml:space="preserve"> were largely shaped by </w:t>
      </w:r>
      <w:r w:rsidRPr="00980605">
        <w:rPr>
          <w:rStyle w:val="Strong"/>
          <w:rFonts w:asciiTheme="minorHAnsi" w:eastAsiaTheme="majorEastAsia" w:hAnsiTheme="minorHAnsi"/>
          <w:b w:val="0"/>
          <w:bCs w:val="0"/>
          <w:sz w:val="22"/>
          <w:szCs w:val="22"/>
        </w:rPr>
        <w:t>structural city traits and common national shocks</w:t>
      </w:r>
      <w:r w:rsidRPr="00980605">
        <w:rPr>
          <w:rFonts w:asciiTheme="minorHAnsi" w:hAnsiTheme="minorHAnsi"/>
          <w:sz w:val="22"/>
          <w:szCs w:val="22"/>
        </w:rPr>
        <w:t>, with unemployment and supply tightness still playing meaningful roles.</w:t>
      </w:r>
    </w:p>
    <w:p w14:paraId="6CBB476B" w14:textId="45E5124E" w:rsidR="00A10E65" w:rsidRPr="00980605" w:rsidRDefault="00A10E65" w:rsidP="00A10E65">
      <w:pPr>
        <w:pStyle w:val="NormalWeb"/>
        <w:rPr>
          <w:rFonts w:asciiTheme="minorHAnsi" w:hAnsiTheme="minorHAnsi"/>
          <w:sz w:val="22"/>
          <w:szCs w:val="22"/>
        </w:rPr>
      </w:pPr>
      <w:r w:rsidRPr="00980605">
        <w:rPr>
          <w:rFonts w:asciiTheme="minorHAnsi" w:hAnsiTheme="minorHAnsi"/>
          <w:sz w:val="22"/>
          <w:szCs w:val="22"/>
        </w:rPr>
        <w:t xml:space="preserve">The core message is that housing in Australia’s major cities behaves as a </w:t>
      </w:r>
      <w:r w:rsidRPr="00980605">
        <w:rPr>
          <w:rStyle w:val="Strong"/>
          <w:rFonts w:asciiTheme="minorHAnsi" w:eastAsiaTheme="majorEastAsia" w:hAnsiTheme="minorHAnsi"/>
          <w:b w:val="0"/>
          <w:bCs w:val="0"/>
          <w:sz w:val="22"/>
          <w:szCs w:val="22"/>
        </w:rPr>
        <w:t>macro-linked asset class</w:t>
      </w:r>
      <w:r w:rsidRPr="00980605">
        <w:rPr>
          <w:rFonts w:asciiTheme="minorHAnsi" w:hAnsiTheme="minorHAnsi"/>
          <w:sz w:val="22"/>
          <w:szCs w:val="22"/>
        </w:rPr>
        <w:t>: sensitive to monetary policy, reliant on labour market strength, and amplified by structural supply constraints. These findings highlight the importance of integrating housing, labour, and macro conditions when assessing short-term risks, medium-term planning, or future policy settings. Future extensions—broader geographic coverage, richer credit variables, and causal identification—would deepen this evidence base and strengthen the tools available for housing and macro-fiscal analysis.</w:t>
      </w:r>
    </w:p>
    <w:p w14:paraId="0E827860" w14:textId="0D5C371F" w:rsidR="0033301E" w:rsidRPr="00980605" w:rsidRDefault="008806D3" w:rsidP="0033301E">
      <w:pPr>
        <w:pStyle w:val="Heading3"/>
        <w:rPr>
          <w:rFonts w:asciiTheme="minorHAnsi" w:hAnsiTheme="minorHAnsi"/>
          <w:sz w:val="24"/>
          <w:szCs w:val="24"/>
        </w:rPr>
      </w:pPr>
      <w:r w:rsidRPr="00980605">
        <w:rPr>
          <w:rStyle w:val="Strong"/>
          <w:rFonts w:asciiTheme="minorHAnsi" w:hAnsiTheme="minorHAnsi"/>
          <w:b w:val="0"/>
          <w:bCs w:val="0"/>
          <w:sz w:val="24"/>
          <w:szCs w:val="24"/>
        </w:rPr>
        <w:t xml:space="preserve">7. </w:t>
      </w:r>
      <w:r w:rsidR="0033301E" w:rsidRPr="00980605">
        <w:rPr>
          <w:rStyle w:val="Strong"/>
          <w:rFonts w:asciiTheme="minorHAnsi" w:hAnsiTheme="minorHAnsi"/>
          <w:b w:val="0"/>
          <w:bCs w:val="0"/>
          <w:sz w:val="24"/>
          <w:szCs w:val="24"/>
        </w:rPr>
        <w:t>Appendix A. Data Sources</w:t>
      </w:r>
    </w:p>
    <w:p w14:paraId="3E50B6BE" w14:textId="77777777" w:rsidR="0033301E" w:rsidRPr="00980605" w:rsidRDefault="0033301E" w:rsidP="0033301E">
      <w:pPr>
        <w:pStyle w:val="NormalWeb"/>
        <w:rPr>
          <w:rFonts w:asciiTheme="minorHAnsi" w:hAnsiTheme="minorHAnsi"/>
          <w:sz w:val="22"/>
          <w:szCs w:val="22"/>
        </w:rPr>
      </w:pPr>
      <w:r w:rsidRPr="00980605">
        <w:rPr>
          <w:rFonts w:asciiTheme="minorHAnsi" w:hAnsiTheme="minorHAnsi"/>
          <w:sz w:val="22"/>
          <w:szCs w:val="22"/>
        </w:rPr>
        <w:t>All variables used in this report are drawn from official public statistics. Key data sources include:</w:t>
      </w:r>
    </w:p>
    <w:p w14:paraId="397F75E2"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lastRenderedPageBreak/>
        <w:t>Total Value of Dwellings</w:t>
      </w:r>
      <w:r w:rsidRPr="00980605">
        <w:rPr>
          <w:rFonts w:asciiTheme="minorHAnsi" w:hAnsiTheme="minorHAnsi"/>
          <w:sz w:val="22"/>
          <w:szCs w:val="22"/>
        </w:rPr>
        <w:t xml:space="preserve"> – ABS, </w:t>
      </w:r>
      <w:r w:rsidRPr="00980605">
        <w:rPr>
          <w:rStyle w:val="Emphasis"/>
          <w:rFonts w:asciiTheme="minorHAnsi" w:eastAsiaTheme="majorEastAsia" w:hAnsiTheme="minorHAnsi"/>
          <w:sz w:val="22"/>
          <w:szCs w:val="22"/>
        </w:rPr>
        <w:t>Total Value of Dwellings</w:t>
      </w:r>
      <w:r w:rsidRPr="00980605">
        <w:rPr>
          <w:rFonts w:asciiTheme="minorHAnsi" w:hAnsiTheme="minorHAnsi"/>
          <w:sz w:val="22"/>
          <w:szCs w:val="22"/>
        </w:rPr>
        <w:br/>
      </w:r>
      <w:hyperlink r:id="rId11" w:tgtFrame="_new" w:history="1">
        <w:r w:rsidRPr="00980605">
          <w:rPr>
            <w:rStyle w:val="Hyperlink"/>
            <w:rFonts w:asciiTheme="minorHAnsi" w:eastAsiaTheme="majorEastAsia" w:hAnsiTheme="minorHAnsi"/>
            <w:sz w:val="22"/>
            <w:szCs w:val="22"/>
          </w:rPr>
          <w:t>https://www.abs.gov.au/statistics/economy/price-indexes-and-inflation/total-value-dwellings/latest-release</w:t>
        </w:r>
      </w:hyperlink>
    </w:p>
    <w:p w14:paraId="69DA374A"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Household Wealth (Net Worth)</w:t>
      </w:r>
      <w:r w:rsidRPr="00980605">
        <w:rPr>
          <w:rFonts w:asciiTheme="minorHAnsi" w:hAnsiTheme="minorHAnsi"/>
          <w:sz w:val="22"/>
          <w:szCs w:val="22"/>
        </w:rPr>
        <w:t xml:space="preserve"> – ABS, </w:t>
      </w:r>
      <w:r w:rsidRPr="00980605">
        <w:rPr>
          <w:rStyle w:val="Emphasis"/>
          <w:rFonts w:asciiTheme="minorHAnsi" w:eastAsiaTheme="majorEastAsia" w:hAnsiTheme="minorHAnsi"/>
          <w:sz w:val="22"/>
          <w:szCs w:val="22"/>
        </w:rPr>
        <w:t>Household Income and Wealth</w:t>
      </w:r>
      <w:r w:rsidRPr="00980605">
        <w:rPr>
          <w:rFonts w:asciiTheme="minorHAnsi" w:hAnsiTheme="minorHAnsi"/>
          <w:sz w:val="22"/>
          <w:szCs w:val="22"/>
        </w:rPr>
        <w:br/>
      </w:r>
      <w:hyperlink r:id="rId12" w:tgtFrame="_new" w:history="1">
        <w:r w:rsidRPr="00980605">
          <w:rPr>
            <w:rStyle w:val="Hyperlink"/>
            <w:rFonts w:asciiTheme="minorHAnsi" w:eastAsiaTheme="majorEastAsia" w:hAnsiTheme="minorHAnsi"/>
            <w:sz w:val="22"/>
            <w:szCs w:val="22"/>
          </w:rPr>
          <w:t>https://www.abs.gov.au/statistics/measuring-what-matters/measuring-what-matters-themes-and-indicators/prosperous/household-income-and-wealth</w:t>
        </w:r>
      </w:hyperlink>
    </w:p>
    <w:p w14:paraId="73880A11"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Cash Rate</w:t>
      </w:r>
      <w:r w:rsidRPr="00980605">
        <w:rPr>
          <w:rFonts w:asciiTheme="minorHAnsi" w:hAnsiTheme="minorHAnsi"/>
          <w:sz w:val="22"/>
          <w:szCs w:val="22"/>
        </w:rPr>
        <w:t xml:space="preserve"> – Reserve Bank of Australia (RBA)</w:t>
      </w:r>
      <w:r w:rsidRPr="00980605">
        <w:rPr>
          <w:rFonts w:asciiTheme="minorHAnsi" w:hAnsiTheme="minorHAnsi"/>
          <w:sz w:val="22"/>
          <w:szCs w:val="22"/>
        </w:rPr>
        <w:br/>
      </w:r>
      <w:hyperlink r:id="rId13" w:tgtFrame="_new" w:history="1">
        <w:r w:rsidRPr="00980605">
          <w:rPr>
            <w:rStyle w:val="Hyperlink"/>
            <w:rFonts w:asciiTheme="minorHAnsi" w:eastAsiaTheme="majorEastAsia" w:hAnsiTheme="minorHAnsi"/>
            <w:sz w:val="22"/>
            <w:szCs w:val="22"/>
          </w:rPr>
          <w:t>https://www.rba.gov.au/statistics/cash-rate/</w:t>
        </w:r>
      </w:hyperlink>
    </w:p>
    <w:p w14:paraId="44F71580"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Dwelling Approvals</w:t>
      </w:r>
      <w:r w:rsidRPr="00980605">
        <w:rPr>
          <w:rFonts w:asciiTheme="minorHAnsi" w:hAnsiTheme="minorHAnsi"/>
          <w:sz w:val="22"/>
          <w:szCs w:val="22"/>
        </w:rPr>
        <w:t xml:space="preserve"> – ABS, </w:t>
      </w:r>
      <w:r w:rsidRPr="00980605">
        <w:rPr>
          <w:rStyle w:val="Emphasis"/>
          <w:rFonts w:asciiTheme="minorHAnsi" w:eastAsiaTheme="majorEastAsia" w:hAnsiTheme="minorHAnsi"/>
          <w:sz w:val="22"/>
          <w:szCs w:val="22"/>
        </w:rPr>
        <w:t>Building Approvals, Australia</w:t>
      </w:r>
      <w:r w:rsidRPr="00980605">
        <w:rPr>
          <w:rFonts w:asciiTheme="minorHAnsi" w:hAnsiTheme="minorHAnsi"/>
          <w:sz w:val="22"/>
          <w:szCs w:val="22"/>
        </w:rPr>
        <w:br/>
      </w:r>
      <w:hyperlink r:id="rId14" w:tgtFrame="_new" w:history="1">
        <w:r w:rsidRPr="00980605">
          <w:rPr>
            <w:rStyle w:val="Hyperlink"/>
            <w:rFonts w:asciiTheme="minorHAnsi" w:eastAsiaTheme="majorEastAsia" w:hAnsiTheme="minorHAnsi"/>
            <w:sz w:val="22"/>
            <w:szCs w:val="22"/>
          </w:rPr>
          <w:t>https://www.abs.gov.au/statistics/industry/building-and-construction/building-approvals-australia/latest-release</w:t>
        </w:r>
      </w:hyperlink>
    </w:p>
    <w:p w14:paraId="5600BBEC"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Population</w:t>
      </w:r>
      <w:r w:rsidRPr="00980605">
        <w:rPr>
          <w:rFonts w:asciiTheme="minorHAnsi" w:hAnsiTheme="minorHAnsi"/>
          <w:sz w:val="22"/>
          <w:szCs w:val="22"/>
        </w:rPr>
        <w:t xml:space="preserve"> – ABS, </w:t>
      </w:r>
      <w:r w:rsidRPr="00980605">
        <w:rPr>
          <w:rStyle w:val="Emphasis"/>
          <w:rFonts w:asciiTheme="minorHAnsi" w:eastAsiaTheme="majorEastAsia" w:hAnsiTheme="minorHAnsi"/>
          <w:sz w:val="22"/>
          <w:szCs w:val="22"/>
        </w:rPr>
        <w:t>National, State and Territory Population</w:t>
      </w:r>
      <w:r w:rsidRPr="00980605">
        <w:rPr>
          <w:rFonts w:asciiTheme="minorHAnsi" w:hAnsiTheme="minorHAnsi"/>
          <w:sz w:val="22"/>
          <w:szCs w:val="22"/>
        </w:rPr>
        <w:br/>
      </w:r>
      <w:hyperlink r:id="rId15" w:tgtFrame="_new" w:history="1">
        <w:r w:rsidRPr="00980605">
          <w:rPr>
            <w:rStyle w:val="Hyperlink"/>
            <w:rFonts w:asciiTheme="minorHAnsi" w:eastAsiaTheme="majorEastAsia" w:hAnsiTheme="minorHAnsi"/>
            <w:sz w:val="22"/>
            <w:szCs w:val="22"/>
          </w:rPr>
          <w:t>https://www.abs.gov.au/statistics/people/population/national-state-and-territory-population/mar-2025</w:t>
        </w:r>
      </w:hyperlink>
    </w:p>
    <w:p w14:paraId="75362034"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Labour Force</w:t>
      </w:r>
      <w:r w:rsidRPr="00980605">
        <w:rPr>
          <w:rFonts w:asciiTheme="minorHAnsi" w:hAnsiTheme="minorHAnsi"/>
          <w:sz w:val="22"/>
          <w:szCs w:val="22"/>
        </w:rPr>
        <w:t xml:space="preserve"> – ABS, </w:t>
      </w:r>
      <w:r w:rsidRPr="00980605">
        <w:rPr>
          <w:rStyle w:val="Emphasis"/>
          <w:rFonts w:asciiTheme="minorHAnsi" w:eastAsiaTheme="majorEastAsia" w:hAnsiTheme="minorHAnsi"/>
          <w:sz w:val="22"/>
          <w:szCs w:val="22"/>
        </w:rPr>
        <w:t>Labour Force, Australia</w:t>
      </w:r>
      <w:r w:rsidRPr="00980605">
        <w:rPr>
          <w:rFonts w:asciiTheme="minorHAnsi" w:hAnsiTheme="minorHAnsi"/>
          <w:sz w:val="22"/>
          <w:szCs w:val="22"/>
        </w:rPr>
        <w:br/>
      </w:r>
      <w:hyperlink r:id="rId16" w:tgtFrame="_new" w:history="1">
        <w:r w:rsidRPr="00980605">
          <w:rPr>
            <w:rStyle w:val="Hyperlink"/>
            <w:rFonts w:asciiTheme="minorHAnsi" w:eastAsiaTheme="majorEastAsia" w:hAnsiTheme="minorHAnsi"/>
            <w:sz w:val="22"/>
            <w:szCs w:val="22"/>
          </w:rPr>
          <w:t>https://www.abs.gov.au/statistics/labour/employment-and-unemployment/labour-force-australia/latest-release</w:t>
        </w:r>
      </w:hyperlink>
    </w:p>
    <w:p w14:paraId="387E5211"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Building Activity (Completions, Commencements)</w:t>
      </w:r>
      <w:r w:rsidRPr="00980605">
        <w:rPr>
          <w:rFonts w:asciiTheme="minorHAnsi" w:hAnsiTheme="minorHAnsi"/>
          <w:sz w:val="22"/>
          <w:szCs w:val="22"/>
        </w:rPr>
        <w:t xml:space="preserve"> – ABS</w:t>
      </w:r>
      <w:r w:rsidRPr="00980605">
        <w:rPr>
          <w:rFonts w:asciiTheme="minorHAnsi" w:hAnsiTheme="minorHAnsi"/>
          <w:sz w:val="22"/>
          <w:szCs w:val="22"/>
        </w:rPr>
        <w:br/>
      </w:r>
      <w:hyperlink r:id="rId17" w:tgtFrame="_new" w:history="1">
        <w:r w:rsidRPr="00980605">
          <w:rPr>
            <w:rStyle w:val="Hyperlink"/>
            <w:rFonts w:asciiTheme="minorHAnsi" w:eastAsiaTheme="majorEastAsia" w:hAnsiTheme="minorHAnsi"/>
            <w:sz w:val="22"/>
            <w:szCs w:val="22"/>
          </w:rPr>
          <w:t>https://www.abs.gov.au/statistics/industry/building-and-construction/building-activity-australia/latest-release</w:t>
        </w:r>
      </w:hyperlink>
    </w:p>
    <w:p w14:paraId="611F34A9" w14:textId="77777777" w:rsidR="0033301E" w:rsidRPr="00980605" w:rsidRDefault="0033301E" w:rsidP="0033301E">
      <w:pPr>
        <w:pStyle w:val="NormalWeb"/>
        <w:numPr>
          <w:ilvl w:val="0"/>
          <w:numId w:val="43"/>
        </w:numPr>
        <w:rPr>
          <w:rFonts w:asciiTheme="minorHAnsi" w:hAnsiTheme="minorHAnsi"/>
          <w:sz w:val="22"/>
          <w:szCs w:val="22"/>
        </w:rPr>
      </w:pPr>
      <w:r w:rsidRPr="00980605">
        <w:rPr>
          <w:rStyle w:val="Strong"/>
          <w:rFonts w:asciiTheme="minorHAnsi" w:eastAsiaTheme="majorEastAsia" w:hAnsiTheme="minorHAnsi"/>
          <w:sz w:val="22"/>
          <w:szCs w:val="22"/>
        </w:rPr>
        <w:t>Overseas Migration</w:t>
      </w:r>
      <w:r w:rsidRPr="00980605">
        <w:rPr>
          <w:rFonts w:asciiTheme="minorHAnsi" w:hAnsiTheme="minorHAnsi"/>
          <w:sz w:val="22"/>
          <w:szCs w:val="22"/>
        </w:rPr>
        <w:t xml:space="preserve"> – ABS</w:t>
      </w:r>
      <w:r w:rsidRPr="00980605">
        <w:rPr>
          <w:rFonts w:asciiTheme="minorHAnsi" w:hAnsiTheme="minorHAnsi"/>
          <w:sz w:val="22"/>
          <w:szCs w:val="22"/>
        </w:rPr>
        <w:br/>
      </w:r>
      <w:hyperlink r:id="rId18" w:tgtFrame="_new" w:history="1">
        <w:r w:rsidRPr="00980605">
          <w:rPr>
            <w:rStyle w:val="Hyperlink"/>
            <w:rFonts w:asciiTheme="minorHAnsi" w:eastAsiaTheme="majorEastAsia" w:hAnsiTheme="minorHAnsi"/>
            <w:sz w:val="22"/>
            <w:szCs w:val="22"/>
          </w:rPr>
          <w:t>https://www.abs.gov.au/statistics/people/population/overseas-migration/latest-release</w:t>
        </w:r>
      </w:hyperlink>
    </w:p>
    <w:p w14:paraId="2CE44F12" w14:textId="24559747" w:rsidR="005C7137" w:rsidRPr="00980605" w:rsidRDefault="005C7137" w:rsidP="005C7137">
      <w:pPr>
        <w:pStyle w:val="Heading2"/>
        <w:rPr>
          <w:rFonts w:asciiTheme="minorHAnsi" w:hAnsiTheme="minorHAnsi"/>
          <w:sz w:val="24"/>
          <w:szCs w:val="24"/>
        </w:rPr>
      </w:pPr>
      <w:r w:rsidRPr="00980605">
        <w:rPr>
          <w:rFonts w:asciiTheme="minorHAnsi" w:hAnsiTheme="minorHAnsi"/>
          <w:sz w:val="24"/>
          <w:szCs w:val="24"/>
        </w:rPr>
        <w:t xml:space="preserve">8. </w:t>
      </w:r>
      <w:r w:rsidRPr="00980605">
        <w:rPr>
          <w:rFonts w:asciiTheme="minorHAnsi" w:hAnsiTheme="minorHAnsi"/>
          <w:sz w:val="24"/>
          <w:szCs w:val="24"/>
        </w:rPr>
        <w:t xml:space="preserve">Appendix </w:t>
      </w:r>
      <w:r w:rsidRPr="00980605">
        <w:rPr>
          <w:rFonts w:asciiTheme="minorHAnsi" w:hAnsiTheme="minorHAnsi"/>
          <w:sz w:val="24"/>
          <w:szCs w:val="24"/>
        </w:rPr>
        <w:t>B</w:t>
      </w:r>
      <w:r w:rsidRPr="00980605">
        <w:rPr>
          <w:rFonts w:asciiTheme="minorHAnsi" w:hAnsiTheme="minorHAnsi"/>
          <w:sz w:val="24"/>
          <w:szCs w:val="24"/>
        </w:rPr>
        <w:t>. Data and variable definitions</w:t>
      </w:r>
    </w:p>
    <w:p w14:paraId="4DBA3317" w14:textId="77777777" w:rsidR="005C7137" w:rsidRPr="005C7137" w:rsidRDefault="005C7137" w:rsidP="005C7137">
      <w:pPr>
        <w:spacing w:before="100" w:beforeAutospacing="1" w:after="100" w:afterAutospacing="1"/>
        <w:rPr>
          <w:rFonts w:asciiTheme="minorHAnsi" w:hAnsiTheme="minorHAnsi"/>
          <w:sz w:val="22"/>
          <w:szCs w:val="22"/>
        </w:rPr>
      </w:pPr>
      <w:r w:rsidRPr="005C7137">
        <w:rPr>
          <w:rFonts w:asciiTheme="minorHAnsi" w:hAnsiTheme="minorHAnsi"/>
          <w:b/>
          <w:bCs/>
          <w:sz w:val="22"/>
          <w:szCs w:val="22"/>
        </w:rPr>
        <w:t>Table A1. Variables used in the empirical analysis</w:t>
      </w:r>
    </w:p>
    <w:tbl>
      <w:tblPr>
        <w:tblStyle w:val="TableGrid"/>
        <w:tblW w:w="0" w:type="auto"/>
        <w:tblLook w:val="04A0" w:firstRow="1" w:lastRow="0" w:firstColumn="1" w:lastColumn="0" w:noHBand="0" w:noVBand="1"/>
      </w:tblPr>
      <w:tblGrid>
        <w:gridCol w:w="2059"/>
        <w:gridCol w:w="2456"/>
        <w:gridCol w:w="2253"/>
        <w:gridCol w:w="2248"/>
      </w:tblGrid>
      <w:tr w:rsidR="005C7137" w:rsidRPr="005C7137" w14:paraId="5B056B0A" w14:textId="77777777" w:rsidTr="005C7137">
        <w:tc>
          <w:tcPr>
            <w:tcW w:w="0" w:type="auto"/>
            <w:hideMark/>
          </w:tcPr>
          <w:p w14:paraId="7B46D31E" w14:textId="77777777" w:rsidR="005C7137" w:rsidRPr="005C7137" w:rsidRDefault="005C7137" w:rsidP="005C7137">
            <w:pPr>
              <w:jc w:val="center"/>
              <w:rPr>
                <w:rFonts w:asciiTheme="minorHAnsi" w:hAnsiTheme="minorHAnsi"/>
                <w:b/>
                <w:bCs/>
                <w:sz w:val="22"/>
                <w:szCs w:val="22"/>
              </w:rPr>
            </w:pPr>
            <w:r w:rsidRPr="005C7137">
              <w:rPr>
                <w:rFonts w:asciiTheme="minorHAnsi" w:hAnsiTheme="minorHAnsi"/>
                <w:b/>
                <w:bCs/>
                <w:sz w:val="22"/>
                <w:szCs w:val="22"/>
              </w:rPr>
              <w:t>Variable name</w:t>
            </w:r>
          </w:p>
        </w:tc>
        <w:tc>
          <w:tcPr>
            <w:tcW w:w="0" w:type="auto"/>
            <w:hideMark/>
          </w:tcPr>
          <w:p w14:paraId="671E16F7" w14:textId="77777777" w:rsidR="005C7137" w:rsidRPr="005C7137" w:rsidRDefault="005C7137" w:rsidP="005C7137">
            <w:pPr>
              <w:jc w:val="center"/>
              <w:rPr>
                <w:rFonts w:asciiTheme="minorHAnsi" w:hAnsiTheme="minorHAnsi"/>
                <w:b/>
                <w:bCs/>
                <w:sz w:val="22"/>
                <w:szCs w:val="22"/>
              </w:rPr>
            </w:pPr>
            <w:r w:rsidRPr="005C7137">
              <w:rPr>
                <w:rFonts w:asciiTheme="minorHAnsi" w:hAnsiTheme="minorHAnsi"/>
                <w:b/>
                <w:bCs/>
                <w:sz w:val="22"/>
                <w:szCs w:val="22"/>
              </w:rPr>
              <w:t>Description</w:t>
            </w:r>
          </w:p>
        </w:tc>
        <w:tc>
          <w:tcPr>
            <w:tcW w:w="0" w:type="auto"/>
            <w:hideMark/>
          </w:tcPr>
          <w:p w14:paraId="0863DF52" w14:textId="77777777" w:rsidR="005C7137" w:rsidRPr="005C7137" w:rsidRDefault="005C7137" w:rsidP="005C7137">
            <w:pPr>
              <w:jc w:val="center"/>
              <w:rPr>
                <w:rFonts w:asciiTheme="minorHAnsi" w:hAnsiTheme="minorHAnsi"/>
                <w:b/>
                <w:bCs/>
                <w:sz w:val="22"/>
                <w:szCs w:val="22"/>
              </w:rPr>
            </w:pPr>
            <w:r w:rsidRPr="005C7137">
              <w:rPr>
                <w:rFonts w:asciiTheme="minorHAnsi" w:hAnsiTheme="minorHAnsi"/>
                <w:b/>
                <w:bCs/>
                <w:sz w:val="22"/>
                <w:szCs w:val="22"/>
              </w:rPr>
              <w:t>Unit / transformation</w:t>
            </w:r>
          </w:p>
        </w:tc>
        <w:tc>
          <w:tcPr>
            <w:tcW w:w="0" w:type="auto"/>
            <w:hideMark/>
          </w:tcPr>
          <w:p w14:paraId="7A7AFB3E" w14:textId="77777777" w:rsidR="005C7137" w:rsidRPr="005C7137" w:rsidRDefault="005C7137" w:rsidP="005C7137">
            <w:pPr>
              <w:jc w:val="center"/>
              <w:rPr>
                <w:rFonts w:asciiTheme="minorHAnsi" w:hAnsiTheme="minorHAnsi"/>
                <w:b/>
                <w:bCs/>
                <w:sz w:val="22"/>
                <w:szCs w:val="22"/>
              </w:rPr>
            </w:pPr>
            <w:r w:rsidRPr="005C7137">
              <w:rPr>
                <w:rFonts w:asciiTheme="minorHAnsi" w:hAnsiTheme="minorHAnsi"/>
                <w:b/>
                <w:bCs/>
                <w:sz w:val="22"/>
                <w:szCs w:val="22"/>
              </w:rPr>
              <w:t>Source</w:t>
            </w:r>
          </w:p>
        </w:tc>
      </w:tr>
      <w:tr w:rsidR="005C7137" w:rsidRPr="005C7137" w14:paraId="3593DBE8" w14:textId="77777777" w:rsidTr="005C7137">
        <w:tc>
          <w:tcPr>
            <w:tcW w:w="0" w:type="auto"/>
            <w:hideMark/>
          </w:tcPr>
          <w:p w14:paraId="79E83FA9"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city</w:t>
            </w:r>
          </w:p>
        </w:tc>
        <w:tc>
          <w:tcPr>
            <w:tcW w:w="0" w:type="auto"/>
            <w:hideMark/>
          </w:tcPr>
          <w:p w14:paraId="5DDF3F36"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Capital city identifier (Sydney, Melbourne)</w:t>
            </w:r>
          </w:p>
        </w:tc>
        <w:tc>
          <w:tcPr>
            <w:tcW w:w="0" w:type="auto"/>
            <w:hideMark/>
          </w:tcPr>
          <w:p w14:paraId="5888EE6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Categorical</w:t>
            </w:r>
          </w:p>
        </w:tc>
        <w:tc>
          <w:tcPr>
            <w:tcW w:w="0" w:type="auto"/>
            <w:hideMark/>
          </w:tcPr>
          <w:p w14:paraId="182DF16F"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author construction</w:t>
            </w:r>
          </w:p>
        </w:tc>
      </w:tr>
      <w:tr w:rsidR="005C7137" w:rsidRPr="005C7137" w14:paraId="41696D66" w14:textId="77777777" w:rsidTr="005C7137">
        <w:tc>
          <w:tcPr>
            <w:tcW w:w="0" w:type="auto"/>
            <w:hideMark/>
          </w:tcPr>
          <w:p w14:paraId="0468300C"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quarter</w:t>
            </w:r>
          </w:p>
        </w:tc>
        <w:tc>
          <w:tcPr>
            <w:tcW w:w="0" w:type="auto"/>
            <w:hideMark/>
          </w:tcPr>
          <w:p w14:paraId="2C07EAE4"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Calendar quarter of observation</w:t>
            </w:r>
          </w:p>
        </w:tc>
        <w:tc>
          <w:tcPr>
            <w:tcW w:w="0" w:type="auto"/>
            <w:hideMark/>
          </w:tcPr>
          <w:p w14:paraId="46CAFEF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YYYYQ (e.g. 2010Q1)</w:t>
            </w:r>
          </w:p>
        </w:tc>
        <w:tc>
          <w:tcPr>
            <w:tcW w:w="0" w:type="auto"/>
            <w:hideMark/>
          </w:tcPr>
          <w:p w14:paraId="74A38D1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Author construction</w:t>
            </w:r>
          </w:p>
        </w:tc>
      </w:tr>
      <w:tr w:rsidR="005C7137" w:rsidRPr="005C7137" w14:paraId="54D7EB5A" w14:textId="77777777" w:rsidTr="005C7137">
        <w:tc>
          <w:tcPr>
            <w:tcW w:w="0" w:type="auto"/>
            <w:hideMark/>
          </w:tcPr>
          <w:p w14:paraId="0496B00F"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date</w:t>
            </w:r>
          </w:p>
        </w:tc>
        <w:tc>
          <w:tcPr>
            <w:tcW w:w="0" w:type="auto"/>
            <w:hideMark/>
          </w:tcPr>
          <w:p w14:paraId="23ECE64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Quarter end date</w:t>
            </w:r>
          </w:p>
        </w:tc>
        <w:tc>
          <w:tcPr>
            <w:tcW w:w="0" w:type="auto"/>
            <w:hideMark/>
          </w:tcPr>
          <w:p w14:paraId="524BC9F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Date</w:t>
            </w:r>
          </w:p>
        </w:tc>
        <w:tc>
          <w:tcPr>
            <w:tcW w:w="0" w:type="auto"/>
            <w:hideMark/>
          </w:tcPr>
          <w:p w14:paraId="408F4F09"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Author construction</w:t>
            </w:r>
          </w:p>
        </w:tc>
      </w:tr>
      <w:tr w:rsidR="005C7137" w:rsidRPr="005C7137" w14:paraId="337D4245" w14:textId="77777777" w:rsidTr="005C7137">
        <w:tc>
          <w:tcPr>
            <w:tcW w:w="0" w:type="auto"/>
            <w:hideMark/>
          </w:tcPr>
          <w:p w14:paraId="7A6CC8CA"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ln_rhpi</w:t>
            </w:r>
            <w:proofErr w:type="spellEnd"/>
          </w:p>
        </w:tc>
        <w:tc>
          <w:tcPr>
            <w:tcW w:w="0" w:type="auto"/>
            <w:hideMark/>
          </w:tcPr>
          <w:p w14:paraId="3A5FD93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Log real house price index (capital-city established dwelling price index deflated by CPI)</w:t>
            </w:r>
          </w:p>
        </w:tc>
        <w:tc>
          <w:tcPr>
            <w:tcW w:w="0" w:type="auto"/>
            <w:hideMark/>
          </w:tcPr>
          <w:p w14:paraId="0A1C886B"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Natural log of index (base year = 100)</w:t>
            </w:r>
          </w:p>
        </w:tc>
        <w:tc>
          <w:tcPr>
            <w:tcW w:w="0" w:type="auto"/>
            <w:hideMark/>
          </w:tcPr>
          <w:p w14:paraId="03AA334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dwelling price index; ABS CPI</w:t>
            </w:r>
          </w:p>
        </w:tc>
      </w:tr>
      <w:tr w:rsidR="005C7137" w:rsidRPr="005C7137" w14:paraId="405743AD" w14:textId="77777777" w:rsidTr="005C7137">
        <w:tc>
          <w:tcPr>
            <w:tcW w:w="0" w:type="auto"/>
            <w:hideMark/>
          </w:tcPr>
          <w:p w14:paraId="67641BFE"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cash_rate_level</w:t>
            </w:r>
            <w:proofErr w:type="spellEnd"/>
          </w:p>
        </w:tc>
        <w:tc>
          <w:tcPr>
            <w:tcW w:w="0" w:type="auto"/>
            <w:hideMark/>
          </w:tcPr>
          <w:p w14:paraId="0692D1B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RBA target cash rate (policy rate)</w:t>
            </w:r>
          </w:p>
        </w:tc>
        <w:tc>
          <w:tcPr>
            <w:tcW w:w="0" w:type="auto"/>
            <w:hideMark/>
          </w:tcPr>
          <w:p w14:paraId="498334CA"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 per annum</w:t>
            </w:r>
          </w:p>
        </w:tc>
        <w:tc>
          <w:tcPr>
            <w:tcW w:w="0" w:type="auto"/>
            <w:hideMark/>
          </w:tcPr>
          <w:p w14:paraId="498CF9C8"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RBA statistical tables</w:t>
            </w:r>
          </w:p>
        </w:tc>
      </w:tr>
      <w:tr w:rsidR="005C7137" w:rsidRPr="005C7137" w14:paraId="719D1559" w14:textId="77777777" w:rsidTr="005C7137">
        <w:tc>
          <w:tcPr>
            <w:tcW w:w="0" w:type="auto"/>
            <w:hideMark/>
          </w:tcPr>
          <w:p w14:paraId="6ECC0B67"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cash_rate_level_l1</w:t>
            </w:r>
          </w:p>
        </w:tc>
        <w:tc>
          <w:tcPr>
            <w:tcW w:w="0" w:type="auto"/>
            <w:hideMark/>
          </w:tcPr>
          <w:p w14:paraId="24DE5A2B"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cash rate level (t–1)</w:t>
            </w:r>
          </w:p>
        </w:tc>
        <w:tc>
          <w:tcPr>
            <w:tcW w:w="0" w:type="auto"/>
            <w:hideMark/>
          </w:tcPr>
          <w:p w14:paraId="0135DEBE"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 per annum</w:t>
            </w:r>
          </w:p>
        </w:tc>
        <w:tc>
          <w:tcPr>
            <w:tcW w:w="0" w:type="auto"/>
            <w:hideMark/>
          </w:tcPr>
          <w:p w14:paraId="0AAEDE9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cash_rate_level</w:t>
            </w:r>
            <w:proofErr w:type="spellEnd"/>
          </w:p>
        </w:tc>
      </w:tr>
      <w:tr w:rsidR="005C7137" w:rsidRPr="005C7137" w14:paraId="4191BADB" w14:textId="77777777" w:rsidTr="005C7137">
        <w:tc>
          <w:tcPr>
            <w:tcW w:w="0" w:type="auto"/>
            <w:hideMark/>
          </w:tcPr>
          <w:p w14:paraId="3248F746"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cash_rate_change</w:t>
            </w:r>
            <w:proofErr w:type="spellEnd"/>
          </w:p>
        </w:tc>
        <w:tc>
          <w:tcPr>
            <w:tcW w:w="0" w:type="auto"/>
            <w:hideMark/>
          </w:tcPr>
          <w:p w14:paraId="344304EF"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Quarterly change in the cash rate</w:t>
            </w:r>
          </w:p>
        </w:tc>
        <w:tc>
          <w:tcPr>
            <w:tcW w:w="0" w:type="auto"/>
            <w:hideMark/>
          </w:tcPr>
          <w:p w14:paraId="0A2109C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Percentage points (Δ level)</w:t>
            </w:r>
          </w:p>
        </w:tc>
        <w:tc>
          <w:tcPr>
            <w:tcW w:w="0" w:type="auto"/>
            <w:hideMark/>
          </w:tcPr>
          <w:p w14:paraId="3080358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cash_rate_level</w:t>
            </w:r>
            <w:proofErr w:type="spellEnd"/>
          </w:p>
        </w:tc>
      </w:tr>
      <w:tr w:rsidR="005C7137" w:rsidRPr="005C7137" w14:paraId="2808B1CF" w14:textId="77777777" w:rsidTr="005C7137">
        <w:tc>
          <w:tcPr>
            <w:tcW w:w="0" w:type="auto"/>
            <w:hideMark/>
          </w:tcPr>
          <w:p w14:paraId="0EBA3C5A"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unemployment_rate</w:t>
            </w:r>
            <w:proofErr w:type="spellEnd"/>
          </w:p>
        </w:tc>
        <w:tc>
          <w:tcPr>
            <w:tcW w:w="0" w:type="auto"/>
            <w:hideMark/>
          </w:tcPr>
          <w:p w14:paraId="19AA058A"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Unemployment rate, capital-city labour force</w:t>
            </w:r>
          </w:p>
        </w:tc>
        <w:tc>
          <w:tcPr>
            <w:tcW w:w="0" w:type="auto"/>
            <w:hideMark/>
          </w:tcPr>
          <w:p w14:paraId="2AA3457E"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 of labour force</w:t>
            </w:r>
          </w:p>
        </w:tc>
        <w:tc>
          <w:tcPr>
            <w:tcW w:w="0" w:type="auto"/>
            <w:hideMark/>
          </w:tcPr>
          <w:p w14:paraId="54ADBBC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labour force</w:t>
            </w:r>
          </w:p>
        </w:tc>
      </w:tr>
      <w:tr w:rsidR="005C7137" w:rsidRPr="005C7137" w14:paraId="51A61AB7" w14:textId="77777777" w:rsidTr="005C7137">
        <w:tc>
          <w:tcPr>
            <w:tcW w:w="0" w:type="auto"/>
            <w:hideMark/>
          </w:tcPr>
          <w:p w14:paraId="709A0BBE"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unemployment_rate_l1</w:t>
            </w:r>
          </w:p>
        </w:tc>
        <w:tc>
          <w:tcPr>
            <w:tcW w:w="0" w:type="auto"/>
            <w:hideMark/>
          </w:tcPr>
          <w:p w14:paraId="60C1650B"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unemployment rate (t–1)</w:t>
            </w:r>
          </w:p>
        </w:tc>
        <w:tc>
          <w:tcPr>
            <w:tcW w:w="0" w:type="auto"/>
            <w:hideMark/>
          </w:tcPr>
          <w:p w14:paraId="764E3BE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w:t>
            </w:r>
          </w:p>
        </w:tc>
        <w:tc>
          <w:tcPr>
            <w:tcW w:w="0" w:type="auto"/>
            <w:hideMark/>
          </w:tcPr>
          <w:p w14:paraId="325DC046"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unemployment_rate</w:t>
            </w:r>
            <w:proofErr w:type="spellEnd"/>
          </w:p>
        </w:tc>
      </w:tr>
      <w:tr w:rsidR="005C7137" w:rsidRPr="005C7137" w14:paraId="33C29B79" w14:textId="77777777" w:rsidTr="005C7137">
        <w:tc>
          <w:tcPr>
            <w:tcW w:w="0" w:type="auto"/>
            <w:hideMark/>
          </w:tcPr>
          <w:p w14:paraId="6C5BBDC9"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lastRenderedPageBreak/>
              <w:t>participation_rate</w:t>
            </w:r>
            <w:proofErr w:type="spellEnd"/>
          </w:p>
        </w:tc>
        <w:tc>
          <w:tcPr>
            <w:tcW w:w="0" w:type="auto"/>
            <w:hideMark/>
          </w:tcPr>
          <w:p w14:paraId="168CCA06"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Labour-force participation rate</w:t>
            </w:r>
          </w:p>
        </w:tc>
        <w:tc>
          <w:tcPr>
            <w:tcW w:w="0" w:type="auto"/>
            <w:hideMark/>
          </w:tcPr>
          <w:p w14:paraId="322F015A"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 of working-age population</w:t>
            </w:r>
          </w:p>
        </w:tc>
        <w:tc>
          <w:tcPr>
            <w:tcW w:w="0" w:type="auto"/>
            <w:hideMark/>
          </w:tcPr>
          <w:p w14:paraId="5053A3E0"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labour force</w:t>
            </w:r>
          </w:p>
        </w:tc>
      </w:tr>
      <w:tr w:rsidR="005C7137" w:rsidRPr="005C7137" w14:paraId="7C1B0BD7" w14:textId="77777777" w:rsidTr="005C7137">
        <w:tc>
          <w:tcPr>
            <w:tcW w:w="0" w:type="auto"/>
            <w:hideMark/>
          </w:tcPr>
          <w:p w14:paraId="4BD3354B"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participation_rate_l1</w:t>
            </w:r>
          </w:p>
        </w:tc>
        <w:tc>
          <w:tcPr>
            <w:tcW w:w="0" w:type="auto"/>
            <w:hideMark/>
          </w:tcPr>
          <w:p w14:paraId="00B04AE7"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participation rate (t–1)</w:t>
            </w:r>
          </w:p>
        </w:tc>
        <w:tc>
          <w:tcPr>
            <w:tcW w:w="0" w:type="auto"/>
            <w:hideMark/>
          </w:tcPr>
          <w:p w14:paraId="06362C6E"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w:t>
            </w:r>
          </w:p>
        </w:tc>
        <w:tc>
          <w:tcPr>
            <w:tcW w:w="0" w:type="auto"/>
            <w:hideMark/>
          </w:tcPr>
          <w:p w14:paraId="67532764"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participation_rate</w:t>
            </w:r>
            <w:proofErr w:type="spellEnd"/>
          </w:p>
        </w:tc>
      </w:tr>
      <w:tr w:rsidR="005C7137" w:rsidRPr="005C7137" w14:paraId="20FA97DF" w14:textId="77777777" w:rsidTr="005C7137">
        <w:tc>
          <w:tcPr>
            <w:tcW w:w="0" w:type="auto"/>
            <w:hideMark/>
          </w:tcPr>
          <w:p w14:paraId="34A23DE7"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employment_growth</w:t>
            </w:r>
            <w:proofErr w:type="spellEnd"/>
          </w:p>
        </w:tc>
        <w:tc>
          <w:tcPr>
            <w:tcW w:w="0" w:type="auto"/>
            <w:hideMark/>
          </w:tcPr>
          <w:p w14:paraId="4F2D981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Growth in total employment</w:t>
            </w:r>
          </w:p>
        </w:tc>
        <w:tc>
          <w:tcPr>
            <w:tcW w:w="0" w:type="auto"/>
            <w:hideMark/>
          </w:tcPr>
          <w:p w14:paraId="232F9327"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Percent change over quarter</w:t>
            </w:r>
          </w:p>
        </w:tc>
        <w:tc>
          <w:tcPr>
            <w:tcW w:w="0" w:type="auto"/>
            <w:hideMark/>
          </w:tcPr>
          <w:p w14:paraId="732D03E0"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labour force; author calculation</w:t>
            </w:r>
          </w:p>
        </w:tc>
      </w:tr>
      <w:tr w:rsidR="005C7137" w:rsidRPr="005C7137" w14:paraId="10BA6DE3" w14:textId="77777777" w:rsidTr="005C7137">
        <w:tc>
          <w:tcPr>
            <w:tcW w:w="0" w:type="auto"/>
            <w:hideMark/>
          </w:tcPr>
          <w:p w14:paraId="48A10447"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income_real_pc</w:t>
            </w:r>
            <w:proofErr w:type="spellEnd"/>
          </w:p>
        </w:tc>
        <w:tc>
          <w:tcPr>
            <w:tcW w:w="0" w:type="auto"/>
            <w:hideMark/>
          </w:tcPr>
          <w:p w14:paraId="642DEF7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Real household disposable income per capita</w:t>
            </w:r>
          </w:p>
        </w:tc>
        <w:tc>
          <w:tcPr>
            <w:tcW w:w="0" w:type="auto"/>
            <w:hideMark/>
          </w:tcPr>
          <w:p w14:paraId="51484946"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Index or dollars, deflated by CPI</w:t>
            </w:r>
          </w:p>
        </w:tc>
        <w:tc>
          <w:tcPr>
            <w:tcW w:w="0" w:type="auto"/>
            <w:hideMark/>
          </w:tcPr>
          <w:p w14:paraId="5D2FE03D"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income accounts; ABS CPI</w:t>
            </w:r>
          </w:p>
        </w:tc>
      </w:tr>
      <w:tr w:rsidR="005C7137" w:rsidRPr="005C7137" w14:paraId="0F9C6340" w14:textId="77777777" w:rsidTr="005C7137">
        <w:tc>
          <w:tcPr>
            <w:tcW w:w="0" w:type="auto"/>
            <w:hideMark/>
          </w:tcPr>
          <w:p w14:paraId="5B165C41"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wealth_real_pc</w:t>
            </w:r>
            <w:proofErr w:type="spellEnd"/>
          </w:p>
        </w:tc>
        <w:tc>
          <w:tcPr>
            <w:tcW w:w="0" w:type="auto"/>
            <w:hideMark/>
          </w:tcPr>
          <w:p w14:paraId="03DE0BB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Real household net wealth per capita</w:t>
            </w:r>
          </w:p>
        </w:tc>
        <w:tc>
          <w:tcPr>
            <w:tcW w:w="0" w:type="auto"/>
            <w:hideMark/>
          </w:tcPr>
          <w:p w14:paraId="78737C9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Index or dollars, deflated by CPI</w:t>
            </w:r>
          </w:p>
        </w:tc>
        <w:tc>
          <w:tcPr>
            <w:tcW w:w="0" w:type="auto"/>
            <w:hideMark/>
          </w:tcPr>
          <w:p w14:paraId="017F66EE"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household wealth statistics; ABS CPI</w:t>
            </w:r>
          </w:p>
        </w:tc>
      </w:tr>
      <w:tr w:rsidR="005C7137" w:rsidRPr="005C7137" w14:paraId="3258B33A" w14:textId="77777777" w:rsidTr="005C7137">
        <w:tc>
          <w:tcPr>
            <w:tcW w:w="0" w:type="auto"/>
            <w:hideMark/>
          </w:tcPr>
          <w:p w14:paraId="7D9836DC"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approvals_rate</w:t>
            </w:r>
            <w:proofErr w:type="spellEnd"/>
          </w:p>
        </w:tc>
        <w:tc>
          <w:tcPr>
            <w:tcW w:w="0" w:type="auto"/>
            <w:hideMark/>
          </w:tcPr>
          <w:p w14:paraId="537D8C7F"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New dwelling approvals relative to existing stock</w:t>
            </w:r>
          </w:p>
        </w:tc>
        <w:tc>
          <w:tcPr>
            <w:tcW w:w="0" w:type="auto"/>
            <w:hideMark/>
          </w:tcPr>
          <w:p w14:paraId="1283BBE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Approvals per 1,000 dwellings (or %)</w:t>
            </w:r>
          </w:p>
        </w:tc>
        <w:tc>
          <w:tcPr>
            <w:tcW w:w="0" w:type="auto"/>
            <w:hideMark/>
          </w:tcPr>
          <w:p w14:paraId="62CB751D"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building approvals; ABS dwelling stock</w:t>
            </w:r>
          </w:p>
        </w:tc>
      </w:tr>
      <w:tr w:rsidR="005C7137" w:rsidRPr="005C7137" w14:paraId="57A7FF24" w14:textId="77777777" w:rsidTr="005C7137">
        <w:tc>
          <w:tcPr>
            <w:tcW w:w="0" w:type="auto"/>
            <w:hideMark/>
          </w:tcPr>
          <w:p w14:paraId="0FE07BCF"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approvals_rate_l1</w:t>
            </w:r>
          </w:p>
        </w:tc>
        <w:tc>
          <w:tcPr>
            <w:tcW w:w="0" w:type="auto"/>
            <w:hideMark/>
          </w:tcPr>
          <w:p w14:paraId="31FA6F78"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approvals rate (t–1)</w:t>
            </w:r>
          </w:p>
        </w:tc>
        <w:tc>
          <w:tcPr>
            <w:tcW w:w="0" w:type="auto"/>
            <w:hideMark/>
          </w:tcPr>
          <w:p w14:paraId="6F931C1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Same as above</w:t>
            </w:r>
          </w:p>
        </w:tc>
        <w:tc>
          <w:tcPr>
            <w:tcW w:w="0" w:type="auto"/>
            <w:hideMark/>
          </w:tcPr>
          <w:p w14:paraId="79A8B15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approvals_rate</w:t>
            </w:r>
            <w:proofErr w:type="spellEnd"/>
          </w:p>
        </w:tc>
      </w:tr>
      <w:tr w:rsidR="005C7137" w:rsidRPr="005C7137" w14:paraId="56E96579" w14:textId="77777777" w:rsidTr="005C7137">
        <w:tc>
          <w:tcPr>
            <w:tcW w:w="0" w:type="auto"/>
            <w:hideMark/>
          </w:tcPr>
          <w:p w14:paraId="62F3EC41"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completion_rate_nat</w:t>
            </w:r>
            <w:proofErr w:type="spellEnd"/>
          </w:p>
        </w:tc>
        <w:tc>
          <w:tcPr>
            <w:tcW w:w="0" w:type="auto"/>
            <w:hideMark/>
          </w:tcPr>
          <w:p w14:paraId="42BB7432"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National dwelling completions relative to stock (proxy for construction intensity)</w:t>
            </w:r>
          </w:p>
        </w:tc>
        <w:tc>
          <w:tcPr>
            <w:tcW w:w="0" w:type="auto"/>
            <w:hideMark/>
          </w:tcPr>
          <w:p w14:paraId="2C65824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Completions per 1,000 dwellings (or %)</w:t>
            </w:r>
          </w:p>
        </w:tc>
        <w:tc>
          <w:tcPr>
            <w:tcW w:w="0" w:type="auto"/>
            <w:hideMark/>
          </w:tcPr>
          <w:p w14:paraId="4D44792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building activity; dwelling stock</w:t>
            </w:r>
          </w:p>
        </w:tc>
      </w:tr>
      <w:tr w:rsidR="005C7137" w:rsidRPr="005C7137" w14:paraId="1A2C6608" w14:textId="77777777" w:rsidTr="005C7137">
        <w:tc>
          <w:tcPr>
            <w:tcW w:w="0" w:type="auto"/>
            <w:hideMark/>
          </w:tcPr>
          <w:p w14:paraId="52E6C0A7"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completion_rate_nat_l1</w:t>
            </w:r>
          </w:p>
        </w:tc>
        <w:tc>
          <w:tcPr>
            <w:tcW w:w="0" w:type="auto"/>
            <w:hideMark/>
          </w:tcPr>
          <w:p w14:paraId="79799D82"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national completion rate (t–1)</w:t>
            </w:r>
          </w:p>
        </w:tc>
        <w:tc>
          <w:tcPr>
            <w:tcW w:w="0" w:type="auto"/>
            <w:hideMark/>
          </w:tcPr>
          <w:p w14:paraId="499C7212"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Same as above</w:t>
            </w:r>
          </w:p>
        </w:tc>
        <w:tc>
          <w:tcPr>
            <w:tcW w:w="0" w:type="auto"/>
            <w:hideMark/>
          </w:tcPr>
          <w:p w14:paraId="11D10152"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completion_rate_nat</w:t>
            </w:r>
            <w:proofErr w:type="spellEnd"/>
          </w:p>
        </w:tc>
      </w:tr>
      <w:tr w:rsidR="005C7137" w:rsidRPr="005C7137" w14:paraId="2FA75E24" w14:textId="77777777" w:rsidTr="005C7137">
        <w:tc>
          <w:tcPr>
            <w:tcW w:w="0" w:type="auto"/>
            <w:hideMark/>
          </w:tcPr>
          <w:p w14:paraId="34530012"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ln_population</w:t>
            </w:r>
            <w:proofErr w:type="spellEnd"/>
          </w:p>
        </w:tc>
        <w:tc>
          <w:tcPr>
            <w:tcW w:w="0" w:type="auto"/>
            <w:hideMark/>
          </w:tcPr>
          <w:p w14:paraId="6F369119"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Log of resident population (capital-city)</w:t>
            </w:r>
          </w:p>
        </w:tc>
        <w:tc>
          <w:tcPr>
            <w:tcW w:w="0" w:type="auto"/>
            <w:hideMark/>
          </w:tcPr>
          <w:p w14:paraId="1B694EC4"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Natural log of persons</w:t>
            </w:r>
          </w:p>
        </w:tc>
        <w:tc>
          <w:tcPr>
            <w:tcW w:w="0" w:type="auto"/>
            <w:hideMark/>
          </w:tcPr>
          <w:p w14:paraId="31FF7139"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ABS population estimates</w:t>
            </w:r>
          </w:p>
        </w:tc>
      </w:tr>
      <w:tr w:rsidR="005C7137" w:rsidRPr="005C7137" w14:paraId="6C7532D8" w14:textId="77777777" w:rsidTr="005C7137">
        <w:tc>
          <w:tcPr>
            <w:tcW w:w="0" w:type="auto"/>
            <w:hideMark/>
          </w:tcPr>
          <w:p w14:paraId="42D35B07"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supply_gap</w:t>
            </w:r>
            <w:proofErr w:type="spellEnd"/>
          </w:p>
        </w:tc>
        <w:tc>
          <w:tcPr>
            <w:tcW w:w="0" w:type="auto"/>
            <w:hideMark/>
          </w:tcPr>
          <w:p w14:paraId="4157EE1D"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Indicator of local housing supply tightness (e.g. cumulative approvals vs population growth or stock)</w:t>
            </w:r>
          </w:p>
        </w:tc>
        <w:tc>
          <w:tcPr>
            <w:tcW w:w="0" w:type="auto"/>
            <w:hideMark/>
          </w:tcPr>
          <w:p w14:paraId="6556AED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Index (higher = tighter supply)</w:t>
            </w:r>
          </w:p>
        </w:tc>
        <w:tc>
          <w:tcPr>
            <w:tcW w:w="0" w:type="auto"/>
            <w:hideMark/>
          </w:tcPr>
          <w:p w14:paraId="497D716D"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Author construction from ABS approvals, stock and population</w:t>
            </w:r>
          </w:p>
        </w:tc>
      </w:tr>
      <w:tr w:rsidR="005C7137" w:rsidRPr="005C7137" w14:paraId="2F45B4BE" w14:textId="77777777" w:rsidTr="005C7137">
        <w:tc>
          <w:tcPr>
            <w:tcW w:w="0" w:type="auto"/>
            <w:hideMark/>
          </w:tcPr>
          <w:p w14:paraId="672C76E9"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supply_gap_l1</w:t>
            </w:r>
          </w:p>
        </w:tc>
        <w:tc>
          <w:tcPr>
            <w:tcW w:w="0" w:type="auto"/>
            <w:hideMark/>
          </w:tcPr>
          <w:p w14:paraId="2FDABECF"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Lagged supply-gap measure (t–1)</w:t>
            </w:r>
          </w:p>
        </w:tc>
        <w:tc>
          <w:tcPr>
            <w:tcW w:w="0" w:type="auto"/>
            <w:hideMark/>
          </w:tcPr>
          <w:p w14:paraId="75D6CFD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Index</w:t>
            </w:r>
          </w:p>
        </w:tc>
        <w:tc>
          <w:tcPr>
            <w:tcW w:w="0" w:type="auto"/>
            <w:hideMark/>
          </w:tcPr>
          <w:p w14:paraId="4CF006E7"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Constructed from </w:t>
            </w:r>
            <w:proofErr w:type="spellStart"/>
            <w:r w:rsidRPr="005C7137">
              <w:rPr>
                <w:rFonts w:asciiTheme="minorHAnsi" w:hAnsiTheme="minorHAnsi" w:cs="Courier New"/>
                <w:sz w:val="18"/>
                <w:szCs w:val="18"/>
              </w:rPr>
              <w:t>supply_gap</w:t>
            </w:r>
            <w:proofErr w:type="spellEnd"/>
          </w:p>
        </w:tc>
      </w:tr>
      <w:tr w:rsidR="005C7137" w:rsidRPr="005C7137" w14:paraId="425126F8" w14:textId="77777777" w:rsidTr="005C7137">
        <w:tc>
          <w:tcPr>
            <w:tcW w:w="0" w:type="auto"/>
            <w:hideMark/>
          </w:tcPr>
          <w:p w14:paraId="2033BB49" w14:textId="77777777" w:rsidR="005C7137" w:rsidRPr="005C7137" w:rsidRDefault="005C7137" w:rsidP="005C7137">
            <w:pPr>
              <w:rPr>
                <w:rFonts w:asciiTheme="minorHAnsi" w:hAnsiTheme="minorHAnsi"/>
                <w:sz w:val="22"/>
                <w:szCs w:val="22"/>
              </w:rPr>
            </w:pPr>
            <w:r w:rsidRPr="005C7137">
              <w:rPr>
                <w:rFonts w:asciiTheme="minorHAnsi" w:hAnsiTheme="minorHAnsi" w:cs="Courier New"/>
                <w:sz w:val="18"/>
                <w:szCs w:val="18"/>
              </w:rPr>
              <w:t>rate_x_supply_gap_l1</w:t>
            </w:r>
          </w:p>
        </w:tc>
        <w:tc>
          <w:tcPr>
            <w:tcW w:w="0" w:type="auto"/>
            <w:hideMark/>
          </w:tcPr>
          <w:p w14:paraId="7BA4A653"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Interaction between lagged cash-rate level and lagged supply-gap measure</w:t>
            </w:r>
          </w:p>
        </w:tc>
        <w:tc>
          <w:tcPr>
            <w:tcW w:w="0" w:type="auto"/>
            <w:hideMark/>
          </w:tcPr>
          <w:p w14:paraId="768DB0F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 xml:space="preserve">Product of </w:t>
            </w:r>
            <w:r w:rsidRPr="005C7137">
              <w:rPr>
                <w:rFonts w:asciiTheme="minorHAnsi" w:hAnsiTheme="minorHAnsi" w:cs="Courier New"/>
                <w:sz w:val="22"/>
                <w:szCs w:val="22"/>
              </w:rPr>
              <w:t>cash_rate_level_l1</w:t>
            </w:r>
            <w:r w:rsidRPr="005C7137">
              <w:rPr>
                <w:rFonts w:asciiTheme="minorHAnsi" w:hAnsiTheme="minorHAnsi"/>
                <w:sz w:val="22"/>
                <w:szCs w:val="22"/>
              </w:rPr>
              <w:t xml:space="preserve"> and </w:t>
            </w:r>
            <w:r w:rsidRPr="005C7137">
              <w:rPr>
                <w:rFonts w:asciiTheme="minorHAnsi" w:hAnsiTheme="minorHAnsi" w:cs="Courier New"/>
                <w:sz w:val="22"/>
                <w:szCs w:val="22"/>
              </w:rPr>
              <w:t>supply_gap_l1</w:t>
            </w:r>
          </w:p>
        </w:tc>
        <w:tc>
          <w:tcPr>
            <w:tcW w:w="0" w:type="auto"/>
            <w:hideMark/>
          </w:tcPr>
          <w:p w14:paraId="34C9F1E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Author construction</w:t>
            </w:r>
          </w:p>
        </w:tc>
      </w:tr>
      <w:tr w:rsidR="005C7137" w:rsidRPr="005C7137" w14:paraId="5E3F398A" w14:textId="77777777" w:rsidTr="005C7137">
        <w:tc>
          <w:tcPr>
            <w:tcW w:w="0" w:type="auto"/>
            <w:hideMark/>
          </w:tcPr>
          <w:p w14:paraId="3E50D6F4"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state_fe</w:t>
            </w:r>
            <w:proofErr w:type="spellEnd"/>
          </w:p>
        </w:tc>
        <w:tc>
          <w:tcPr>
            <w:tcW w:w="0" w:type="auto"/>
            <w:hideMark/>
          </w:tcPr>
          <w:p w14:paraId="3E5326D5"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City fixed effects (absorbed in estimation)</w:t>
            </w:r>
          </w:p>
        </w:tc>
        <w:tc>
          <w:tcPr>
            <w:tcW w:w="0" w:type="auto"/>
            <w:hideMark/>
          </w:tcPr>
          <w:p w14:paraId="17058B34"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Not stored explicitly (dummies)</w:t>
            </w:r>
          </w:p>
        </w:tc>
        <w:tc>
          <w:tcPr>
            <w:tcW w:w="0" w:type="auto"/>
            <w:hideMark/>
          </w:tcPr>
          <w:p w14:paraId="4ABA0ADA"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Model specification</w:t>
            </w:r>
          </w:p>
        </w:tc>
      </w:tr>
      <w:tr w:rsidR="005C7137" w:rsidRPr="005C7137" w14:paraId="2A46423B" w14:textId="77777777" w:rsidTr="005C7137">
        <w:tc>
          <w:tcPr>
            <w:tcW w:w="0" w:type="auto"/>
            <w:hideMark/>
          </w:tcPr>
          <w:p w14:paraId="3A8F5600" w14:textId="77777777" w:rsidR="005C7137" w:rsidRPr="005C7137" w:rsidRDefault="005C7137" w:rsidP="005C7137">
            <w:pPr>
              <w:rPr>
                <w:rFonts w:asciiTheme="minorHAnsi" w:hAnsiTheme="minorHAnsi"/>
                <w:sz w:val="22"/>
                <w:szCs w:val="22"/>
              </w:rPr>
            </w:pPr>
            <w:proofErr w:type="spellStart"/>
            <w:r w:rsidRPr="005C7137">
              <w:rPr>
                <w:rFonts w:asciiTheme="minorHAnsi" w:hAnsiTheme="minorHAnsi" w:cs="Courier New"/>
                <w:sz w:val="18"/>
                <w:szCs w:val="18"/>
              </w:rPr>
              <w:t>time_fe</w:t>
            </w:r>
            <w:proofErr w:type="spellEnd"/>
          </w:p>
        </w:tc>
        <w:tc>
          <w:tcPr>
            <w:tcW w:w="0" w:type="auto"/>
            <w:hideMark/>
          </w:tcPr>
          <w:p w14:paraId="27E302F0"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Quarter fixed effects (common shocks)</w:t>
            </w:r>
          </w:p>
        </w:tc>
        <w:tc>
          <w:tcPr>
            <w:tcW w:w="0" w:type="auto"/>
            <w:hideMark/>
          </w:tcPr>
          <w:p w14:paraId="4AF468DC"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Not stored explicitly (dummies)</w:t>
            </w:r>
          </w:p>
        </w:tc>
        <w:tc>
          <w:tcPr>
            <w:tcW w:w="0" w:type="auto"/>
            <w:hideMark/>
          </w:tcPr>
          <w:p w14:paraId="1D679831" w14:textId="77777777" w:rsidR="005C7137" w:rsidRPr="005C7137" w:rsidRDefault="005C7137" w:rsidP="005C7137">
            <w:pPr>
              <w:rPr>
                <w:rFonts w:asciiTheme="minorHAnsi" w:hAnsiTheme="minorHAnsi"/>
                <w:sz w:val="22"/>
                <w:szCs w:val="22"/>
              </w:rPr>
            </w:pPr>
            <w:r w:rsidRPr="005C7137">
              <w:rPr>
                <w:rFonts w:asciiTheme="minorHAnsi" w:hAnsiTheme="minorHAnsi"/>
                <w:sz w:val="22"/>
                <w:szCs w:val="22"/>
              </w:rPr>
              <w:t>Model specification</w:t>
            </w:r>
          </w:p>
        </w:tc>
      </w:tr>
    </w:tbl>
    <w:p w14:paraId="64678E46" w14:textId="77777777" w:rsidR="005C7137" w:rsidRPr="005C7137" w:rsidRDefault="005C7137" w:rsidP="005C7137">
      <w:pPr>
        <w:spacing w:before="100" w:beforeAutospacing="1" w:after="100" w:afterAutospacing="1"/>
        <w:rPr>
          <w:rFonts w:asciiTheme="minorHAnsi" w:hAnsiTheme="minorHAnsi"/>
          <w:sz w:val="22"/>
          <w:szCs w:val="22"/>
        </w:rPr>
      </w:pPr>
      <w:r w:rsidRPr="005C7137">
        <w:rPr>
          <w:rFonts w:asciiTheme="minorHAnsi" w:hAnsiTheme="minorHAnsi"/>
          <w:b/>
          <w:bCs/>
          <w:sz w:val="22"/>
          <w:szCs w:val="22"/>
        </w:rPr>
        <w:t>Notes:</w:t>
      </w:r>
    </w:p>
    <w:p w14:paraId="73CA0026" w14:textId="77777777" w:rsidR="005C7137" w:rsidRPr="005C7137" w:rsidRDefault="005C7137" w:rsidP="005C7137">
      <w:pPr>
        <w:numPr>
          <w:ilvl w:val="0"/>
          <w:numId w:val="53"/>
        </w:numPr>
        <w:spacing w:before="100" w:beforeAutospacing="1" w:after="100" w:afterAutospacing="1"/>
        <w:rPr>
          <w:rFonts w:asciiTheme="minorHAnsi" w:hAnsiTheme="minorHAnsi"/>
          <w:sz w:val="22"/>
          <w:szCs w:val="22"/>
        </w:rPr>
      </w:pPr>
      <w:r w:rsidRPr="005C7137">
        <w:rPr>
          <w:rFonts w:asciiTheme="minorHAnsi" w:hAnsiTheme="minorHAnsi"/>
          <w:sz w:val="22"/>
          <w:szCs w:val="22"/>
        </w:rPr>
        <w:t>All nominal monetary variables (income, wealth, prices) are deflated using the ABS Consumer Price Index to obtain real measures before log transformation.</w:t>
      </w:r>
    </w:p>
    <w:p w14:paraId="2774A126" w14:textId="77777777" w:rsidR="005C7137" w:rsidRPr="005C7137" w:rsidRDefault="005C7137" w:rsidP="005C7137">
      <w:pPr>
        <w:numPr>
          <w:ilvl w:val="0"/>
          <w:numId w:val="53"/>
        </w:numPr>
        <w:spacing w:before="100" w:beforeAutospacing="1" w:after="100" w:afterAutospacing="1"/>
        <w:rPr>
          <w:rFonts w:asciiTheme="minorHAnsi" w:hAnsiTheme="minorHAnsi"/>
          <w:sz w:val="22"/>
          <w:szCs w:val="22"/>
        </w:rPr>
      </w:pPr>
      <w:r w:rsidRPr="005C7137">
        <w:rPr>
          <w:rFonts w:asciiTheme="minorHAnsi" w:hAnsiTheme="minorHAnsi"/>
          <w:sz w:val="22"/>
          <w:szCs w:val="22"/>
        </w:rPr>
        <w:t>Growth rates are computed as quarter-on-quarter percentage changes.</w:t>
      </w:r>
    </w:p>
    <w:p w14:paraId="4057057F" w14:textId="77777777" w:rsidR="005C7137" w:rsidRPr="005C7137" w:rsidRDefault="005C7137" w:rsidP="005C7137">
      <w:pPr>
        <w:numPr>
          <w:ilvl w:val="0"/>
          <w:numId w:val="53"/>
        </w:numPr>
        <w:spacing w:before="100" w:beforeAutospacing="1" w:after="100" w:afterAutospacing="1"/>
        <w:rPr>
          <w:rFonts w:asciiTheme="minorHAnsi" w:hAnsiTheme="minorHAnsi"/>
          <w:sz w:val="22"/>
          <w:szCs w:val="22"/>
        </w:rPr>
      </w:pPr>
      <w:r w:rsidRPr="005C7137">
        <w:rPr>
          <w:rFonts w:asciiTheme="minorHAnsi" w:hAnsiTheme="minorHAnsi"/>
          <w:sz w:val="22"/>
          <w:szCs w:val="22"/>
        </w:rPr>
        <w:t>For ARDL and distributed-lag models, variables enter either in levels, first differences, or lags as indicated in the main text and regression tables.</w:t>
      </w:r>
    </w:p>
    <w:p w14:paraId="657AB90B" w14:textId="77777777" w:rsidR="005C7137" w:rsidRPr="005C7137" w:rsidRDefault="005C7137" w:rsidP="005C7137">
      <w:pPr>
        <w:numPr>
          <w:ilvl w:val="0"/>
          <w:numId w:val="53"/>
        </w:numPr>
        <w:spacing w:before="100" w:beforeAutospacing="1" w:after="100" w:afterAutospacing="1"/>
        <w:rPr>
          <w:rFonts w:asciiTheme="minorHAnsi" w:hAnsiTheme="minorHAnsi"/>
          <w:sz w:val="22"/>
          <w:szCs w:val="22"/>
        </w:rPr>
      </w:pPr>
      <w:r w:rsidRPr="005C7137">
        <w:rPr>
          <w:rFonts w:asciiTheme="minorHAnsi" w:hAnsiTheme="minorHAnsi"/>
          <w:sz w:val="22"/>
          <w:szCs w:val="22"/>
        </w:rPr>
        <w:lastRenderedPageBreak/>
        <w:t xml:space="preserve">For fixed-effects models, </w:t>
      </w:r>
      <w:r w:rsidRPr="005C7137">
        <w:rPr>
          <w:rFonts w:asciiTheme="minorHAnsi" w:hAnsiTheme="minorHAnsi" w:cs="Courier New"/>
          <w:sz w:val="18"/>
          <w:szCs w:val="18"/>
        </w:rPr>
        <w:t>city</w:t>
      </w:r>
      <w:r w:rsidRPr="005C7137">
        <w:rPr>
          <w:rFonts w:asciiTheme="minorHAnsi" w:hAnsiTheme="minorHAnsi"/>
          <w:sz w:val="22"/>
          <w:szCs w:val="22"/>
        </w:rPr>
        <w:t xml:space="preserve"> and </w:t>
      </w:r>
      <w:r w:rsidRPr="005C7137">
        <w:rPr>
          <w:rFonts w:asciiTheme="minorHAnsi" w:hAnsiTheme="minorHAnsi" w:cs="Courier New"/>
          <w:sz w:val="18"/>
          <w:szCs w:val="18"/>
        </w:rPr>
        <w:t>quarter</w:t>
      </w:r>
      <w:r w:rsidRPr="005C7137">
        <w:rPr>
          <w:rFonts w:asciiTheme="minorHAnsi" w:hAnsiTheme="minorHAnsi"/>
          <w:sz w:val="22"/>
          <w:szCs w:val="22"/>
        </w:rPr>
        <w:t xml:space="preserve"> identifiers are used to construct absorbed fixed effects (</w:t>
      </w:r>
      <w:proofErr w:type="spellStart"/>
      <w:r w:rsidRPr="005C7137">
        <w:rPr>
          <w:rFonts w:asciiTheme="minorHAnsi" w:hAnsiTheme="minorHAnsi" w:cs="Courier New"/>
          <w:sz w:val="18"/>
          <w:szCs w:val="18"/>
        </w:rPr>
        <w:t>state_fe</w:t>
      </w:r>
      <w:proofErr w:type="spellEnd"/>
      <w:r w:rsidRPr="005C7137">
        <w:rPr>
          <w:rFonts w:asciiTheme="minorHAnsi" w:hAnsiTheme="minorHAnsi"/>
          <w:sz w:val="22"/>
          <w:szCs w:val="22"/>
        </w:rPr>
        <w:t xml:space="preserve">, </w:t>
      </w:r>
      <w:proofErr w:type="spellStart"/>
      <w:r w:rsidRPr="005C7137">
        <w:rPr>
          <w:rFonts w:asciiTheme="minorHAnsi" w:hAnsiTheme="minorHAnsi" w:cs="Courier New"/>
          <w:sz w:val="18"/>
          <w:szCs w:val="18"/>
        </w:rPr>
        <w:t>time_fe</w:t>
      </w:r>
      <w:proofErr w:type="spellEnd"/>
      <w:r w:rsidRPr="005C7137">
        <w:rPr>
          <w:rFonts w:asciiTheme="minorHAnsi" w:hAnsiTheme="minorHAnsi"/>
          <w:sz w:val="22"/>
          <w:szCs w:val="22"/>
        </w:rPr>
        <w:t>) and are not reported as separate coefficients.</w:t>
      </w:r>
    </w:p>
    <w:p w14:paraId="6A887F9D" w14:textId="77777777" w:rsidR="009F155C" w:rsidRPr="00980605" w:rsidRDefault="009F155C" w:rsidP="0026229A">
      <w:pPr>
        <w:rPr>
          <w:rFonts w:asciiTheme="minorHAnsi" w:hAnsiTheme="minorHAnsi"/>
          <w:sz w:val="22"/>
          <w:szCs w:val="22"/>
        </w:rPr>
      </w:pPr>
    </w:p>
    <w:sectPr w:rsidR="009F155C" w:rsidRPr="00980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028"/>
    <w:multiLevelType w:val="multilevel"/>
    <w:tmpl w:val="A26A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0C38"/>
    <w:multiLevelType w:val="multilevel"/>
    <w:tmpl w:val="FC34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A7CDE"/>
    <w:multiLevelType w:val="multilevel"/>
    <w:tmpl w:val="49D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57E57"/>
    <w:multiLevelType w:val="multilevel"/>
    <w:tmpl w:val="5FF0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6545"/>
    <w:multiLevelType w:val="multilevel"/>
    <w:tmpl w:val="A82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D5B"/>
    <w:multiLevelType w:val="multilevel"/>
    <w:tmpl w:val="2E58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A1573"/>
    <w:multiLevelType w:val="multilevel"/>
    <w:tmpl w:val="43B4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01B8"/>
    <w:multiLevelType w:val="multilevel"/>
    <w:tmpl w:val="577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54FD"/>
    <w:multiLevelType w:val="multilevel"/>
    <w:tmpl w:val="794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02841"/>
    <w:multiLevelType w:val="multilevel"/>
    <w:tmpl w:val="237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3BF7"/>
    <w:multiLevelType w:val="multilevel"/>
    <w:tmpl w:val="486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D71E7"/>
    <w:multiLevelType w:val="multilevel"/>
    <w:tmpl w:val="D56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17B9"/>
    <w:multiLevelType w:val="multilevel"/>
    <w:tmpl w:val="A1D6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C47BF"/>
    <w:multiLevelType w:val="multilevel"/>
    <w:tmpl w:val="3D64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B1B3D"/>
    <w:multiLevelType w:val="multilevel"/>
    <w:tmpl w:val="5BA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A17E6"/>
    <w:multiLevelType w:val="multilevel"/>
    <w:tmpl w:val="334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10FC3"/>
    <w:multiLevelType w:val="multilevel"/>
    <w:tmpl w:val="E2F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2412D"/>
    <w:multiLevelType w:val="multilevel"/>
    <w:tmpl w:val="20C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10975"/>
    <w:multiLevelType w:val="multilevel"/>
    <w:tmpl w:val="DFCE8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F5B7D"/>
    <w:multiLevelType w:val="multilevel"/>
    <w:tmpl w:val="493E1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E2B7E"/>
    <w:multiLevelType w:val="multilevel"/>
    <w:tmpl w:val="902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D471C"/>
    <w:multiLevelType w:val="multilevel"/>
    <w:tmpl w:val="90EE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2575F9"/>
    <w:multiLevelType w:val="multilevel"/>
    <w:tmpl w:val="2AC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70845"/>
    <w:multiLevelType w:val="multilevel"/>
    <w:tmpl w:val="FE8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F4F62"/>
    <w:multiLevelType w:val="multilevel"/>
    <w:tmpl w:val="37B2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50E26"/>
    <w:multiLevelType w:val="multilevel"/>
    <w:tmpl w:val="D472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01797"/>
    <w:multiLevelType w:val="multilevel"/>
    <w:tmpl w:val="5658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51183B"/>
    <w:multiLevelType w:val="multilevel"/>
    <w:tmpl w:val="740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04C6D"/>
    <w:multiLevelType w:val="multilevel"/>
    <w:tmpl w:val="8E0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97BFB"/>
    <w:multiLevelType w:val="multilevel"/>
    <w:tmpl w:val="1F18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B04917"/>
    <w:multiLevelType w:val="multilevel"/>
    <w:tmpl w:val="85C6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306B4"/>
    <w:multiLevelType w:val="hybridMultilevel"/>
    <w:tmpl w:val="67E655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98F33D0"/>
    <w:multiLevelType w:val="multilevel"/>
    <w:tmpl w:val="FB127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13AD8"/>
    <w:multiLevelType w:val="multilevel"/>
    <w:tmpl w:val="7948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21C2B"/>
    <w:multiLevelType w:val="multilevel"/>
    <w:tmpl w:val="A31E3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344053"/>
    <w:multiLevelType w:val="multilevel"/>
    <w:tmpl w:val="C43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D0C8F"/>
    <w:multiLevelType w:val="multilevel"/>
    <w:tmpl w:val="E4B4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A217E0"/>
    <w:multiLevelType w:val="multilevel"/>
    <w:tmpl w:val="232C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51584D"/>
    <w:multiLevelType w:val="multilevel"/>
    <w:tmpl w:val="A7F0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9722B"/>
    <w:multiLevelType w:val="multilevel"/>
    <w:tmpl w:val="6026E9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543776ED"/>
    <w:multiLevelType w:val="multilevel"/>
    <w:tmpl w:val="46A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C5032"/>
    <w:multiLevelType w:val="multilevel"/>
    <w:tmpl w:val="C9C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1D42AD"/>
    <w:multiLevelType w:val="multilevel"/>
    <w:tmpl w:val="36D0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E462FA"/>
    <w:multiLevelType w:val="multilevel"/>
    <w:tmpl w:val="B2E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F1BDC"/>
    <w:multiLevelType w:val="multilevel"/>
    <w:tmpl w:val="E3C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E43A8"/>
    <w:multiLevelType w:val="multilevel"/>
    <w:tmpl w:val="9CE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130630"/>
    <w:multiLevelType w:val="multilevel"/>
    <w:tmpl w:val="162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93225"/>
    <w:multiLevelType w:val="multilevel"/>
    <w:tmpl w:val="FDB6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D7D21"/>
    <w:multiLevelType w:val="multilevel"/>
    <w:tmpl w:val="77E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76F35"/>
    <w:multiLevelType w:val="hybridMultilevel"/>
    <w:tmpl w:val="5EA68E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C362FFD"/>
    <w:multiLevelType w:val="multilevel"/>
    <w:tmpl w:val="504A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996850"/>
    <w:multiLevelType w:val="multilevel"/>
    <w:tmpl w:val="0846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B33A4E"/>
    <w:multiLevelType w:val="multilevel"/>
    <w:tmpl w:val="E272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36CD4"/>
    <w:multiLevelType w:val="hybridMultilevel"/>
    <w:tmpl w:val="A798F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AD80C97"/>
    <w:multiLevelType w:val="multilevel"/>
    <w:tmpl w:val="6882D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496CD6"/>
    <w:multiLevelType w:val="multilevel"/>
    <w:tmpl w:val="253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
    <w:abstractNumId w:val="36"/>
  </w:num>
  <w:num w:numId="2" w16cid:durableId="808519263">
    <w:abstractNumId w:val="10"/>
  </w:num>
  <w:num w:numId="3" w16cid:durableId="298390110">
    <w:abstractNumId w:val="47"/>
  </w:num>
  <w:num w:numId="4" w16cid:durableId="671102285">
    <w:abstractNumId w:val="34"/>
  </w:num>
  <w:num w:numId="5" w16cid:durableId="1640918878">
    <w:abstractNumId w:val="42"/>
  </w:num>
  <w:num w:numId="6" w16cid:durableId="1862087640">
    <w:abstractNumId w:val="17"/>
  </w:num>
  <w:num w:numId="7" w16cid:durableId="308486349">
    <w:abstractNumId w:val="27"/>
  </w:num>
  <w:num w:numId="8" w16cid:durableId="1475217329">
    <w:abstractNumId w:val="3"/>
  </w:num>
  <w:num w:numId="9" w16cid:durableId="803930466">
    <w:abstractNumId w:val="23"/>
  </w:num>
  <w:num w:numId="10" w16cid:durableId="1991396281">
    <w:abstractNumId w:val="35"/>
  </w:num>
  <w:num w:numId="11" w16cid:durableId="1553924751">
    <w:abstractNumId w:val="29"/>
  </w:num>
  <w:num w:numId="12" w16cid:durableId="188761817">
    <w:abstractNumId w:val="37"/>
  </w:num>
  <w:num w:numId="13" w16cid:durableId="1245139976">
    <w:abstractNumId w:val="14"/>
  </w:num>
  <w:num w:numId="14" w16cid:durableId="1000233250">
    <w:abstractNumId w:val="26"/>
  </w:num>
  <w:num w:numId="15" w16cid:durableId="1885215720">
    <w:abstractNumId w:val="22"/>
  </w:num>
  <w:num w:numId="16" w16cid:durableId="1065881361">
    <w:abstractNumId w:val="40"/>
  </w:num>
  <w:num w:numId="17" w16cid:durableId="1930580727">
    <w:abstractNumId w:val="11"/>
  </w:num>
  <w:num w:numId="18" w16cid:durableId="1364093738">
    <w:abstractNumId w:val="1"/>
  </w:num>
  <w:num w:numId="19" w16cid:durableId="2124960915">
    <w:abstractNumId w:val="7"/>
  </w:num>
  <w:num w:numId="20" w16cid:durableId="685442093">
    <w:abstractNumId w:val="30"/>
  </w:num>
  <w:num w:numId="21" w16cid:durableId="607081902">
    <w:abstractNumId w:val="55"/>
  </w:num>
  <w:num w:numId="22" w16cid:durableId="1440640437">
    <w:abstractNumId w:val="16"/>
  </w:num>
  <w:num w:numId="23" w16cid:durableId="881019714">
    <w:abstractNumId w:val="45"/>
  </w:num>
  <w:num w:numId="24" w16cid:durableId="234053424">
    <w:abstractNumId w:val="51"/>
  </w:num>
  <w:num w:numId="25" w16cid:durableId="1552230796">
    <w:abstractNumId w:val="5"/>
  </w:num>
  <w:num w:numId="26" w16cid:durableId="675306328">
    <w:abstractNumId w:val="9"/>
  </w:num>
  <w:num w:numId="27" w16cid:durableId="876891433">
    <w:abstractNumId w:val="8"/>
  </w:num>
  <w:num w:numId="28" w16cid:durableId="2128740836">
    <w:abstractNumId w:val="46"/>
  </w:num>
  <w:num w:numId="29" w16cid:durableId="1779373625">
    <w:abstractNumId w:val="13"/>
  </w:num>
  <w:num w:numId="30" w16cid:durableId="1723793827">
    <w:abstractNumId w:val="53"/>
  </w:num>
  <w:num w:numId="31" w16cid:durableId="1803231673">
    <w:abstractNumId w:val="15"/>
  </w:num>
  <w:num w:numId="32" w16cid:durableId="767508618">
    <w:abstractNumId w:val="54"/>
  </w:num>
  <w:num w:numId="33" w16cid:durableId="1975064416">
    <w:abstractNumId w:val="32"/>
  </w:num>
  <w:num w:numId="34" w16cid:durableId="1001276685">
    <w:abstractNumId w:val="52"/>
  </w:num>
  <w:num w:numId="35" w16cid:durableId="1569264073">
    <w:abstractNumId w:val="28"/>
  </w:num>
  <w:num w:numId="36" w16cid:durableId="60718534">
    <w:abstractNumId w:val="6"/>
  </w:num>
  <w:num w:numId="37" w16cid:durableId="902106267">
    <w:abstractNumId w:val="2"/>
  </w:num>
  <w:num w:numId="38" w16cid:durableId="416169922">
    <w:abstractNumId w:val="50"/>
  </w:num>
  <w:num w:numId="39" w16cid:durableId="1773434836">
    <w:abstractNumId w:val="19"/>
  </w:num>
  <w:num w:numId="40" w16cid:durableId="92677219">
    <w:abstractNumId w:val="38"/>
  </w:num>
  <w:num w:numId="41" w16cid:durableId="1213809842">
    <w:abstractNumId w:val="25"/>
  </w:num>
  <w:num w:numId="42" w16cid:durableId="1902444">
    <w:abstractNumId w:val="18"/>
  </w:num>
  <w:num w:numId="43" w16cid:durableId="265961276">
    <w:abstractNumId w:val="20"/>
  </w:num>
  <w:num w:numId="44" w16cid:durableId="749622982">
    <w:abstractNumId w:val="43"/>
  </w:num>
  <w:num w:numId="45" w16cid:durableId="1677074505">
    <w:abstractNumId w:val="4"/>
  </w:num>
  <w:num w:numId="46" w16cid:durableId="1050374126">
    <w:abstractNumId w:val="33"/>
  </w:num>
  <w:num w:numId="47" w16cid:durableId="1603031431">
    <w:abstractNumId w:val="41"/>
  </w:num>
  <w:num w:numId="48" w16cid:durableId="2110003512">
    <w:abstractNumId w:val="48"/>
  </w:num>
  <w:num w:numId="49" w16cid:durableId="999698374">
    <w:abstractNumId w:val="12"/>
  </w:num>
  <w:num w:numId="50" w16cid:durableId="112288606">
    <w:abstractNumId w:val="44"/>
  </w:num>
  <w:num w:numId="51" w16cid:durableId="202179630">
    <w:abstractNumId w:val="24"/>
  </w:num>
  <w:num w:numId="52" w16cid:durableId="1041516640">
    <w:abstractNumId w:val="0"/>
  </w:num>
  <w:num w:numId="53" w16cid:durableId="1790513674">
    <w:abstractNumId w:val="21"/>
  </w:num>
  <w:num w:numId="54" w16cid:durableId="1269502777">
    <w:abstractNumId w:val="31"/>
  </w:num>
  <w:num w:numId="55" w16cid:durableId="282275743">
    <w:abstractNumId w:val="39"/>
  </w:num>
  <w:num w:numId="56" w16cid:durableId="31110207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E6"/>
    <w:rsid w:val="0002003D"/>
    <w:rsid w:val="00025F66"/>
    <w:rsid w:val="000A6912"/>
    <w:rsid w:val="001879D5"/>
    <w:rsid w:val="001B76BC"/>
    <w:rsid w:val="001E5BD4"/>
    <w:rsid w:val="0026229A"/>
    <w:rsid w:val="002972D8"/>
    <w:rsid w:val="002A2494"/>
    <w:rsid w:val="002A553B"/>
    <w:rsid w:val="002B0B7F"/>
    <w:rsid w:val="0033301E"/>
    <w:rsid w:val="003E10C9"/>
    <w:rsid w:val="0042669C"/>
    <w:rsid w:val="00460DFD"/>
    <w:rsid w:val="00503C2F"/>
    <w:rsid w:val="005B77A8"/>
    <w:rsid w:val="005C7137"/>
    <w:rsid w:val="0073091C"/>
    <w:rsid w:val="00832578"/>
    <w:rsid w:val="008806D3"/>
    <w:rsid w:val="008867E6"/>
    <w:rsid w:val="00961ACA"/>
    <w:rsid w:val="00980605"/>
    <w:rsid w:val="009E6E18"/>
    <w:rsid w:val="009F155C"/>
    <w:rsid w:val="00A10E65"/>
    <w:rsid w:val="00A30EFB"/>
    <w:rsid w:val="00A37A84"/>
    <w:rsid w:val="00B036E4"/>
    <w:rsid w:val="00B07C8E"/>
    <w:rsid w:val="00BB052F"/>
    <w:rsid w:val="00BB3CE6"/>
    <w:rsid w:val="00BF5255"/>
    <w:rsid w:val="00D304DE"/>
    <w:rsid w:val="00DF3AA1"/>
    <w:rsid w:val="00E14080"/>
    <w:rsid w:val="00F06C56"/>
    <w:rsid w:val="00F400F6"/>
    <w:rsid w:val="00F41380"/>
    <w:rsid w:val="00F4391F"/>
    <w:rsid w:val="00F61F5D"/>
    <w:rsid w:val="00F9231E"/>
    <w:rsid w:val="00FB47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C487"/>
  <w15:chartTrackingRefBased/>
  <w15:docId w15:val="{F4E12B1F-A7A0-F445-85C6-F33B3765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13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3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3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B3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C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3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B3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E6"/>
    <w:rPr>
      <w:rFonts w:eastAsiaTheme="majorEastAsia" w:cstheme="majorBidi"/>
      <w:color w:val="272727" w:themeColor="text1" w:themeTint="D8"/>
    </w:rPr>
  </w:style>
  <w:style w:type="paragraph" w:styleId="Title">
    <w:name w:val="Title"/>
    <w:basedOn w:val="Normal"/>
    <w:next w:val="Normal"/>
    <w:link w:val="TitleChar"/>
    <w:uiPriority w:val="10"/>
    <w:qFormat/>
    <w:rsid w:val="00BB3C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E6"/>
    <w:pPr>
      <w:spacing w:before="160"/>
      <w:jc w:val="center"/>
    </w:pPr>
    <w:rPr>
      <w:i/>
      <w:iCs/>
      <w:color w:val="404040" w:themeColor="text1" w:themeTint="BF"/>
    </w:rPr>
  </w:style>
  <w:style w:type="character" w:customStyle="1" w:styleId="QuoteChar">
    <w:name w:val="Quote Char"/>
    <w:basedOn w:val="DefaultParagraphFont"/>
    <w:link w:val="Quote"/>
    <w:uiPriority w:val="29"/>
    <w:rsid w:val="00BB3CE6"/>
    <w:rPr>
      <w:i/>
      <w:iCs/>
      <w:color w:val="404040" w:themeColor="text1" w:themeTint="BF"/>
    </w:rPr>
  </w:style>
  <w:style w:type="paragraph" w:styleId="ListParagraph">
    <w:name w:val="List Paragraph"/>
    <w:basedOn w:val="Normal"/>
    <w:uiPriority w:val="34"/>
    <w:qFormat/>
    <w:rsid w:val="00BB3CE6"/>
    <w:pPr>
      <w:ind w:left="720"/>
      <w:contextualSpacing/>
    </w:pPr>
  </w:style>
  <w:style w:type="character" w:styleId="IntenseEmphasis">
    <w:name w:val="Intense Emphasis"/>
    <w:basedOn w:val="DefaultParagraphFont"/>
    <w:uiPriority w:val="21"/>
    <w:qFormat/>
    <w:rsid w:val="00BB3CE6"/>
    <w:rPr>
      <w:i/>
      <w:iCs/>
      <w:color w:val="0F4761" w:themeColor="accent1" w:themeShade="BF"/>
    </w:rPr>
  </w:style>
  <w:style w:type="paragraph" w:styleId="IntenseQuote">
    <w:name w:val="Intense Quote"/>
    <w:basedOn w:val="Normal"/>
    <w:next w:val="Normal"/>
    <w:link w:val="IntenseQuoteChar"/>
    <w:uiPriority w:val="30"/>
    <w:qFormat/>
    <w:rsid w:val="00BB3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CE6"/>
    <w:rPr>
      <w:i/>
      <w:iCs/>
      <w:color w:val="0F4761" w:themeColor="accent1" w:themeShade="BF"/>
    </w:rPr>
  </w:style>
  <w:style w:type="character" w:styleId="IntenseReference">
    <w:name w:val="Intense Reference"/>
    <w:basedOn w:val="DefaultParagraphFont"/>
    <w:uiPriority w:val="32"/>
    <w:qFormat/>
    <w:rsid w:val="00BB3CE6"/>
    <w:rPr>
      <w:b/>
      <w:bCs/>
      <w:smallCaps/>
      <w:color w:val="0F4761" w:themeColor="accent1" w:themeShade="BF"/>
      <w:spacing w:val="5"/>
    </w:rPr>
  </w:style>
  <w:style w:type="paragraph" w:styleId="NormalWeb">
    <w:name w:val="Normal (Web)"/>
    <w:basedOn w:val="Normal"/>
    <w:uiPriority w:val="99"/>
    <w:unhideWhenUsed/>
    <w:rsid w:val="00BB3CE6"/>
    <w:pPr>
      <w:spacing w:before="100" w:beforeAutospacing="1" w:after="100" w:afterAutospacing="1"/>
    </w:pPr>
  </w:style>
  <w:style w:type="character" w:styleId="Strong">
    <w:name w:val="Strong"/>
    <w:basedOn w:val="DefaultParagraphFont"/>
    <w:uiPriority w:val="22"/>
    <w:qFormat/>
    <w:rsid w:val="00BB3CE6"/>
    <w:rPr>
      <w:b/>
      <w:bCs/>
    </w:rPr>
  </w:style>
  <w:style w:type="character" w:styleId="HTMLCode">
    <w:name w:val="HTML Code"/>
    <w:basedOn w:val="DefaultParagraphFont"/>
    <w:uiPriority w:val="99"/>
    <w:semiHidden/>
    <w:unhideWhenUsed/>
    <w:rsid w:val="00BB3CE6"/>
    <w:rPr>
      <w:rFonts w:ascii="Courier New" w:eastAsia="Times New Roman" w:hAnsi="Courier New" w:cs="Courier New"/>
      <w:sz w:val="20"/>
      <w:szCs w:val="20"/>
    </w:rPr>
  </w:style>
  <w:style w:type="character" w:customStyle="1" w:styleId="math-inline">
    <w:name w:val="math-inline"/>
    <w:basedOn w:val="DefaultParagraphFont"/>
    <w:rsid w:val="00B07C8E"/>
  </w:style>
  <w:style w:type="character" w:styleId="Emphasis">
    <w:name w:val="Emphasis"/>
    <w:basedOn w:val="DefaultParagraphFont"/>
    <w:uiPriority w:val="20"/>
    <w:qFormat/>
    <w:rsid w:val="00E14080"/>
    <w:rPr>
      <w:i/>
      <w:iCs/>
    </w:rPr>
  </w:style>
  <w:style w:type="table" w:styleId="TableGrid">
    <w:name w:val="Table Grid"/>
    <w:basedOn w:val="TableNormal"/>
    <w:uiPriority w:val="39"/>
    <w:rsid w:val="005B7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330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ba.gov.au/statistics/cash-rate/" TargetMode="External"/><Relationship Id="rId18" Type="http://schemas.openxmlformats.org/officeDocument/2006/relationships/hyperlink" Target="https://www.abs.gov.au/statistics/people/population/overseas-migration/latest-releas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bs.gov.au/statistics/measuring-what-matters/measuring-what-matters-themes-and-indicators/prosperous/household-income-and-wealth" TargetMode="External"/><Relationship Id="rId17" Type="http://schemas.openxmlformats.org/officeDocument/2006/relationships/hyperlink" Target="https://www.abs.gov.au/statistics/industry/building-and-construction/building-activity-australia/latest-release" TargetMode="External"/><Relationship Id="rId2" Type="http://schemas.openxmlformats.org/officeDocument/2006/relationships/styles" Target="styles.xml"/><Relationship Id="rId16" Type="http://schemas.openxmlformats.org/officeDocument/2006/relationships/hyperlink" Target="https://www.abs.gov.au/statistics/labour/employment-and-unemployment/labour-force-australia/latest-relea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bs.gov.au/statistics/economy/price-indexes-and-inflation/total-value-dwellings/latest-release" TargetMode="External"/><Relationship Id="rId5" Type="http://schemas.openxmlformats.org/officeDocument/2006/relationships/image" Target="media/image1.png"/><Relationship Id="rId15" Type="http://schemas.openxmlformats.org/officeDocument/2006/relationships/hyperlink" Target="https://www.abs.gov.au/statistics/people/population/national-state-and-territory-population/mar-2025"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bs.gov.au/statistics/industry/building-and-construction/building-approvals-australia/latest-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13</Pages>
  <Words>3694</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Xu</dc:creator>
  <cp:keywords/>
  <dc:description/>
  <cp:lastModifiedBy>Joyce Xu</cp:lastModifiedBy>
  <cp:revision>5</cp:revision>
  <dcterms:created xsi:type="dcterms:W3CDTF">2025-12-08T09:39:00Z</dcterms:created>
  <dcterms:modified xsi:type="dcterms:W3CDTF">2025-12-12T08:39:00Z</dcterms:modified>
</cp:coreProperties>
</file>