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 if is_table %}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0"/>
        <w:gridCol w:w="4080"/>
        <w:gridCol w:w="4080"/>
      </w:tblGrid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in (‘Тональность’, ‘Реңкілік’, ‘Sentiment’)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80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2240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in (‘Тональность’, ‘Реңкілік’, ‘Sentiment’)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9525" distB="9525" distL="9525" distR="9525" simplePos="0" locked="0" layoutInCell="0" allowOverlap="1" relativeHeight="2">
                <wp:simplePos x="0" y="0"/>
                <wp:positionH relativeFrom="column">
                  <wp:posOffset>-11430</wp:posOffset>
                </wp:positionH>
                <wp:positionV relativeFrom="paragraph">
                  <wp:posOffset>59690</wp:posOffset>
                </wp:positionV>
                <wp:extent cx="8926195" cy="635"/>
                <wp:effectExtent l="9525" t="9525" r="9525" b="952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0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4.7pt" to="701.9pt,4.7pt" ID="Линия 1" stroked="t" o:allowincell="f" style="position:absolute">
                <v:stroke color="black" weight="18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LibreOffice/7.3.7.2$Linux_X86_64 LibreOffice_project/30$Build-2</Application>
  <AppVersion>15.0000</AppVersion>
  <Pages>2</Pages>
  <Words>172</Words>
  <Characters>822</Characters>
  <CharactersWithSpaces>961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2023-08-22T13:01:41Z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