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SimSun" w:hAnsi="SimSun" w:eastAsia="SimSun"/>
          <w:b w:val="0"/>
          <w:sz w:val="32"/>
        </w:rPr>
      </w:r>
    </w:p>
    <w:p>
      <w:pPr>
        <w:spacing w:after="120"/>
        <w:jc w:val="center"/>
      </w:pPr>
      <w:r>
        <w:rPr>
          <w:rFonts w:ascii="SimSun" w:hAnsi="SimSun" w:eastAsia="SimSun"/>
          <w:b w:val="0"/>
          <w:sz w:val="32"/>
        </w:rPr>
      </w:r>
    </w:p>
    <w:p>
      <w:pPr>
        <w:spacing w:after="120"/>
        <w:jc w:val="center"/>
      </w:pPr>
      <w:r>
        <w:rPr>
          <w:rFonts w:ascii="SimSun" w:hAnsi="SimSun" w:eastAsia="SimSun"/>
          <w:b w:val="0"/>
          <w:sz w:val="32"/>
        </w:rPr>
      </w:r>
    </w:p>
    <w:p>
      <w:pPr>
        <w:spacing w:after="120"/>
        <w:jc w:val="center"/>
      </w:pPr>
      <w:r>
        <w:rPr>
          <w:rFonts w:ascii="SimSun" w:hAnsi="SimSun" w:eastAsia="SimSun"/>
          <w:b/>
          <w:sz w:val="44"/>
        </w:rPr>
        <w:t>华中科技大学</w:t>
      </w:r>
    </w:p>
    <w:p>
      <w:pPr>
        <w:spacing w:after="120"/>
        <w:jc w:val="center"/>
      </w:pPr>
      <w:r>
        <w:rPr>
          <w:rFonts w:ascii="SimSun" w:hAnsi="SimSun" w:eastAsia="SimSun"/>
          <w:b/>
          <w:sz w:val="36"/>
        </w:rPr>
        <w:t>计算机科学与技术学院</w:t>
      </w:r>
    </w:p>
    <w:p>
      <w:pPr>
        <w:spacing w:after="120"/>
        <w:jc w:val="center"/>
      </w:pPr>
      <w:r>
        <w:rPr>
          <w:rFonts w:ascii="SimSun" w:hAnsi="SimSun" w:eastAsia="SimSun"/>
          <w:b/>
          <w:sz w:val="36"/>
        </w:rPr>
        <w:t>《机器学习》结课报告</w:t>
      </w:r>
    </w:p>
    <w:p>
      <w:pPr>
        <w:spacing w:after="120"/>
        <w:jc w:val="center"/>
      </w:pPr>
      <w:r>
        <w:rPr>
          <w:rFonts w:ascii="SimSun" w:hAnsi="SimSun" w:eastAsia="SimSun"/>
          <w:b w:val="0"/>
          <w:sz w:val="32"/>
        </w:rPr>
      </w:r>
    </w:p>
    <w:p>
      <w:pPr>
        <w:spacing w:after="120"/>
        <w:jc w:val="center"/>
      </w:pPr>
      <w:r>
        <w:rPr>
          <w:rFonts w:ascii="SimSun" w:hAnsi="SimSun" w:eastAsia="SimSun"/>
          <w:b w:val="0"/>
          <w:sz w:val="32"/>
        </w:rPr>
      </w:r>
    </w:p>
    <w:p>
      <w:pPr>
        <w:spacing w:after="120"/>
        <w:jc w:val="center"/>
      </w:pPr>
      <w:r>
        <w:rPr>
          <w:rFonts w:ascii="SimSun" w:hAnsi="SimSun" w:eastAsia="SimSun"/>
          <w:b w:val="0"/>
          <w:sz w:val="32"/>
        </w:rPr>
        <w:t>专    业：</w:t>
      </w:r>
    </w:p>
    <w:p>
      <w:pPr>
        <w:spacing w:after="120"/>
        <w:jc w:val="center"/>
      </w:pPr>
      <w:r>
        <w:rPr>
          <w:rFonts w:ascii="SimSun" w:hAnsi="SimSun" w:eastAsia="SimSun"/>
          <w:b w:val="0"/>
          <w:sz w:val="32"/>
        </w:rPr>
        <w:t>班    级：</w:t>
      </w:r>
    </w:p>
    <w:p>
      <w:pPr>
        <w:spacing w:after="120"/>
        <w:jc w:val="center"/>
      </w:pPr>
      <w:r>
        <w:rPr>
          <w:rFonts w:ascii="SimSun" w:hAnsi="SimSun" w:eastAsia="SimSun"/>
          <w:b w:val="0"/>
          <w:sz w:val="32"/>
        </w:rPr>
        <w:t>学    号：</w:t>
      </w:r>
    </w:p>
    <w:p>
      <w:pPr>
        <w:spacing w:after="120"/>
        <w:jc w:val="center"/>
      </w:pPr>
      <w:r>
        <w:rPr>
          <w:rFonts w:ascii="SimSun" w:hAnsi="SimSun" w:eastAsia="SimSun"/>
          <w:b w:val="0"/>
          <w:sz w:val="32"/>
        </w:rPr>
        <w:t>姓    名：</w:t>
      </w:r>
    </w:p>
    <w:p>
      <w:pPr>
        <w:spacing w:after="120"/>
        <w:jc w:val="center"/>
      </w:pPr>
      <w:r>
        <w:rPr>
          <w:rFonts w:ascii="SimSun" w:hAnsi="SimSun" w:eastAsia="SimSun"/>
          <w:b w:val="0"/>
          <w:sz w:val="32"/>
        </w:rPr>
        <w:t>成    绩：</w:t>
      </w:r>
    </w:p>
    <w:p>
      <w:pPr>
        <w:spacing w:after="120"/>
        <w:jc w:val="center"/>
      </w:pPr>
      <w:r>
        <w:rPr>
          <w:rFonts w:ascii="SimSun" w:hAnsi="SimSun" w:eastAsia="SimSun"/>
          <w:b w:val="0"/>
          <w:sz w:val="32"/>
        </w:rPr>
        <w:t>指导教师：</w:t>
      </w:r>
    </w:p>
    <w:p>
      <w:pPr>
        <w:spacing w:after="120"/>
        <w:jc w:val="center"/>
      </w:pPr>
      <w:r>
        <w:rPr>
          <w:rFonts w:ascii="SimSun" w:hAnsi="SimSun" w:eastAsia="SimSun"/>
          <w:b w:val="0"/>
          <w:sz w:val="32"/>
        </w:rPr>
      </w:r>
    </w:p>
    <w:p>
      <w:pPr>
        <w:spacing w:after="120"/>
        <w:jc w:val="center"/>
      </w:pPr>
      <w:r>
        <w:rPr>
          <w:rFonts w:ascii="SimSun" w:hAnsi="SimSun" w:eastAsia="SimSun"/>
          <w:b w:val="0"/>
          <w:sz w:val="28"/>
        </w:rPr>
        <w:t>完成日期：2026 年 5 月 20 日</w:t>
      </w:r>
    </w:p>
    <w:p>
      <w:r>
        <w:br w:type="page"/>
      </w:r>
    </w:p>
    <w:p>
      <w:pPr>
        <w:jc w:val="center"/>
      </w:pPr>
      <w:r>
        <w:rPr>
          <w:rFonts w:ascii="SimSun" w:hAnsi="SimSun" w:eastAsia="SimSun"/>
          <w:b/>
          <w:sz w:val="32"/>
        </w:rPr>
        <w:t>目  录</w:t>
      </w:r>
    </w:p>
    <w:p>
      <w:r>
        <w:rPr>
          <w:rFonts w:ascii="SimSun" w:hAnsi="SimSun" w:eastAsia="SimSun"/>
          <w:sz w:val="28"/>
        </w:rPr>
        <w:t>1. 实验要求</w:t>
      </w:r>
    </w:p>
    <w:p>
      <w:r>
        <w:rPr>
          <w:rFonts w:ascii="SimSun" w:hAnsi="SimSun" w:eastAsia="SimSun"/>
          <w:sz w:val="28"/>
        </w:rPr>
        <w:t>2. 算法设计与实现</w:t>
      </w:r>
    </w:p>
    <w:p>
      <w:r>
        <w:rPr>
          <w:rFonts w:ascii="SimSun" w:hAnsi="SimSun" w:eastAsia="SimSun"/>
          <w:sz w:val="28"/>
        </w:rPr>
        <w:t>3. 实验环境与平台</w:t>
      </w:r>
    </w:p>
    <w:p>
      <w:r>
        <w:rPr>
          <w:rFonts w:ascii="SimSun" w:hAnsi="SimSun" w:eastAsia="SimSun"/>
          <w:sz w:val="28"/>
        </w:rPr>
        <w:t>4. 结果与分析</w:t>
      </w:r>
    </w:p>
    <w:p>
      <w:r>
        <w:rPr>
          <w:rFonts w:ascii="SimSun" w:hAnsi="SimSun" w:eastAsia="SimSun"/>
          <w:sz w:val="28"/>
        </w:rPr>
        <w:t>5. 个人体会</w:t>
      </w:r>
    </w:p>
    <w:p>
      <w:r>
        <w:br w:type="page"/>
      </w:r>
    </w:p>
    <w:p>
      <w:pPr>
        <w:pStyle w:val="Heading1"/>
      </w:pPr>
      <w:r>
        <w:rPr>
          <w:rFonts w:ascii="SimSun" w:hAnsi="SimSun" w:eastAsia="SimSun"/>
        </w:rPr>
        <w:t>1. 实验要求</w:t>
      </w:r>
    </w:p>
    <w:p>
      <w:pPr>
        <w:pStyle w:val="Heading2"/>
      </w:pPr>
      <w:r>
        <w:rPr>
          <w:rFonts w:ascii="SimSun" w:hAnsi="SimSun" w:eastAsia="SimSun"/>
        </w:rPr>
        <w:t>1.1 实验目的</w:t>
      </w:r>
    </w:p>
    <w:p>
      <w:pPr>
        <w:ind w:firstLine="420"/>
      </w:pPr>
      <w:r>
        <w:rPr>
          <w:rFonts w:ascii="SimSun" w:hAnsi="SimSun" w:eastAsia="SimSun"/>
          <w:sz w:val="24"/>
        </w:rPr>
        <w:t>本实验旨在深入理解集成学习中 AdaBoost 算法的原理与实现。具体要求为：分别以对数几率回归（Logistic Regression）和决策树桩（Decision Stump）作为基分类器，从零实现 AdaBoost 算法，不允许调用任何已封装好的机器学习模型库。通过在不同基分类器数量（1、5、10、100）下进行 10 折交叉验证，对比分析基分类器类型和数量对集成模型性能的影响。</w:t>
      </w:r>
    </w:p>
    <w:p>
      <w:pPr>
        <w:pStyle w:val="Heading2"/>
      </w:pPr>
      <w:r>
        <w:rPr>
          <w:rFonts w:ascii="SimSun" w:hAnsi="SimSun" w:eastAsia="SimSun"/>
        </w:rPr>
        <w:t>1.2 输入输出格式</w:t>
      </w:r>
    </w:p>
    <w:p>
      <w:pPr>
        <w:ind w:firstLine="420"/>
      </w:pPr>
      <w:r>
        <w:rPr>
          <w:rFonts w:ascii="SimSun" w:hAnsi="SimSun" w:eastAsia="SimSun"/>
          <w:sz w:val="24"/>
        </w:rPr>
        <w:t>程序读取 data.csv（特征矩阵）和 targets.csv（标签）两个文件，输出预测结果至 experiments/baseX_foldY.csv。其中 X 为基分类器数量（1/5/10/100），Y 为测试折编号（1~10）。每个预测文件包含两列：第一列为样本序号（从 1 开始），第二列为预测标记（0 或 1）。程序入口 main.py 支持命令行调用：python main.py &lt;data.csv&gt; &lt;targets.csv&gt; &lt;0|1&gt;，其中 0 表示对数几率回归，1 表示决策树桩。</w:t>
      </w:r>
    </w:p>
    <w:p>
      <w:pPr>
        <w:pStyle w:val="Heading1"/>
      </w:pPr>
      <w:r>
        <w:rPr>
          <w:rFonts w:ascii="SimSun" w:hAnsi="SimSun" w:eastAsia="SimSun"/>
        </w:rPr>
        <w:t>2. 算法设计与实现</w:t>
      </w:r>
    </w:p>
    <w:p>
      <w:pPr>
        <w:pStyle w:val="Heading2"/>
      </w:pPr>
      <w:r>
        <w:rPr>
          <w:rFonts w:ascii="SimSun" w:hAnsi="SimSun" w:eastAsia="SimSun"/>
        </w:rPr>
        <w:t>2.1 加权对数几率回归</w:t>
      </w:r>
    </w:p>
    <w:p>
      <w:pPr>
        <w:ind w:firstLine="420"/>
      </w:pPr>
      <w:r>
        <w:rPr>
          <w:rFonts w:ascii="SimSun" w:hAnsi="SimSun" w:eastAsia="SimSun"/>
          <w:sz w:val="24"/>
        </w:rPr>
        <w:t>对数几率回归是一种线性分类模型，通过 sigmoid 函数 sigma(z) = 1/(1+e^{-z}) 将线性组合映射到 (0,1) 区间。为适配 AdaBoost 的样本权重机制，将标准交叉熵损失扩展为加权形式：L = -sum_i w_i [y_i log p_i + (1-y_i) log(1-p_i)]，其中 w_i 为归一化后的样本权重。在实现中，将偏置项并入权重矩阵（X 左侧拼接一列全 1），梯度下降的更新公式中除以样本数 m 以稳定训练。特征预先进行 z-score 标准化（均值与标准差在训练集上计算并应用于测试集，避免信息泄露）。主要超参数：学习率 0.01，最大迭代 1000 轮，不使用 L2 正则化。</w:t>
      </w:r>
    </w:p>
    <w:p>
      <w:pPr>
        <w:pStyle w:val="Heading2"/>
      </w:pPr>
      <w:r>
        <w:rPr>
          <w:rFonts w:ascii="SimSun" w:hAnsi="SimSun" w:eastAsia="SimSun"/>
        </w:rPr>
        <w:t>2.2 决策树桩</w:t>
      </w:r>
    </w:p>
    <w:p>
      <w:pPr>
        <w:ind w:firstLine="420"/>
      </w:pPr>
      <w:r>
        <w:rPr>
          <w:rFonts w:ascii="SimSun" w:hAnsi="SimSun" w:eastAsia="SimSun"/>
          <w:sz w:val="24"/>
        </w:rPr>
        <w:t>决策树桩是深度为 1 的决策树，仅使用单个特征进行一次划分。训练时对每个特征，按特征值 argsort 排序后遍历所有相邻样本对的中点作为候选阈值。对于每个阈值，同时评估两种极性（左侧 +1 右侧 -1，以及左侧 -1 右侧 +1），选择加权分类误差最小的（特征、阈值、极性）组合。该实现遍历了所有可能的信息增益分割点，确保找到全局最优的决策树桩。</w:t>
      </w:r>
    </w:p>
    <w:p>
      <w:pPr>
        <w:pStyle w:val="Heading2"/>
      </w:pPr>
      <w:r>
        <w:rPr>
          <w:rFonts w:ascii="SimSun" w:hAnsi="SimSun" w:eastAsia="SimSun"/>
        </w:rPr>
        <w:t>2.3 AdaBoost 算法</w:t>
      </w:r>
    </w:p>
    <w:p>
      <w:pPr>
        <w:ind w:firstLine="420"/>
      </w:pPr>
      <w:r>
        <w:rPr>
          <w:rFonts w:ascii="SimSun" w:hAnsi="SimSun" w:eastAsia="SimSun"/>
          <w:sz w:val="24"/>
        </w:rPr>
        <w:t>AdaBoost（Adaptive Boosting）通过迭代训练弱分类器并自适应调整样本权重，将多个弱分类器组合为强分类器。算法核心步骤如下：</w:t>
      </w:r>
    </w:p>
    <w:p>
      <w:pPr>
        <w:ind w:firstLine="420"/>
      </w:pPr>
      <w:r>
        <w:rPr>
          <w:rFonts w:ascii="SimSun" w:hAnsi="SimSun" w:eastAsia="SimSun"/>
          <w:sz w:val="24"/>
        </w:rPr>
        <w:t>(1) 初始化所有样本权重为 1/N。</w:t>
      </w:r>
    </w:p>
    <w:p>
      <w:pPr>
        <w:ind w:firstLine="420"/>
      </w:pPr>
      <w:r>
        <w:rPr>
          <w:rFonts w:ascii="SimSun" w:hAnsi="SimSun" w:eastAsia="SimSun"/>
          <w:sz w:val="24"/>
        </w:rPr>
        <w:t>(2) 每轮迭代在加权数据上训练基分类器 h_t，计算加权误差 epsilon_t = sum_i w_i * I[h_t(x_i) != y_i]。</w:t>
      </w:r>
    </w:p>
    <w:p>
      <w:pPr>
        <w:ind w:firstLine="420"/>
      </w:pPr>
      <w:r>
        <w:rPr>
          <w:rFonts w:ascii="SimSun" w:hAnsi="SimSun" w:eastAsia="SimSun"/>
          <w:sz w:val="24"/>
        </w:rPr>
        <w:t>(3) 若 epsilon_t &gt;= 0.5（差于随机猜测）或 epsilon_t = 0（完美分类），终止迭代。这一"止损"机制确保算法在无法继续提升时及时退出：若直接 continue 而不更新权重，因基分类器训练是确定性的（相同权重、相同数据得到相同结果），后续迭代将陷入无效的重复循环。</w:t>
      </w:r>
    </w:p>
    <w:p>
      <w:pPr>
        <w:ind w:firstLine="420"/>
      </w:pPr>
      <w:r>
        <w:rPr>
          <w:rFonts w:ascii="SimSun" w:hAnsi="SimSun" w:eastAsia="SimSun"/>
          <w:sz w:val="24"/>
        </w:rPr>
        <w:t>(4) 计算分类器权重 alpha_t = 0.5 * ln((1-epsilon_t)/epsilon_t)。</w:t>
      </w:r>
    </w:p>
    <w:p>
      <w:pPr>
        <w:ind w:firstLine="420"/>
      </w:pPr>
      <w:r>
        <w:rPr>
          <w:rFonts w:ascii="SimSun" w:hAnsi="SimSun" w:eastAsia="SimSun"/>
          <w:sz w:val="24"/>
        </w:rPr>
        <w:t>(5) 按 w_i &lt;- w_i * exp(-alpha_t * y_i * h_t(x_i)) 更新样本权重并重新归一化。</w:t>
      </w:r>
    </w:p>
    <w:p>
      <w:pPr>
        <w:ind w:firstLine="420"/>
      </w:pPr>
      <w:r>
        <w:rPr>
          <w:rFonts w:ascii="SimSun" w:hAnsi="SimSun" w:eastAsia="SimSun"/>
          <w:sz w:val="24"/>
        </w:rPr>
        <w:t>(6) 最终预测为各基分类器加权投票的符号：H(x) = sign(sum_t alpha_t * h_t(x))。</w:t>
      </w:r>
    </w:p>
    <w:p>
      <w:pPr>
        <w:pStyle w:val="Heading2"/>
      </w:pPr>
      <w:r>
        <w:rPr>
          <w:rFonts w:ascii="SimSun" w:hAnsi="SimSun" w:eastAsia="SimSun"/>
        </w:rPr>
        <w:t>2.4 交叉验证设计</w:t>
      </w:r>
    </w:p>
    <w:p>
      <w:pPr>
        <w:ind w:firstLine="420"/>
      </w:pPr>
      <w:r>
        <w:rPr>
          <w:rFonts w:ascii="SimSun" w:hAnsi="SimSun" w:eastAsia="SimSun"/>
          <w:sz w:val="24"/>
        </w:rPr>
        <w:t>采用 10 折交叉验证评估模型性能。使用固定随机种子（seed=42）将数据集随机打乱后均匀划分为 10 折（每折约 368 个样本），依次以其中 1 折为测试集、剩余 9 折（约 3312 个样本）为训练集。所有实验使用相同的折划分以保证结果可复现。特征标准化在每折的训练集上独立计算均值和标准差并应用于测试集，避免测试集信息泄露。</w:t>
      </w:r>
    </w:p>
    <w:p>
      <w:pPr>
        <w:pStyle w:val="Heading1"/>
      </w:pPr>
      <w:r>
        <w:rPr>
          <w:rFonts w:ascii="SimSun" w:hAnsi="SimSun" w:eastAsia="SimSun"/>
        </w:rPr>
        <w:t>3. 实验环境与平台</w:t>
      </w:r>
    </w:p>
    <w:p>
      <w:pPr>
        <w:spacing w:before="120"/>
        <w:jc w:val="center"/>
      </w:pPr>
      <w:r>
        <w:rPr>
          <w:rFonts w:ascii="SimSun" w:hAnsi="SimSun" w:eastAsia="SimSun"/>
          <w:b/>
          <w:sz w:val="20"/>
        </w:rPr>
        <w:t>表 1  实验环境配置</w:t>
      </w:r>
    </w:p>
    <w:tbl>
      <w:tblPr>
        <w:tblW w:type="auto" w:w="0"/>
        <w:jc w:val="center"/>
        <w:tblLook w:firstColumn="1" w:firstRow="1" w:lastColumn="0" w:lastRow="0" w:noHBand="0" w:noVBand="1" w:val="04A0"/>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Pr>
      <w:tblGrid>
        <w:gridCol w:w="4317"/>
        <w:gridCol w:w="4317"/>
      </w:tblGrid>
      <w:tr>
        <w:tc>
          <w:tcPr>
            <w:tcW w:type="dxa" w:w="4317"/>
            <w:tcBorders>
              <w:bottom w:val="single" w:sz="6" w:space="0" w:color="000000"/>
            </w:tcBorders>
          </w:tcPr>
          <w:p>
            <w:pPr>
              <w:jc w:val="center"/>
            </w:pPr>
            <w:r/>
            <w:r>
              <w:rPr>
                <w:rFonts w:ascii="SimSun" w:hAnsi="SimSun" w:eastAsia="SimSun"/>
                <w:b/>
                <w:sz w:val="20"/>
              </w:rPr>
              <w:t>项目</w:t>
            </w:r>
          </w:p>
        </w:tc>
        <w:tc>
          <w:tcPr>
            <w:tcW w:type="dxa" w:w="4317"/>
            <w:tcBorders>
              <w:bottom w:val="single" w:sz="6" w:space="0" w:color="000000"/>
            </w:tcBorders>
          </w:tcPr>
          <w:p>
            <w:pPr>
              <w:jc w:val="center"/>
            </w:pPr>
            <w:r/>
            <w:r>
              <w:rPr>
                <w:rFonts w:ascii="SimSun" w:hAnsi="SimSun" w:eastAsia="SimSun"/>
                <w:b/>
                <w:sz w:val="20"/>
              </w:rPr>
              <w:t>配置</w:t>
            </w:r>
          </w:p>
        </w:tc>
      </w:tr>
      <w:tr>
        <w:tc>
          <w:tcPr>
            <w:tcW w:type="dxa" w:w="4317"/>
          </w:tcPr>
          <w:p>
            <w:pPr>
              <w:jc w:val="center"/>
            </w:pPr>
            <w:r/>
            <w:r>
              <w:rPr>
                <w:rFonts w:ascii="SimSun" w:hAnsi="SimSun" w:eastAsia="SimSun"/>
                <w:sz w:val="20"/>
              </w:rPr>
              <w:t>操作系统</w:t>
            </w:r>
          </w:p>
        </w:tc>
        <w:tc>
          <w:tcPr>
            <w:tcW w:type="dxa" w:w="4317"/>
          </w:tcPr>
          <w:p>
            <w:pPr>
              <w:jc w:val="center"/>
            </w:pPr>
            <w:r/>
            <w:r>
              <w:rPr>
                <w:rFonts w:ascii="SimSun" w:hAnsi="SimSun" w:eastAsia="SimSun"/>
                <w:sz w:val="20"/>
              </w:rPr>
              <w:t>Windows 11</w:t>
            </w:r>
          </w:p>
        </w:tc>
      </w:tr>
      <w:tr>
        <w:tc>
          <w:tcPr>
            <w:tcW w:type="dxa" w:w="4317"/>
          </w:tcPr>
          <w:p>
            <w:pPr>
              <w:jc w:val="center"/>
            </w:pPr>
            <w:r/>
            <w:r>
              <w:rPr>
                <w:rFonts w:ascii="SimSun" w:hAnsi="SimSun" w:eastAsia="SimSun"/>
                <w:sz w:val="20"/>
              </w:rPr>
              <w:t>编程语言</w:t>
            </w:r>
          </w:p>
        </w:tc>
        <w:tc>
          <w:tcPr>
            <w:tcW w:type="dxa" w:w="4317"/>
          </w:tcPr>
          <w:p>
            <w:pPr>
              <w:jc w:val="center"/>
            </w:pPr>
            <w:r/>
            <w:r>
              <w:rPr>
                <w:rFonts w:ascii="SimSun" w:hAnsi="SimSun" w:eastAsia="SimSun"/>
                <w:sz w:val="20"/>
              </w:rPr>
              <w:t>Python 3.10</w:t>
            </w:r>
          </w:p>
        </w:tc>
      </w:tr>
      <w:tr>
        <w:tc>
          <w:tcPr>
            <w:tcW w:type="dxa" w:w="4317"/>
          </w:tcPr>
          <w:p>
            <w:pPr>
              <w:jc w:val="center"/>
            </w:pPr>
            <w:r/>
            <w:r>
              <w:rPr>
                <w:rFonts w:ascii="SimSun" w:hAnsi="SimSun" w:eastAsia="SimSun"/>
                <w:sz w:val="20"/>
              </w:rPr>
              <w:t>依赖库</w:t>
            </w:r>
          </w:p>
        </w:tc>
        <w:tc>
          <w:tcPr>
            <w:tcW w:type="dxa" w:w="4317"/>
          </w:tcPr>
          <w:p>
            <w:pPr>
              <w:jc w:val="center"/>
            </w:pPr>
            <w:r/>
            <w:r>
              <w:rPr>
                <w:rFonts w:ascii="SimSun" w:hAnsi="SimSun" w:eastAsia="SimSun"/>
                <w:sz w:val="20"/>
              </w:rPr>
              <w:t>NumPy（仅用于矩阵运算）</w:t>
            </w:r>
          </w:p>
        </w:tc>
      </w:tr>
      <w:tr>
        <w:tc>
          <w:tcPr>
            <w:tcW w:type="dxa" w:w="4317"/>
          </w:tcPr>
          <w:p>
            <w:pPr>
              <w:jc w:val="center"/>
            </w:pPr>
            <w:r/>
            <w:r>
              <w:rPr>
                <w:rFonts w:ascii="SimSun" w:hAnsi="SimSun" w:eastAsia="SimSun"/>
                <w:sz w:val="20"/>
              </w:rPr>
              <w:t>开发环境</w:t>
            </w:r>
          </w:p>
        </w:tc>
        <w:tc>
          <w:tcPr>
            <w:tcW w:type="dxa" w:w="4317"/>
          </w:tcPr>
          <w:p>
            <w:pPr>
              <w:jc w:val="center"/>
            </w:pPr>
            <w:r/>
            <w:r>
              <w:rPr>
                <w:rFonts w:ascii="SimSun" w:hAnsi="SimSun" w:eastAsia="SimSun"/>
                <w:sz w:val="20"/>
              </w:rPr>
              <w:t>VS Code</w:t>
            </w:r>
          </w:p>
        </w:tc>
      </w:tr>
    </w:tbl>
    <w:p/>
    <w:p>
      <w:pPr>
        <w:spacing w:before="120"/>
        <w:jc w:val="center"/>
      </w:pPr>
      <w:r>
        <w:rPr>
          <w:rFonts w:ascii="SimSun" w:hAnsi="SimSun" w:eastAsia="SimSun"/>
          <w:b/>
          <w:sz w:val="20"/>
        </w:rPr>
        <w:t>表 2  数据集信息</w:t>
      </w:r>
    </w:p>
    <w:tbl>
      <w:tblPr>
        <w:tblW w:type="auto" w:w="0"/>
        <w:jc w:val="center"/>
        <w:tblLook w:firstColumn="1" w:firstRow="1" w:lastColumn="0" w:lastRow="0" w:noHBand="0" w:noVBand="1" w:val="04A0"/>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Pr>
      <w:tblGrid>
        <w:gridCol w:w="4317"/>
        <w:gridCol w:w="4317"/>
      </w:tblGrid>
      <w:tr>
        <w:tc>
          <w:tcPr>
            <w:tcW w:type="dxa" w:w="4317"/>
            <w:tcBorders>
              <w:bottom w:val="single" w:sz="6" w:space="0" w:color="000000"/>
            </w:tcBorders>
          </w:tcPr>
          <w:p>
            <w:pPr>
              <w:jc w:val="center"/>
            </w:pPr>
            <w:r/>
            <w:r>
              <w:rPr>
                <w:rFonts w:ascii="SimSun" w:hAnsi="SimSun" w:eastAsia="SimSun"/>
                <w:b/>
                <w:sz w:val="20"/>
              </w:rPr>
              <w:t>属性</w:t>
            </w:r>
          </w:p>
        </w:tc>
        <w:tc>
          <w:tcPr>
            <w:tcW w:type="dxa" w:w="4317"/>
            <w:tcBorders>
              <w:bottom w:val="single" w:sz="6" w:space="0" w:color="000000"/>
            </w:tcBorders>
          </w:tcPr>
          <w:p>
            <w:pPr>
              <w:jc w:val="center"/>
            </w:pPr>
            <w:r/>
            <w:r>
              <w:rPr>
                <w:rFonts w:ascii="SimSun" w:hAnsi="SimSun" w:eastAsia="SimSun"/>
                <w:b/>
                <w:sz w:val="20"/>
              </w:rPr>
              <w:t>值</w:t>
            </w:r>
          </w:p>
        </w:tc>
      </w:tr>
      <w:tr>
        <w:tc>
          <w:tcPr>
            <w:tcW w:type="dxa" w:w="4317"/>
          </w:tcPr>
          <w:p>
            <w:pPr>
              <w:jc w:val="center"/>
            </w:pPr>
            <w:r/>
            <w:r>
              <w:rPr>
                <w:rFonts w:ascii="SimSun" w:hAnsi="SimSun" w:eastAsia="SimSun"/>
                <w:sz w:val="20"/>
              </w:rPr>
              <w:t>样本总数</w:t>
            </w:r>
          </w:p>
        </w:tc>
        <w:tc>
          <w:tcPr>
            <w:tcW w:type="dxa" w:w="4317"/>
          </w:tcPr>
          <w:p>
            <w:pPr>
              <w:jc w:val="center"/>
            </w:pPr>
            <w:r/>
            <w:r>
              <w:rPr>
                <w:rFonts w:ascii="SimSun" w:hAnsi="SimSun" w:eastAsia="SimSun"/>
                <w:sz w:val="20"/>
              </w:rPr>
              <w:t>3680</w:t>
            </w:r>
          </w:p>
        </w:tc>
      </w:tr>
      <w:tr>
        <w:tc>
          <w:tcPr>
            <w:tcW w:type="dxa" w:w="4317"/>
          </w:tcPr>
          <w:p>
            <w:pPr>
              <w:jc w:val="center"/>
            </w:pPr>
            <w:r/>
            <w:r>
              <w:rPr>
                <w:rFonts w:ascii="SimSun" w:hAnsi="SimSun" w:eastAsia="SimSun"/>
                <w:sz w:val="20"/>
              </w:rPr>
              <w:t>特征维度</w:t>
            </w:r>
          </w:p>
        </w:tc>
        <w:tc>
          <w:tcPr>
            <w:tcW w:type="dxa" w:w="4317"/>
          </w:tcPr>
          <w:p>
            <w:pPr>
              <w:jc w:val="center"/>
            </w:pPr>
            <w:r/>
            <w:r>
              <w:rPr>
                <w:rFonts w:ascii="SimSun" w:hAnsi="SimSun" w:eastAsia="SimSun"/>
                <w:sz w:val="20"/>
              </w:rPr>
              <w:t>57</w:t>
            </w:r>
          </w:p>
        </w:tc>
      </w:tr>
      <w:tr>
        <w:tc>
          <w:tcPr>
            <w:tcW w:type="dxa" w:w="4317"/>
          </w:tcPr>
          <w:p>
            <w:pPr>
              <w:jc w:val="center"/>
            </w:pPr>
            <w:r/>
            <w:r>
              <w:rPr>
                <w:rFonts w:ascii="SimSun" w:hAnsi="SimSun" w:eastAsia="SimSun"/>
                <w:sz w:val="20"/>
              </w:rPr>
              <w:t>标签类型</w:t>
            </w:r>
          </w:p>
        </w:tc>
        <w:tc>
          <w:tcPr>
            <w:tcW w:type="dxa" w:w="4317"/>
          </w:tcPr>
          <w:p>
            <w:pPr>
              <w:jc w:val="center"/>
            </w:pPr>
            <w:r/>
            <w:r>
              <w:rPr>
                <w:rFonts w:ascii="SimSun" w:hAnsi="SimSun" w:eastAsia="SimSun"/>
                <w:sz w:val="20"/>
              </w:rPr>
              <w:t>二分类（0/1）</w:t>
            </w:r>
          </w:p>
        </w:tc>
      </w:tr>
      <w:tr>
        <w:tc>
          <w:tcPr>
            <w:tcW w:type="dxa" w:w="4317"/>
          </w:tcPr>
          <w:p>
            <w:pPr>
              <w:jc w:val="center"/>
            </w:pPr>
            <w:r/>
            <w:r>
              <w:rPr>
                <w:rFonts w:ascii="SimSun" w:hAnsi="SimSun" w:eastAsia="SimSun"/>
                <w:sz w:val="20"/>
              </w:rPr>
              <w:t>类别分布</w:t>
            </w:r>
          </w:p>
        </w:tc>
        <w:tc>
          <w:tcPr>
            <w:tcW w:type="dxa" w:w="4317"/>
          </w:tcPr>
          <w:p>
            <w:pPr>
              <w:jc w:val="center"/>
            </w:pPr>
            <w:r/>
            <w:r>
              <w:rPr>
                <w:rFonts w:ascii="SimSun" w:hAnsi="SimSun" w:eastAsia="SimSun"/>
                <w:sz w:val="20"/>
              </w:rPr>
              <w:t>类别 0: 59.8%, 类别 1: 40.2%</w:t>
            </w:r>
          </w:p>
        </w:tc>
      </w:tr>
      <w:tr>
        <w:tc>
          <w:tcPr>
            <w:tcW w:type="dxa" w:w="4317"/>
          </w:tcPr>
          <w:p>
            <w:pPr>
              <w:jc w:val="center"/>
            </w:pPr>
            <w:r/>
            <w:r>
              <w:rPr>
                <w:rFonts w:ascii="SimSun" w:hAnsi="SimSun" w:eastAsia="SimSun"/>
                <w:sz w:val="20"/>
              </w:rPr>
              <w:t>评估方式</w:t>
            </w:r>
          </w:p>
        </w:tc>
        <w:tc>
          <w:tcPr>
            <w:tcW w:type="dxa" w:w="4317"/>
          </w:tcPr>
          <w:p>
            <w:pPr>
              <w:jc w:val="center"/>
            </w:pPr>
            <w:r/>
            <w:r>
              <w:rPr>
                <w:rFonts w:ascii="SimSun" w:hAnsi="SimSun" w:eastAsia="SimSun"/>
                <w:sz w:val="20"/>
              </w:rPr>
              <w:t>10 折交叉验证</w:t>
            </w:r>
          </w:p>
        </w:tc>
      </w:tr>
    </w:tbl>
    <w:p/>
    <w:p>
      <w:pPr>
        <w:ind w:firstLine="420"/>
      </w:pPr>
      <w:r>
        <w:rPr>
          <w:rFonts w:ascii="SimSun" w:hAnsi="SimSun" w:eastAsia="SimSun"/>
          <w:sz w:val="24"/>
        </w:rPr>
        <w:t>说明：本实验仅使用 NumPy 库进行矩阵运算，所有机器学习模型（对数几率回归、决策树桩、AdaBoost）均从零实现，未调用 scikit-learn 等任何机器学习库。</w:t>
      </w:r>
    </w:p>
    <w:p>
      <w:pPr>
        <w:pStyle w:val="Heading1"/>
      </w:pPr>
      <w:r>
        <w:rPr>
          <w:rFonts w:ascii="SimSun" w:hAnsi="SimSun" w:eastAsia="SimSun"/>
        </w:rPr>
        <w:t>4. 结果与分析</w:t>
      </w:r>
    </w:p>
    <w:p>
      <w:pPr>
        <w:pStyle w:val="Heading2"/>
      </w:pPr>
      <w:r>
        <w:rPr>
          <w:rFonts w:ascii="SimSun" w:hAnsi="SimSun" w:eastAsia="SimSun"/>
        </w:rPr>
        <w:t>4.1 总体结果</w:t>
      </w:r>
    </w:p>
    <w:p>
      <w:pPr>
        <w:ind w:firstLine="420"/>
      </w:pPr>
      <w:r>
        <w:rPr>
          <w:rFonts w:ascii="SimSun" w:hAnsi="SimSun" w:eastAsia="SimSun"/>
          <w:sz w:val="24"/>
        </w:rPr>
        <w:t>对两种基分类器在 4 种基分类器数量（T = 1, 5, 10, 100）下分别进行 10 折交叉验证，实验结果如表 3 所示。</w:t>
      </w:r>
    </w:p>
    <w:p>
      <w:pPr>
        <w:spacing w:before="120"/>
        <w:jc w:val="center"/>
      </w:pPr>
      <w:r>
        <w:rPr>
          <w:rFonts w:ascii="SimSun" w:hAnsi="SimSun" w:eastAsia="SimSun"/>
          <w:b/>
          <w:sz w:val="20"/>
        </w:rPr>
        <w:t>表 3  不同基分类器数量下的 10 折交叉验证准确率</w:t>
      </w:r>
    </w:p>
    <w:tbl>
      <w:tblPr>
        <w:tblW w:type="auto" w:w="0"/>
        <w:jc w:val="center"/>
        <w:tblLook w:firstColumn="1" w:firstRow="1" w:lastColumn="0" w:lastRow="0" w:noHBand="0" w:noVBand="1" w:val="04A0"/>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Pr>
      <w:tblGrid>
        <w:gridCol w:w="2878"/>
        <w:gridCol w:w="2878"/>
        <w:gridCol w:w="2878"/>
      </w:tblGrid>
      <w:tr>
        <w:tc>
          <w:tcPr>
            <w:tcW w:type="dxa" w:w="2878"/>
            <w:tcBorders>
              <w:bottom w:val="single" w:sz="6" w:space="0" w:color="000000"/>
            </w:tcBorders>
          </w:tcPr>
          <w:p>
            <w:pPr>
              <w:jc w:val="center"/>
            </w:pPr>
            <w:r/>
            <w:r>
              <w:rPr>
                <w:rFonts w:ascii="SimSun" w:hAnsi="SimSun" w:eastAsia="SimSun"/>
                <w:b/>
                <w:sz w:val="20"/>
              </w:rPr>
              <w:t>基分类器数量 T</w:t>
            </w:r>
          </w:p>
        </w:tc>
        <w:tc>
          <w:tcPr>
            <w:tcW w:type="dxa" w:w="2878"/>
            <w:tcBorders>
              <w:bottom w:val="single" w:sz="6" w:space="0" w:color="000000"/>
            </w:tcBorders>
          </w:tcPr>
          <w:p>
            <w:pPr>
              <w:jc w:val="center"/>
            </w:pPr>
            <w:r/>
            <w:r>
              <w:rPr>
                <w:rFonts w:ascii="SimSun" w:hAnsi="SimSun" w:eastAsia="SimSun"/>
                <w:b/>
                <w:sz w:val="20"/>
              </w:rPr>
              <w:t>对数几率回归</w:t>
            </w:r>
          </w:p>
        </w:tc>
        <w:tc>
          <w:tcPr>
            <w:tcW w:type="dxa" w:w="2878"/>
            <w:tcBorders>
              <w:bottom w:val="single" w:sz="6" w:space="0" w:color="000000"/>
            </w:tcBorders>
          </w:tcPr>
          <w:p>
            <w:pPr>
              <w:jc w:val="center"/>
            </w:pPr>
            <w:r/>
            <w:r>
              <w:rPr>
                <w:rFonts w:ascii="SimSun" w:hAnsi="SimSun" w:eastAsia="SimSun"/>
                <w:b/>
                <w:sz w:val="20"/>
              </w:rPr>
              <w:t>决策树桩</w:t>
            </w:r>
          </w:p>
        </w:tc>
      </w:tr>
      <w:tr>
        <w:tc>
          <w:tcPr>
            <w:tcW w:type="dxa" w:w="2878"/>
          </w:tcPr>
          <w:p>
            <w:pPr>
              <w:jc w:val="center"/>
            </w:pPr>
            <w:r/>
            <w:r>
              <w:rPr>
                <w:rFonts w:ascii="SimSun" w:hAnsi="SimSun" w:eastAsia="SimSun"/>
                <w:sz w:val="20"/>
              </w:rPr>
              <w:t>1</w:t>
            </w:r>
          </w:p>
        </w:tc>
        <w:tc>
          <w:tcPr>
            <w:tcW w:type="dxa" w:w="2878"/>
          </w:tcPr>
          <w:p>
            <w:pPr>
              <w:jc w:val="center"/>
            </w:pPr>
            <w:r/>
            <w:r>
              <w:rPr>
                <w:rFonts w:ascii="SimSun" w:hAnsi="SimSun" w:eastAsia="SimSun"/>
                <w:sz w:val="20"/>
              </w:rPr>
              <w:t>0.8984</w:t>
            </w:r>
          </w:p>
        </w:tc>
        <w:tc>
          <w:tcPr>
            <w:tcW w:type="dxa" w:w="2878"/>
          </w:tcPr>
          <w:p>
            <w:pPr>
              <w:jc w:val="center"/>
            </w:pPr>
            <w:r/>
            <w:r>
              <w:rPr>
                <w:rFonts w:ascii="SimSun" w:hAnsi="SimSun" w:eastAsia="SimSun"/>
                <w:sz w:val="20"/>
              </w:rPr>
              <w:t>0.7913</w:t>
            </w:r>
          </w:p>
        </w:tc>
      </w:tr>
      <w:tr>
        <w:tc>
          <w:tcPr>
            <w:tcW w:type="dxa" w:w="2878"/>
          </w:tcPr>
          <w:p>
            <w:pPr>
              <w:jc w:val="center"/>
            </w:pPr>
            <w:r/>
            <w:r>
              <w:rPr>
                <w:rFonts w:ascii="SimSun" w:hAnsi="SimSun" w:eastAsia="SimSun"/>
                <w:sz w:val="20"/>
              </w:rPr>
              <w:t>5</w:t>
            </w:r>
          </w:p>
        </w:tc>
        <w:tc>
          <w:tcPr>
            <w:tcW w:type="dxa" w:w="2878"/>
          </w:tcPr>
          <w:p>
            <w:pPr>
              <w:jc w:val="center"/>
            </w:pPr>
            <w:r/>
            <w:r>
              <w:rPr>
                <w:rFonts w:ascii="SimSun" w:hAnsi="SimSun" w:eastAsia="SimSun"/>
                <w:sz w:val="20"/>
              </w:rPr>
              <w:t>0.9003</w:t>
            </w:r>
          </w:p>
        </w:tc>
        <w:tc>
          <w:tcPr>
            <w:tcW w:type="dxa" w:w="2878"/>
          </w:tcPr>
          <w:p>
            <w:pPr>
              <w:jc w:val="center"/>
            </w:pPr>
            <w:r/>
            <w:r>
              <w:rPr>
                <w:rFonts w:ascii="SimSun" w:hAnsi="SimSun" w:eastAsia="SimSun"/>
                <w:sz w:val="20"/>
              </w:rPr>
              <w:t>0.8954</w:t>
            </w:r>
          </w:p>
        </w:tc>
      </w:tr>
      <w:tr>
        <w:tc>
          <w:tcPr>
            <w:tcW w:type="dxa" w:w="2878"/>
          </w:tcPr>
          <w:p>
            <w:pPr>
              <w:jc w:val="center"/>
            </w:pPr>
            <w:r/>
            <w:r>
              <w:rPr>
                <w:rFonts w:ascii="SimSun" w:hAnsi="SimSun" w:eastAsia="SimSun"/>
                <w:sz w:val="20"/>
              </w:rPr>
              <w:t>10</w:t>
            </w:r>
          </w:p>
        </w:tc>
        <w:tc>
          <w:tcPr>
            <w:tcW w:type="dxa" w:w="2878"/>
          </w:tcPr>
          <w:p>
            <w:pPr>
              <w:jc w:val="center"/>
            </w:pPr>
            <w:r/>
            <w:r>
              <w:rPr>
                <w:rFonts w:ascii="SimSun" w:hAnsi="SimSun" w:eastAsia="SimSun"/>
                <w:sz w:val="20"/>
              </w:rPr>
              <w:t>0.9052</w:t>
            </w:r>
          </w:p>
        </w:tc>
        <w:tc>
          <w:tcPr>
            <w:tcW w:type="dxa" w:w="2878"/>
          </w:tcPr>
          <w:p>
            <w:pPr>
              <w:jc w:val="center"/>
            </w:pPr>
            <w:r/>
            <w:r>
              <w:rPr>
                <w:rFonts w:ascii="SimSun" w:hAnsi="SimSun" w:eastAsia="SimSun"/>
                <w:sz w:val="20"/>
              </w:rPr>
              <w:t>0.9062</w:t>
            </w:r>
          </w:p>
        </w:tc>
      </w:tr>
      <w:tr>
        <w:tc>
          <w:tcPr>
            <w:tcW w:type="dxa" w:w="2878"/>
          </w:tcPr>
          <w:p>
            <w:pPr>
              <w:jc w:val="center"/>
            </w:pPr>
            <w:r/>
            <w:r>
              <w:rPr>
                <w:rFonts w:ascii="SimSun" w:hAnsi="SimSun" w:eastAsia="SimSun"/>
                <w:sz w:val="20"/>
              </w:rPr>
              <w:t>100</w:t>
            </w:r>
          </w:p>
        </w:tc>
        <w:tc>
          <w:tcPr>
            <w:tcW w:type="dxa" w:w="2878"/>
          </w:tcPr>
          <w:p>
            <w:pPr>
              <w:jc w:val="center"/>
            </w:pPr>
            <w:r/>
            <w:r>
              <w:rPr>
                <w:rFonts w:ascii="SimSun" w:hAnsi="SimSun" w:eastAsia="SimSun"/>
                <w:sz w:val="20"/>
              </w:rPr>
              <w:t>0.9035</w:t>
            </w:r>
          </w:p>
        </w:tc>
        <w:tc>
          <w:tcPr>
            <w:tcW w:type="dxa" w:w="2878"/>
          </w:tcPr>
          <w:p>
            <w:pPr>
              <w:jc w:val="center"/>
            </w:pPr>
            <w:r/>
            <w:r>
              <w:rPr>
                <w:rFonts w:ascii="SimSun" w:hAnsi="SimSun" w:eastAsia="SimSun"/>
                <w:sz w:val="20"/>
              </w:rPr>
              <w:t>0.9432</w:t>
            </w:r>
          </w:p>
        </w:tc>
      </w:tr>
    </w:tbl>
    <w:p/>
    <w:p>
      <w:pPr>
        <w:ind w:firstLine="420"/>
      </w:pPr>
      <w:r>
        <w:rPr>
          <w:rFonts w:ascii="SimSun" w:hAnsi="SimSun" w:eastAsia="SimSun"/>
          <w:sz w:val="24"/>
        </w:rPr>
        <w:t>两种基分类器在 T=100 时的准确率分别为 90.35% 和 94.32%，均超过 80% 的评测要求。下面分别对两组实验结果进行分析。</w:t>
      </w:r>
    </w:p>
    <w:p>
      <w:pPr>
        <w:pStyle w:val="Heading2"/>
      </w:pPr>
      <w:r>
        <w:rPr>
          <w:rFonts w:ascii="SimSun" w:hAnsi="SimSun" w:eastAsia="SimSun"/>
        </w:rPr>
        <w:t>4.2 对数几率回归作为基分类器</w:t>
      </w:r>
    </w:p>
    <w:p>
      <w:pPr>
        <w:ind w:firstLine="420"/>
      </w:pPr>
      <w:r>
        <w:rPr>
          <w:rFonts w:ascii="SimSun" w:hAnsi="SimSun" w:eastAsia="SimSun"/>
          <w:sz w:val="24"/>
        </w:rPr>
        <w:t>以对数几率回归为基分类器时，仅使用 1 个基分类器即可达到 89.84% 的准确率，说明该数据集具有较强的线性可分性。随着基分类器数量从 1 增加到 10，准确率从 89.84% 小幅上升至 90.52%（+0.68%），但继续增加到 100 时准确率回落至 90.35%。</w:t>
      </w:r>
    </w:p>
    <w:p>
      <w:pPr>
        <w:ind w:firstLine="420"/>
      </w:pPr>
      <w:r>
        <w:rPr>
          <w:rFonts w:ascii="SimSun" w:hAnsi="SimSun" w:eastAsia="SimSun"/>
          <w:sz w:val="24"/>
        </w:rPr>
        <w:t>分析原因：对数几率回归本身是较强的线性分类器，第一个基分类器已经拟合了数据的主要线性结构。后续迭代中，被误分类的样本往往是线性不可分的"硬样本"，受限于线性决策边界，新的加权分类器难以有效纠正这些错误。AdaBoost 的核心优势在于组合大量弱分类器以降低偏差，而强分类器之间缺乏足够的差异性（diversity），导致集成增益有限，甚至可能因过拟合训练集的权重分布而轻微损害泛化性能。</w:t>
      </w:r>
    </w:p>
    <w:p>
      <w:pPr>
        <w:pStyle w:val="Heading2"/>
      </w:pPr>
      <w:r>
        <w:rPr>
          <w:rFonts w:ascii="SimSun" w:hAnsi="SimSun" w:eastAsia="SimSun"/>
        </w:rPr>
        <w:t>4.3 决策树桩作为基分类器</w:t>
      </w:r>
    </w:p>
    <w:p>
      <w:pPr>
        <w:ind w:firstLine="420"/>
      </w:pPr>
      <w:r>
        <w:rPr>
          <w:rFonts w:ascii="SimSun" w:hAnsi="SimSun" w:eastAsia="SimSun"/>
          <w:sz w:val="24"/>
        </w:rPr>
        <w:t>以决策树桩为基分类器的结果则完整展现了 AdaBoost 的核心优势。单个决策树桩仅有 79.13% 的准确率，属于典型的弱分类器，但随着基分类器数量的增加，性能呈现显著的持续提升趋势。</w:t>
      </w:r>
    </w:p>
    <w:p>
      <w:pPr>
        <w:spacing w:before="120"/>
        <w:jc w:val="center"/>
      </w:pPr>
      <w:r>
        <w:rPr>
          <w:rFonts w:ascii="SimSun" w:hAnsi="SimSun" w:eastAsia="SimSun"/>
          <w:b/>
          <w:sz w:val="20"/>
        </w:rPr>
        <w:t>表 4  决策树桩 AdaBoost 各阶段性能提升</w:t>
      </w:r>
    </w:p>
    <w:tbl>
      <w:tblPr>
        <w:tblW w:type="auto" w:w="0"/>
        <w:jc w:val="center"/>
        <w:tblLook w:firstColumn="1" w:firstRow="1" w:lastColumn="0" w:lastRow="0" w:noHBand="0" w:noVBand="1" w:val="04A0"/>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Pr>
      <w:tblGrid>
        <w:gridCol w:w="2878"/>
        <w:gridCol w:w="2878"/>
        <w:gridCol w:w="2878"/>
      </w:tblGrid>
      <w:tr>
        <w:tc>
          <w:tcPr>
            <w:tcW w:type="dxa" w:w="2878"/>
            <w:tcBorders>
              <w:bottom w:val="single" w:sz="6" w:space="0" w:color="000000"/>
            </w:tcBorders>
          </w:tcPr>
          <w:p>
            <w:pPr>
              <w:jc w:val="center"/>
            </w:pPr>
            <w:r/>
            <w:r>
              <w:rPr>
                <w:rFonts w:ascii="SimSun" w:hAnsi="SimSun" w:eastAsia="SimSun"/>
                <w:b/>
                <w:sz w:val="20"/>
              </w:rPr>
              <w:t>阶段</w:t>
            </w:r>
          </w:p>
        </w:tc>
        <w:tc>
          <w:tcPr>
            <w:tcW w:type="dxa" w:w="2878"/>
            <w:tcBorders>
              <w:bottom w:val="single" w:sz="6" w:space="0" w:color="000000"/>
            </w:tcBorders>
          </w:tcPr>
          <w:p>
            <w:pPr>
              <w:jc w:val="center"/>
            </w:pPr>
            <w:r/>
            <w:r>
              <w:rPr>
                <w:rFonts w:ascii="SimSun" w:hAnsi="SimSun" w:eastAsia="SimSun"/>
                <w:b/>
                <w:sz w:val="20"/>
              </w:rPr>
              <w:t>准确率变化</w:t>
            </w:r>
          </w:p>
        </w:tc>
        <w:tc>
          <w:tcPr>
            <w:tcW w:type="dxa" w:w="2878"/>
            <w:tcBorders>
              <w:bottom w:val="single" w:sz="6" w:space="0" w:color="000000"/>
            </w:tcBorders>
          </w:tcPr>
          <w:p>
            <w:pPr>
              <w:jc w:val="center"/>
            </w:pPr>
            <w:r/>
            <w:r>
              <w:rPr>
                <w:rFonts w:ascii="SimSun" w:hAnsi="SimSun" w:eastAsia="SimSun"/>
                <w:b/>
                <w:sz w:val="20"/>
              </w:rPr>
              <w:t>提升幅度</w:t>
            </w:r>
          </w:p>
        </w:tc>
      </w:tr>
      <w:tr>
        <w:tc>
          <w:tcPr>
            <w:tcW w:type="dxa" w:w="2878"/>
          </w:tcPr>
          <w:p>
            <w:pPr>
              <w:jc w:val="center"/>
            </w:pPr>
            <w:r/>
            <w:r>
              <w:rPr>
                <w:rFonts w:ascii="SimSun" w:hAnsi="SimSun" w:eastAsia="SimSun"/>
                <w:sz w:val="20"/>
              </w:rPr>
              <w:t>T=1 -&gt; T=5</w:t>
            </w:r>
          </w:p>
        </w:tc>
        <w:tc>
          <w:tcPr>
            <w:tcW w:type="dxa" w:w="2878"/>
          </w:tcPr>
          <w:p>
            <w:pPr>
              <w:jc w:val="center"/>
            </w:pPr>
            <w:r/>
            <w:r>
              <w:rPr>
                <w:rFonts w:ascii="SimSun" w:hAnsi="SimSun" w:eastAsia="SimSun"/>
                <w:sz w:val="20"/>
              </w:rPr>
              <w:t>79.13% -&gt; 89.54%</w:t>
            </w:r>
          </w:p>
        </w:tc>
        <w:tc>
          <w:tcPr>
            <w:tcW w:type="dxa" w:w="2878"/>
          </w:tcPr>
          <w:p>
            <w:pPr>
              <w:jc w:val="center"/>
            </w:pPr>
            <w:r/>
            <w:r>
              <w:rPr>
                <w:rFonts w:ascii="SimSun" w:hAnsi="SimSun" w:eastAsia="SimSun"/>
                <w:sz w:val="20"/>
              </w:rPr>
              <w:t>+10.41%</w:t>
            </w:r>
          </w:p>
        </w:tc>
      </w:tr>
      <w:tr>
        <w:tc>
          <w:tcPr>
            <w:tcW w:type="dxa" w:w="2878"/>
          </w:tcPr>
          <w:p>
            <w:pPr>
              <w:jc w:val="center"/>
            </w:pPr>
            <w:r/>
            <w:r>
              <w:rPr>
                <w:rFonts w:ascii="SimSun" w:hAnsi="SimSun" w:eastAsia="SimSun"/>
                <w:sz w:val="20"/>
              </w:rPr>
              <w:t>T=5 -&gt; T=10</w:t>
            </w:r>
          </w:p>
        </w:tc>
        <w:tc>
          <w:tcPr>
            <w:tcW w:type="dxa" w:w="2878"/>
          </w:tcPr>
          <w:p>
            <w:pPr>
              <w:jc w:val="center"/>
            </w:pPr>
            <w:r/>
            <w:r>
              <w:rPr>
                <w:rFonts w:ascii="SimSun" w:hAnsi="SimSun" w:eastAsia="SimSun"/>
                <w:sz w:val="20"/>
              </w:rPr>
              <w:t>89.54% -&gt; 90.62%</w:t>
            </w:r>
          </w:p>
        </w:tc>
        <w:tc>
          <w:tcPr>
            <w:tcW w:type="dxa" w:w="2878"/>
          </w:tcPr>
          <w:p>
            <w:pPr>
              <w:jc w:val="center"/>
            </w:pPr>
            <w:r/>
            <w:r>
              <w:rPr>
                <w:rFonts w:ascii="SimSun" w:hAnsi="SimSun" w:eastAsia="SimSun"/>
                <w:sz w:val="20"/>
              </w:rPr>
              <w:t>+1.08%</w:t>
            </w:r>
          </w:p>
        </w:tc>
      </w:tr>
      <w:tr>
        <w:tc>
          <w:tcPr>
            <w:tcW w:type="dxa" w:w="2878"/>
          </w:tcPr>
          <w:p>
            <w:pPr>
              <w:jc w:val="center"/>
            </w:pPr>
            <w:r/>
            <w:r>
              <w:rPr>
                <w:rFonts w:ascii="SimSun" w:hAnsi="SimSun" w:eastAsia="SimSun"/>
                <w:sz w:val="20"/>
              </w:rPr>
              <w:t>T=10 -&gt; T=100</w:t>
            </w:r>
          </w:p>
        </w:tc>
        <w:tc>
          <w:tcPr>
            <w:tcW w:type="dxa" w:w="2878"/>
          </w:tcPr>
          <w:p>
            <w:pPr>
              <w:jc w:val="center"/>
            </w:pPr>
            <w:r/>
            <w:r>
              <w:rPr>
                <w:rFonts w:ascii="SimSun" w:hAnsi="SimSun" w:eastAsia="SimSun"/>
                <w:sz w:val="20"/>
              </w:rPr>
              <w:t>90.62% -&gt; 94.32%</w:t>
            </w:r>
          </w:p>
        </w:tc>
        <w:tc>
          <w:tcPr>
            <w:tcW w:type="dxa" w:w="2878"/>
          </w:tcPr>
          <w:p>
            <w:pPr>
              <w:jc w:val="center"/>
            </w:pPr>
            <w:r/>
            <w:r>
              <w:rPr>
                <w:rFonts w:ascii="SimSun" w:hAnsi="SimSun" w:eastAsia="SimSun"/>
                <w:sz w:val="20"/>
              </w:rPr>
              <w:t>+3.70%</w:t>
            </w:r>
          </w:p>
        </w:tc>
      </w:tr>
      <w:tr>
        <w:tc>
          <w:tcPr>
            <w:tcW w:type="dxa" w:w="2878"/>
          </w:tcPr>
          <w:p>
            <w:pPr>
              <w:jc w:val="center"/>
            </w:pPr>
            <w:r/>
            <w:r>
              <w:rPr>
                <w:rFonts w:ascii="SimSun" w:hAnsi="SimSun" w:eastAsia="SimSun"/>
                <w:sz w:val="20"/>
              </w:rPr>
              <w:t>合计</w:t>
            </w:r>
          </w:p>
        </w:tc>
        <w:tc>
          <w:tcPr>
            <w:tcW w:type="dxa" w:w="2878"/>
          </w:tcPr>
          <w:p>
            <w:pPr>
              <w:jc w:val="center"/>
            </w:pPr>
            <w:r/>
            <w:r>
              <w:rPr>
                <w:rFonts w:ascii="SimSun" w:hAnsi="SimSun" w:eastAsia="SimSun"/>
                <w:sz w:val="20"/>
              </w:rPr>
              <w:t>79.13% -&gt; 94.32%</w:t>
            </w:r>
          </w:p>
        </w:tc>
        <w:tc>
          <w:tcPr>
            <w:tcW w:type="dxa" w:w="2878"/>
          </w:tcPr>
          <w:p>
            <w:pPr>
              <w:jc w:val="center"/>
            </w:pPr>
            <w:r/>
            <w:r>
              <w:rPr>
                <w:rFonts w:ascii="SimSun" w:hAnsi="SimSun" w:eastAsia="SimSun"/>
                <w:sz w:val="20"/>
              </w:rPr>
              <w:t>+15.19%</w:t>
            </w:r>
          </w:p>
        </w:tc>
      </w:tr>
    </w:tbl>
    <w:p/>
    <w:p>
      <w:pPr>
        <w:ind w:firstLine="420"/>
      </w:pPr>
      <w:r>
        <w:rPr>
          <w:rFonts w:ascii="SimSun" w:hAnsi="SimSun" w:eastAsia="SimSun"/>
          <w:sz w:val="24"/>
        </w:rPr>
        <w:t>从表 4 可以看出，初期（T=1 到 5）提升最为显著，增益达 10.41%；中后期边际收益逐渐递减，但 T=100 时仍达到了 94.32% 的最高准确率，超越了以对数几率回归为基分类器的最佳结果（90.35%）。</w:t>
      </w:r>
    </w:p>
    <w:p>
      <w:pPr>
        <w:ind w:firstLine="420"/>
      </w:pPr>
      <w:r>
        <w:rPr>
          <w:rFonts w:ascii="SimSun" w:hAnsi="SimSun" w:eastAsia="SimSun"/>
          <w:sz w:val="24"/>
        </w:rPr>
        <w:t>这一结果完美验证了 AdaBoost 的设计哲学：通过自适应调整样本权重，使后续分类器"关注"前序分类器出错的样本，将多个弱分类器（高偏差、低方差）逐级提升为强分类器。同时，决策树桩每次只选一个特征做一次划分，不同的桩可以选择不同的特征和分割点，因此 100 个桩的组合能够捕捉到单个线性模型无法表达的非线性决策边界，这正是 94.32% &gt; 90.35% 的本质原因。</w:t>
      </w:r>
    </w:p>
    <w:p>
      <w:pPr>
        <w:pStyle w:val="Heading2"/>
      </w:pPr>
      <w:r>
        <w:rPr>
          <w:rFonts w:ascii="SimSun" w:hAnsi="SimSun" w:eastAsia="SimSun"/>
        </w:rPr>
        <w:t>4.4 两种基分类器对比</w:t>
      </w:r>
    </w:p>
    <w:p>
      <w:pPr>
        <w:spacing w:before="120"/>
        <w:jc w:val="center"/>
      </w:pPr>
      <w:r>
        <w:rPr>
          <w:rFonts w:ascii="SimSun" w:hAnsi="SimSun" w:eastAsia="SimSun"/>
          <w:b/>
          <w:sz w:val="20"/>
        </w:rPr>
        <w:t>表 5  两种基分类器的综合对比（T=100）</w:t>
      </w:r>
    </w:p>
    <w:tbl>
      <w:tblPr>
        <w:tblW w:type="auto" w:w="0"/>
        <w:jc w:val="center"/>
        <w:tblLook w:firstColumn="1" w:firstRow="1" w:lastColumn="0" w:lastRow="0" w:noHBand="0" w:noVBand="1" w:val="04A0"/>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Pr>
      <w:tblGrid>
        <w:gridCol w:w="2878"/>
        <w:gridCol w:w="2878"/>
        <w:gridCol w:w="2878"/>
      </w:tblGrid>
      <w:tr>
        <w:tc>
          <w:tcPr>
            <w:tcW w:type="dxa" w:w="2878"/>
            <w:tcBorders>
              <w:bottom w:val="single" w:sz="6" w:space="0" w:color="000000"/>
            </w:tcBorders>
          </w:tcPr>
          <w:p>
            <w:pPr>
              <w:jc w:val="center"/>
            </w:pPr>
            <w:r/>
            <w:r>
              <w:rPr>
                <w:rFonts w:ascii="SimSun" w:hAnsi="SimSun" w:eastAsia="SimSun"/>
                <w:b/>
                <w:sz w:val="20"/>
              </w:rPr>
              <w:t>对比维度</w:t>
            </w:r>
          </w:p>
        </w:tc>
        <w:tc>
          <w:tcPr>
            <w:tcW w:type="dxa" w:w="2878"/>
            <w:tcBorders>
              <w:bottom w:val="single" w:sz="6" w:space="0" w:color="000000"/>
            </w:tcBorders>
          </w:tcPr>
          <w:p>
            <w:pPr>
              <w:jc w:val="center"/>
            </w:pPr>
            <w:r/>
            <w:r>
              <w:rPr>
                <w:rFonts w:ascii="SimSun" w:hAnsi="SimSun" w:eastAsia="SimSun"/>
                <w:b/>
                <w:sz w:val="20"/>
              </w:rPr>
              <w:t>对数几率回归</w:t>
            </w:r>
          </w:p>
        </w:tc>
        <w:tc>
          <w:tcPr>
            <w:tcW w:type="dxa" w:w="2878"/>
            <w:tcBorders>
              <w:bottom w:val="single" w:sz="6" w:space="0" w:color="000000"/>
            </w:tcBorders>
          </w:tcPr>
          <w:p>
            <w:pPr>
              <w:jc w:val="center"/>
            </w:pPr>
            <w:r/>
            <w:r>
              <w:rPr>
                <w:rFonts w:ascii="SimSun" w:hAnsi="SimSun" w:eastAsia="SimSun"/>
                <w:b/>
                <w:sz w:val="20"/>
              </w:rPr>
              <w:t>决策树桩</w:t>
            </w:r>
          </w:p>
        </w:tc>
      </w:tr>
      <w:tr>
        <w:tc>
          <w:tcPr>
            <w:tcW w:type="dxa" w:w="2878"/>
          </w:tcPr>
          <w:p>
            <w:pPr>
              <w:jc w:val="center"/>
            </w:pPr>
            <w:r/>
            <w:r>
              <w:rPr>
                <w:rFonts w:ascii="SimSun" w:hAnsi="SimSun" w:eastAsia="SimSun"/>
                <w:sz w:val="20"/>
              </w:rPr>
              <w:t>单分类器强度</w:t>
            </w:r>
          </w:p>
        </w:tc>
        <w:tc>
          <w:tcPr>
            <w:tcW w:type="dxa" w:w="2878"/>
          </w:tcPr>
          <w:p>
            <w:pPr>
              <w:jc w:val="center"/>
            </w:pPr>
            <w:r/>
            <w:r>
              <w:rPr>
                <w:rFonts w:ascii="SimSun" w:hAnsi="SimSun" w:eastAsia="SimSun"/>
                <w:sz w:val="20"/>
              </w:rPr>
              <w:t>强（89.84%）</w:t>
            </w:r>
          </w:p>
        </w:tc>
        <w:tc>
          <w:tcPr>
            <w:tcW w:type="dxa" w:w="2878"/>
          </w:tcPr>
          <w:p>
            <w:pPr>
              <w:jc w:val="center"/>
            </w:pPr>
            <w:r/>
            <w:r>
              <w:rPr>
                <w:rFonts w:ascii="SimSun" w:hAnsi="SimSun" w:eastAsia="SimSun"/>
                <w:sz w:val="20"/>
              </w:rPr>
              <w:t>弱（79.13%）</w:t>
            </w:r>
          </w:p>
        </w:tc>
      </w:tr>
      <w:tr>
        <w:tc>
          <w:tcPr>
            <w:tcW w:type="dxa" w:w="2878"/>
          </w:tcPr>
          <w:p>
            <w:pPr>
              <w:jc w:val="center"/>
            </w:pPr>
            <w:r/>
            <w:r>
              <w:rPr>
                <w:rFonts w:ascii="SimSun" w:hAnsi="SimSun" w:eastAsia="SimSun"/>
                <w:sz w:val="20"/>
              </w:rPr>
              <w:t>Boosting 提升空间</w:t>
            </w:r>
          </w:p>
        </w:tc>
        <w:tc>
          <w:tcPr>
            <w:tcW w:type="dxa" w:w="2878"/>
          </w:tcPr>
          <w:p>
            <w:pPr>
              <w:jc w:val="center"/>
            </w:pPr>
            <w:r/>
            <w:r>
              <w:rPr>
                <w:rFonts w:ascii="SimSun" w:hAnsi="SimSun" w:eastAsia="SimSun"/>
                <w:sz w:val="20"/>
              </w:rPr>
              <w:t>小（+0.51%）</w:t>
            </w:r>
          </w:p>
        </w:tc>
        <w:tc>
          <w:tcPr>
            <w:tcW w:type="dxa" w:w="2878"/>
          </w:tcPr>
          <w:p>
            <w:pPr>
              <w:jc w:val="center"/>
            </w:pPr>
            <w:r/>
            <w:r>
              <w:rPr>
                <w:rFonts w:ascii="SimSun" w:hAnsi="SimSun" w:eastAsia="SimSun"/>
                <w:sz w:val="20"/>
              </w:rPr>
              <w:t>大（+15.19%）</w:t>
            </w:r>
          </w:p>
        </w:tc>
      </w:tr>
      <w:tr>
        <w:tc>
          <w:tcPr>
            <w:tcW w:type="dxa" w:w="2878"/>
          </w:tcPr>
          <w:p>
            <w:pPr>
              <w:jc w:val="center"/>
            </w:pPr>
            <w:r/>
            <w:r>
              <w:rPr>
                <w:rFonts w:ascii="SimSun" w:hAnsi="SimSun" w:eastAsia="SimSun"/>
                <w:sz w:val="20"/>
              </w:rPr>
              <w:t>最终准确率</w:t>
            </w:r>
          </w:p>
        </w:tc>
        <w:tc>
          <w:tcPr>
            <w:tcW w:type="dxa" w:w="2878"/>
          </w:tcPr>
          <w:p>
            <w:pPr>
              <w:jc w:val="center"/>
            </w:pPr>
            <w:r/>
            <w:r>
              <w:rPr>
                <w:rFonts w:ascii="SimSun" w:hAnsi="SimSun" w:eastAsia="SimSun"/>
                <w:sz w:val="20"/>
              </w:rPr>
              <w:t>90.35%</w:t>
            </w:r>
          </w:p>
        </w:tc>
        <w:tc>
          <w:tcPr>
            <w:tcW w:type="dxa" w:w="2878"/>
          </w:tcPr>
          <w:p>
            <w:pPr>
              <w:jc w:val="center"/>
            </w:pPr>
            <w:r/>
            <w:r>
              <w:rPr>
                <w:rFonts w:ascii="SimSun" w:hAnsi="SimSun" w:eastAsia="SimSun"/>
                <w:sz w:val="20"/>
              </w:rPr>
              <w:t>94.32%</w:t>
            </w:r>
          </w:p>
        </w:tc>
      </w:tr>
      <w:tr>
        <w:tc>
          <w:tcPr>
            <w:tcW w:type="dxa" w:w="2878"/>
          </w:tcPr>
          <w:p>
            <w:pPr>
              <w:jc w:val="center"/>
            </w:pPr>
            <w:r/>
            <w:r>
              <w:rPr>
                <w:rFonts w:ascii="SimSun" w:hAnsi="SimSun" w:eastAsia="SimSun"/>
                <w:sz w:val="20"/>
              </w:rPr>
              <w:t>适合 AdaBoost</w:t>
            </w:r>
          </w:p>
        </w:tc>
        <w:tc>
          <w:tcPr>
            <w:tcW w:type="dxa" w:w="2878"/>
          </w:tcPr>
          <w:p>
            <w:pPr>
              <w:jc w:val="center"/>
            </w:pPr>
            <w:r/>
            <w:r>
              <w:rPr>
                <w:rFonts w:ascii="SimSun" w:hAnsi="SimSun" w:eastAsia="SimSun"/>
                <w:sz w:val="20"/>
              </w:rPr>
              <w:t>不适合</w:t>
            </w:r>
          </w:p>
        </w:tc>
        <w:tc>
          <w:tcPr>
            <w:tcW w:type="dxa" w:w="2878"/>
          </w:tcPr>
          <w:p>
            <w:pPr>
              <w:jc w:val="center"/>
            </w:pPr>
            <w:r/>
            <w:r>
              <w:rPr>
                <w:rFonts w:ascii="SimSun" w:hAnsi="SimSun" w:eastAsia="SimSun"/>
                <w:sz w:val="20"/>
              </w:rPr>
              <w:t>非常适合</w:t>
            </w:r>
          </w:p>
        </w:tc>
      </w:tr>
      <w:tr>
        <w:tc>
          <w:tcPr>
            <w:tcW w:type="dxa" w:w="2878"/>
          </w:tcPr>
          <w:p>
            <w:pPr>
              <w:jc w:val="center"/>
            </w:pPr>
            <w:r/>
            <w:r>
              <w:rPr>
                <w:rFonts w:ascii="SimSun" w:hAnsi="SimSun" w:eastAsia="SimSun"/>
                <w:sz w:val="20"/>
              </w:rPr>
              <w:t>决策边界类型</w:t>
            </w:r>
          </w:p>
        </w:tc>
        <w:tc>
          <w:tcPr>
            <w:tcW w:type="dxa" w:w="2878"/>
          </w:tcPr>
          <w:p>
            <w:pPr>
              <w:jc w:val="center"/>
            </w:pPr>
            <w:r/>
            <w:r>
              <w:rPr>
                <w:rFonts w:ascii="SimSun" w:hAnsi="SimSun" w:eastAsia="SimSun"/>
                <w:sz w:val="20"/>
              </w:rPr>
              <w:t>线性</w:t>
            </w:r>
          </w:p>
        </w:tc>
        <w:tc>
          <w:tcPr>
            <w:tcW w:type="dxa" w:w="2878"/>
          </w:tcPr>
          <w:p>
            <w:pPr>
              <w:jc w:val="center"/>
            </w:pPr>
            <w:r/>
            <w:r>
              <w:rPr>
                <w:rFonts w:ascii="SimSun" w:hAnsi="SimSun" w:eastAsia="SimSun"/>
                <w:sz w:val="20"/>
              </w:rPr>
              <w:t>分段线性（可表达非线性）</w:t>
            </w:r>
          </w:p>
        </w:tc>
      </w:tr>
    </w:tbl>
    <w:p/>
    <w:p>
      <w:pPr>
        <w:ind w:firstLine="420"/>
      </w:pPr>
      <w:r>
        <w:rPr>
          <w:rFonts w:ascii="SimSun" w:hAnsi="SimSun" w:eastAsia="SimSun"/>
          <w:sz w:val="24"/>
        </w:rPr>
        <w:t>综上，AdaBoost 应搭配弱分类器使用才能发挥最大效用。决策树桩因其结构简单、训练高效、天然作为弱分类器，是 AdaBoost 最经典的基分类器选择。</w:t>
      </w:r>
    </w:p>
    <w:p>
      <w:pPr>
        <w:pStyle w:val="Heading1"/>
      </w:pPr>
      <w:r>
        <w:rPr>
          <w:rFonts w:ascii="SimSun" w:hAnsi="SimSun" w:eastAsia="SimSun"/>
        </w:rPr>
        <w:t>5. 个人体会</w:t>
      </w:r>
    </w:p>
    <w:p>
      <w:pPr>
        <w:ind w:firstLine="420"/>
      </w:pPr>
      <w:r>
        <w:rPr>
          <w:rFonts w:ascii="SimSun" w:hAnsi="SimSun" w:eastAsia="SimSun"/>
          <w:sz w:val="24"/>
        </w:rPr>
        <w:t>通过本次实验，我获得了以下几点深刻认识：</w:t>
      </w:r>
    </w:p>
    <w:p>
      <w:pPr>
        <w:ind w:firstLine="420"/>
      </w:pPr>
      <w:r>
        <w:rPr>
          <w:rFonts w:ascii="SimSun" w:hAnsi="SimSun" w:eastAsia="SimSun"/>
          <w:sz w:val="24"/>
        </w:rPr>
        <w:t>第一，"弱可学习"是 AdaBoost 发挥效用的前提。实验数据直观地展示了这一结论：对数几率回归单模型已很强（89.84%），集成后几乎无提升；而决策树桩单模型很弱（79.13%），集成后反超强分类器达到 94.32%。AdaBoost 的核心机制是通过调整样本权重让后续分类器关注"难样本"，但这只有在基分类器有足够提升空间时才有效。强分类器做基分类器不仅浪费计算资源，还可能因多样性不足而损害泛化能力。</w:t>
      </w:r>
    </w:p>
    <w:p>
      <w:pPr>
        <w:ind w:firstLine="420"/>
      </w:pPr>
      <w:r>
        <w:rPr>
          <w:rFonts w:ascii="SimSun" w:hAnsi="SimSun" w:eastAsia="SimSun"/>
          <w:sz w:val="24"/>
        </w:rPr>
        <w:t>第二，加权误差 epsilon_t &gt;= 0.5 的"止损"机制十分关键。在实现初期使用了 continue 跳过该分类器，但忽略了权重未更新的问题。由于基分类器训练是确定性的（相同权重、相同数据得到相同结果），下一轮会陷入相同的跳过循环，造成大量无效计算。修改为 break 后，算法在无法继续提升时及时终止，既节省了计算资源，也更符合 AdaBoost 的理论设计。</w:t>
      </w:r>
    </w:p>
    <w:p>
      <w:pPr>
        <w:ind w:firstLine="420"/>
      </w:pPr>
      <w:r>
        <w:rPr>
          <w:rFonts w:ascii="SimSun" w:hAnsi="SimSun" w:eastAsia="SimSun"/>
          <w:sz w:val="24"/>
        </w:rPr>
        <w:t>第三，Boosting 与 Bagging 的侧重点不同。决策树桩是高偏差、低方差的模型，AdaBoost 通过加权组合多个桩逐步降低整体偏差，拟合更复杂的决策边界。这与 Bagging（如随机森林）通过并行训练、平均化来降低方差的思想形成互补。理解了这一点，对集成学习家族的整体图景有了更清晰的把握。</w:t>
      </w:r>
    </w:p>
    <w:p>
      <w:pPr>
        <w:ind w:firstLine="420"/>
      </w:pPr>
      <w:r>
        <w:rPr>
          <w:rFonts w:ascii="SimSun" w:hAnsi="SimSun" w:eastAsia="SimSun"/>
          <w:sz w:val="24"/>
        </w:rPr>
        <w:t>第四，超参数对模型性能有重要影响。实验中对比了不同参数设置下的对数几率回归表现：较大学习率（0.5）加少量迭代（200 轮）可获得约 91.9% 的准确率但无集成增益；较小学习率（0.01）加较多迭代（1000 轮）加梯度除以样本数则准确率约 90%，但表现出了一定的集成提升空间。这启示我们，在将强分类器用于 Boosting 时，适当削弱基分类器（减少迭代、增大正则化等）有可能增加多样性，带来集成增益。</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