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Đánh giá dự án PyCrow Tool (Crow Translate – bản Python)</w:t>
      </w:r>
    </w:p>
    <w:p>
      <w:pPr>
        <w:spacing w:after="40"/>
      </w:pPr>
      <w:r>
        <w:rPr>
          <w:b w:val="0"/>
          <w:i w:val="0"/>
          <w:color w:val="637587"/>
          <w:sz w:val="23"/>
        </w:rPr>
        <w:t>Rà soát mã nguồn, lỗi đã kiểm chứng, hướng cải tiến kỹ thuật và cơ hội ứng dụng thương mại</w:t>
      </w:r>
    </w:p>
    <w:p>
      <w:pPr>
        <w:spacing w:after="280"/>
      </w:pPr>
      <w:r>
        <w:rPr>
          <w:b w:val="0"/>
          <w:i/>
          <w:color w:val="637587"/>
          <w:sz w:val="19"/>
        </w:rPr>
        <w:t>Nhánh dev/python · commit f85adfb · Ngày đánh giá: 16/09/2026</w:t>
      </w:r>
    </w:p>
    <w:p>
      <w:pPr>
        <w:pStyle w:val="Heading1"/>
      </w:pPr>
      <w:r>
        <w:rPr>
          <w:b w:val="0"/>
          <w:i w:val="0"/>
        </w:rPr>
        <w:t>0. Tóm tắt cho người quyết định</w:t>
      </w:r>
    </w:p>
    <w:p>
      <w:pPr>
        <w:spacing w:after="160"/>
      </w:pPr>
      <w:r>
        <w:rPr>
          <w:b w:val="0"/>
          <w:i w:val="0"/>
        </w:rPr>
        <w:t>Dự án có nền kiến trúc tốt và sạch hơn mức thường thấy ở một ứng dụng desktop Python 2.200 dòng: tách lớp rõ ràng, provider theo giao thức, bất đồng bộ đúng cách, có kiểm thử. Tuy nhiên nó chưa sẵn sàng bán.</w:t>
      </w:r>
    </w:p>
    <w:p>
      <w:pPr>
        <w:spacing w:after="80"/>
      </w:pPr>
      <w:r>
        <w:rPr>
          <w:b/>
          <w:i w:val="0"/>
        </w:rPr>
        <w:t>Ba vấn đề chặn đường thương mại hoá:</w:t>
      </w:r>
    </w:p>
    <w:p>
      <w:pPr>
        <w:pStyle w:val="ListNumber"/>
        <w:spacing w:after="60"/>
        <w:ind w:left="340"/>
      </w:pPr>
      <w:r>
        <w:rPr>
          <w:b/>
        </w:rPr>
        <w:t xml:space="preserve">Tính năng chủ lực hỏng thầm lặng — </w:t>
      </w:r>
      <w:r>
        <w:t>Người dùng nhập khoá OpenAI, chọn OpenAI Vision, bấm Lưu, và ứng dụng vẫn chạy Tesseract. Không báo lỗi, không gợi ý khởi động lại. Đây là trải nghiệm đầu tiên của mọi khách hàng mới.</w:t>
      </w:r>
    </w:p>
    <w:p>
      <w:pPr>
        <w:pStyle w:val="ListNumber"/>
        <w:spacing w:after="60"/>
        <w:ind w:left="340"/>
      </w:pPr>
      <w:r>
        <w:rPr>
          <w:b/>
        </w:rPr>
        <w:t xml:space="preserve">Bộ cài 184 MB, trong đó 70% là rác — </w:t>
      </w:r>
      <w:r>
        <w:t>Gói cài nhúng Qt6WebEngineCore.dll nặng 203 MB (toàn bộ engine Chromium) cho một ứng dụng không hề dùng trình duyệt.</w:t>
      </w:r>
    </w:p>
    <w:p>
      <w:pPr>
        <w:pStyle w:val="ListNumber"/>
        <w:spacing w:after="60"/>
        <w:ind w:left="340"/>
      </w:pPr>
      <w:r>
        <w:rPr>
          <w:b/>
        </w:rPr>
        <w:t xml:space="preserve">Không có tệp giấy phép — </w:t>
      </w:r>
      <w:r>
        <w:t>README khai GPL-3.0 nhưng repo nhánh Python không có LICENSE/COPYING. Đây vừa là vi phạm điều kiện phân phối GPL, vừa là rủi ro pháp lý khi bán.</w:t>
      </w:r>
    </w:p>
    <w:p>
      <w:pPr>
        <w:spacing w:after="160"/>
      </w:pPr>
      <w:r>
        <w:rPr>
          <w:b w:val="0"/>
          <w:i w:val="0"/>
        </w:rPr>
        <w:t>Tám lỗi đã được tái hiện bằng mã chạy thật, không phải suy đoán. Phần 2 ghi rõ từng lỗi kèm bằng chứng.</w:t>
      </w:r>
    </w:p>
    <w:p>
      <w:pPr>
        <w:spacing w:after="160"/>
      </w:pPr>
      <w:r>
        <w:rPr>
          <w:b w:val="0"/>
          <w:i w:val="0"/>
        </w:rPr>
        <w:t>Về thương mại: thị trường công cụ dịch màn hình rất đông và phần lớn miễn phí. Cửa khả thi nhất không phải bán bản dịch đại trà, mà là đi sâu vào một phân khúc dọc, nơi bản dịch có ngữ cảnh và thuật ngữ riêng tạo ra giá trị mà Google Dịch không cho được. Chi tiết ở Phần 4.</w:t>
      </w:r>
    </w:p>
    <w:p>
      <w:pPr>
        <w:pStyle w:val="Heading1"/>
      </w:pPr>
      <w:r>
        <w:rPr>
          <w:b w:val="0"/>
          <w:i w:val="0"/>
        </w:rPr>
        <w:t>1. Hiện trạng dự án</w:t>
      </w:r>
    </w:p>
    <w:p>
      <w:pPr>
        <w:pStyle w:val="Heading2"/>
      </w:pPr>
      <w:r>
        <w:rPr>
          <w:b w:val="0"/>
          <w:i w:val="0"/>
        </w:rPr>
        <w:t>1.1. Quy mô và cấu trúc</w:t>
      </w:r>
    </w:p>
    <w:tbl>
      <w:tblPr>
        <w:tblStyle w:val="TableGrid"/>
        <w:tblW w:type="auto" w:w="0"/>
        <w:jc w:val="center"/>
        <w:tblLook w:firstColumn="1" w:firstRow="1" w:lastColumn="0" w:lastRow="0" w:noHBand="0" w:noVBand="1" w:val="04A0"/>
      </w:tblPr>
      <w:tblGrid>
        <w:gridCol w:w="4873"/>
        <w:gridCol w:w="4873"/>
      </w:tblGrid>
      <w:tr>
        <w:tc>
          <w:tcPr>
            <w:tcW w:type="dxa" w:w="4252"/>
            <w:shd w:val="clear" w:fill="0D897E"/>
          </w:tcPr>
          <w:p>
            <w:r/>
            <w:r>
              <w:rPr>
                <w:b/>
                <w:color w:val="FFFFFF"/>
                <w:sz w:val="19"/>
              </w:rPr>
              <w:t>Hạng mục</w:t>
            </w:r>
          </w:p>
        </w:tc>
        <w:tc>
          <w:tcPr>
            <w:tcW w:type="dxa" w:w="4819"/>
            <w:shd w:val="clear" w:fill="0D897E"/>
          </w:tcPr>
          <w:p>
            <w:r/>
            <w:r>
              <w:rPr>
                <w:b/>
                <w:color w:val="FFFFFF"/>
                <w:sz w:val="19"/>
              </w:rPr>
              <w:t>Số liệu</w:t>
            </w:r>
          </w:p>
        </w:tc>
      </w:tr>
      <w:tr>
        <w:tc>
          <w:tcPr>
            <w:tcW w:type="dxa" w:w="4252"/>
          </w:tcPr>
          <w:p>
            <w:pPr>
              <w:spacing w:after="40"/>
            </w:pPr>
            <w:r/>
            <w:r>
              <w:rPr>
                <w:sz w:val="19"/>
              </w:rPr>
              <w:t>Mã nguồn Python</w:t>
            </w:r>
          </w:p>
        </w:tc>
        <w:tc>
          <w:tcPr>
            <w:tcW w:type="dxa" w:w="4819"/>
          </w:tcPr>
          <w:p>
            <w:pPr>
              <w:spacing w:after="40"/>
            </w:pPr>
            <w:r/>
            <w:r>
              <w:rPr>
                <w:sz w:val="19"/>
              </w:rPr>
              <w:t>2.204 dòng / 26 tệp</w:t>
            </w:r>
          </w:p>
        </w:tc>
      </w:tr>
      <w:tr>
        <w:tc>
          <w:tcPr>
            <w:tcW w:type="dxa" w:w="4252"/>
          </w:tcPr>
          <w:p>
            <w:pPr>
              <w:spacing w:after="40"/>
            </w:pPr>
            <w:r/>
            <w:r>
              <w:rPr>
                <w:sz w:val="19"/>
              </w:rPr>
              <w:t>Mã QML</w:t>
            </w:r>
          </w:p>
        </w:tc>
        <w:tc>
          <w:tcPr>
            <w:tcW w:type="dxa" w:w="4819"/>
          </w:tcPr>
          <w:p>
            <w:pPr>
              <w:spacing w:after="40"/>
            </w:pPr>
            <w:r/>
            <w:r>
              <w:rPr>
                <w:sz w:val="19"/>
              </w:rPr>
              <w:t>637 dòng / 5 tệp</w:t>
            </w:r>
          </w:p>
        </w:tc>
      </w:tr>
      <w:tr>
        <w:tc>
          <w:tcPr>
            <w:tcW w:type="dxa" w:w="4252"/>
          </w:tcPr>
          <w:p>
            <w:pPr>
              <w:spacing w:after="40"/>
            </w:pPr>
            <w:r/>
            <w:r>
              <w:rPr>
                <w:sz w:val="19"/>
              </w:rPr>
              <w:t>Kiểm thử</w:t>
            </w:r>
          </w:p>
        </w:tc>
        <w:tc>
          <w:tcPr>
            <w:tcW w:type="dxa" w:w="4819"/>
          </w:tcPr>
          <w:p>
            <w:pPr>
              <w:spacing w:after="40"/>
            </w:pPr>
            <w:r/>
            <w:r>
              <w:rPr>
                <w:sz w:val="19"/>
              </w:rPr>
              <w:t>1.055 dòng / 13 tệp</w:t>
            </w:r>
          </w:p>
        </w:tc>
      </w:tr>
      <w:tr>
        <w:tc>
          <w:tcPr>
            <w:tcW w:type="dxa" w:w="4252"/>
          </w:tcPr>
          <w:p>
            <w:pPr>
              <w:spacing w:after="40"/>
            </w:pPr>
            <w:r/>
            <w:r>
              <w:rPr>
                <w:sz w:val="19"/>
              </w:rPr>
              <w:t>Kết quả chạy pytest</w:t>
            </w:r>
          </w:p>
        </w:tc>
        <w:tc>
          <w:tcPr>
            <w:tcW w:type="dxa" w:w="4819"/>
          </w:tcPr>
          <w:p>
            <w:pPr>
              <w:spacing w:after="40"/>
            </w:pPr>
            <w:r/>
            <w:r>
              <w:rPr>
                <w:sz w:val="19"/>
              </w:rPr>
              <w:t>60 pass · 1 fail · 1 skip</w:t>
            </w:r>
          </w:p>
        </w:tc>
      </w:tr>
      <w:tr>
        <w:tc>
          <w:tcPr>
            <w:tcW w:type="dxa" w:w="4252"/>
          </w:tcPr>
          <w:p>
            <w:pPr>
              <w:spacing w:after="40"/>
            </w:pPr>
            <w:r/>
            <w:r>
              <w:rPr>
                <w:sz w:val="19"/>
              </w:rPr>
              <w:t>Tệp thực thi đóng gói</w:t>
            </w:r>
          </w:p>
        </w:tc>
        <w:tc>
          <w:tcPr>
            <w:tcW w:type="dxa" w:w="4819"/>
          </w:tcPr>
          <w:p>
            <w:pPr>
              <w:spacing w:after="40"/>
            </w:pPr>
            <w:r/>
            <w:r>
              <w:rPr>
                <w:sz w:val="19"/>
              </w:rPr>
              <w:t>184 MB (PyInstaller onefile)</w:t>
            </w:r>
          </w:p>
        </w:tc>
      </w:tr>
      <w:tr>
        <w:tc>
          <w:tcPr>
            <w:tcW w:type="dxa" w:w="4252"/>
          </w:tcPr>
          <w:p>
            <w:pPr>
              <w:spacing w:after="40"/>
            </w:pPr>
            <w:r/>
            <w:r>
              <w:rPr>
                <w:sz w:val="19"/>
              </w:rPr>
              <w:t>Payload giải nén bên trong</w:t>
            </w:r>
          </w:p>
        </w:tc>
        <w:tc>
          <w:tcPr>
            <w:tcW w:type="dxa" w:w="4819"/>
          </w:tcPr>
          <w:p>
            <w:pPr>
              <w:spacing w:after="40"/>
            </w:pPr>
            <w:r/>
            <w:r>
              <w:rPr>
                <w:sz w:val="19"/>
              </w:rPr>
              <w:t>455 MB / 2.915 tệp</w:t>
            </w:r>
          </w:p>
        </w:tc>
      </w:tr>
      <w:tr>
        <w:tc>
          <w:tcPr>
            <w:tcW w:type="dxa" w:w="4252"/>
          </w:tcPr>
          <w:p>
            <w:pPr>
              <w:spacing w:after="40"/>
            </w:pPr>
            <w:r/>
            <w:r>
              <w:rPr>
                <w:sz w:val="19"/>
              </w:rPr>
              <w:t>Số ngôn ngữ hỗ trợ</w:t>
            </w:r>
          </w:p>
        </w:tc>
        <w:tc>
          <w:tcPr>
            <w:tcW w:type="dxa" w:w="4819"/>
          </w:tcPr>
          <w:p>
            <w:pPr>
              <w:spacing w:after="40"/>
            </w:pPr>
            <w:r/>
            <w:r>
              <w:rPr>
                <w:sz w:val="19"/>
              </w:rPr>
              <w:t>20 (+ auto)</w:t>
            </w:r>
          </w:p>
        </w:tc>
      </w:tr>
    </w:tbl>
    <w:p>
      <w:pPr>
        <w:spacing w:after="40"/>
      </w:pPr>
    </w:p>
    <w:p>
      <w:pPr>
        <w:pStyle w:val="Heading2"/>
      </w:pPr>
      <w:r>
        <w:rPr>
          <w:b w:val="0"/>
          <w:i w:val="0"/>
        </w:rPr>
        <w:t>1.2. Những điểm làm tốt</w:t>
      </w:r>
    </w:p>
    <w:p>
      <w:pPr>
        <w:pStyle w:val="ListBullet"/>
        <w:spacing w:after="60"/>
        <w:ind w:left="340"/>
      </w:pPr>
      <w:r>
        <w:rPr>
          <w:b/>
        </w:rPr>
        <w:t xml:space="preserve">Phân lớp sạch — </w:t>
      </w:r>
      <w:r>
        <w:t>core (mô hình dữ liệu) / providers (dịch vụ ngoài) / services (nghiệp vụ desktop) / viewmodels (trạng thái cho QML). Không có lớp nào gọi ngược lên lớp trên.</w:t>
      </w:r>
    </w:p>
    <w:p>
      <w:pPr>
        <w:pStyle w:val="ListBullet"/>
        <w:spacing w:after="60"/>
        <w:ind w:left="340"/>
      </w:pPr>
      <w:r>
        <w:rPr>
          <w:b/>
        </w:rPr>
        <w:t xml:space="preserve">Xử lý bất đồng bộ đúng — </w:t>
      </w:r>
      <w:r>
        <w:t>AsyncLoopRunner giữ một event loop duy nhất trên luồng nền, kèm chú thích giải thích vì sao asyncio.run() theo từng yêu cầu sẽ làm hỏng connection pool của httpx. Đây là loại kiến thức thường chỉ có sau khi đã dính lỗi thật.</w:t>
      </w:r>
    </w:p>
    <w:p>
      <w:pPr>
        <w:pStyle w:val="ListBullet"/>
        <w:spacing w:after="60"/>
        <w:ind w:left="340"/>
      </w:pPr>
      <w:r>
        <w:rPr>
          <w:b/>
        </w:rPr>
        <w:t xml:space="preserve">Chống kết quả cũ — </w:t>
      </w:r>
      <w:r>
        <w:t>cả TranslationViewModel (qua _revision) và OcrService (qua request id theo từng kênh) đều loại bỏ phản hồi về muộn. Nhiều ứng dụng lớn hơn vẫn bỏ sót việc này.</w:t>
      </w:r>
    </w:p>
    <w:p>
      <w:pPr>
        <w:pStyle w:val="ListBullet"/>
        <w:spacing w:after="60"/>
        <w:ind w:left="340"/>
      </w:pPr>
      <w:r>
        <w:rPr>
          <w:b/>
        </w:rPr>
        <w:t xml:space="preserve">Chú thích giải thích lý do, không mô tả lại mã — </w:t>
      </w:r>
      <w:r>
        <w:t>ví dụ vì sao GPT-5 cần reasoning_effort tối thiểu, vì sao overlay chụp màn hình bắt buộc cờ Qt.Tool. Đây là tài sản thật cho người bảo trì sau.</w:t>
      </w:r>
    </w:p>
    <w:p>
      <w:pPr>
        <w:pStyle w:val="ListBullet"/>
        <w:spacing w:after="60"/>
        <w:ind w:left="340"/>
      </w:pPr>
      <w:r>
        <w:rPr>
          <w:b/>
        </w:rPr>
        <w:t xml:space="preserve">Ghi nhận vấn đề nền tảng trung thực — </w:t>
      </w:r>
      <w:r>
        <w:t>README nói rõ WSL2 không chạy được hotkey và vì sao, thay vì giấu.</w:t>
      </w:r>
    </w:p>
    <w:p>
      <w:pPr>
        <w:pStyle w:val="Heading2"/>
      </w:pPr>
      <w:r>
        <w:rPr>
          <w:b w:val="0"/>
          <w:i w:val="0"/>
        </w:rPr>
        <w:t>1.3. Tài liệu nghiên cứu đã có</w:t>
      </w:r>
    </w:p>
    <w:p>
      <w:pPr>
        <w:spacing w:after="120"/>
      </w:pPr>
      <w:r>
        <w:rPr>
          <w:b w:val="0"/>
          <w:i w:val="0"/>
        </w:rPr>
        <w:t>Thư mục research/ chứa một tài liệu định hướng OCR screenshot (06/09/2026) chất lượng cao: đề xuất máy trạng thái Idle → Selecting → Capturing → Recognizing → Reviewing → Translating, tách worker riêng cho OCR, và ứng viên RapidOCR + ONNX Runtime thay Tesseract.</w:t>
      </w:r>
    </w:p>
    <w:p>
      <w:pPr>
        <w:spacing w:after="80"/>
      </w:pPr>
      <w:r>
        <w:rPr>
          <w:b/>
          <w:i w:val="0"/>
        </w:rPr>
        <w:t>Bản triển khai hiện tại chưa theo tài liệu này ở hai điểm quan trọng:</w:t>
      </w:r>
    </w:p>
    <w:p>
      <w:pPr>
        <w:pStyle w:val="ListBullet"/>
        <w:spacing w:after="60"/>
        <w:ind w:left="340"/>
      </w:pPr>
      <w:r>
        <w:rPr>
          <w:b/>
        </w:rPr>
        <w:t xml:space="preserve">Thiếu bước Reviewing — </w:t>
      </w:r>
      <w:r>
        <w:t>app.py dịch ngay văn bản OCR vừa đọc được, người dùng không có cơ hội sửa. Tài liệu nghiên cứu xếp đây là một trong ba quyết định cần chốt.</w:t>
      </w:r>
    </w:p>
    <w:p>
      <w:pPr>
        <w:pStyle w:val="ListBullet"/>
        <w:spacing w:after="60"/>
        <w:ind w:left="340"/>
      </w:pPr>
      <w:r>
        <w:rPr>
          <w:b/>
        </w:rPr>
        <w:t xml:space="preserve">Chưa xử lý DPI — </w:t>
      </w:r>
      <w:r>
        <w:t>tài liệu cảnh báo rõ phải quy đổi toạ độ logic sang toạ độ pixel theo từng màn hình. Mã hiện tại không làm (xem lỗi C2).</w:t>
      </w:r>
    </w:p>
    <w:p>
      <w:pPr>
        <w:pStyle w:val="Heading1"/>
      </w:pPr>
      <w:r>
        <w:rPr>
          <w:b w:val="0"/>
          <w:i w:val="0"/>
        </w:rPr>
        <w:t>2. Lỗi đã kiểm chứng</w:t>
      </w:r>
    </w:p>
    <w:p>
      <w:pPr>
        <w:spacing w:after="200"/>
      </w:pPr>
      <w:r>
        <w:rPr>
          <w:b w:val="0"/>
          <w:i w:val="0"/>
          <w:color w:val="637587"/>
        </w:rPr>
        <w:t>Mỗi lỗi dưới đây đã được tái hiện bằng script chạy trên chính mã nguồn của dự án, không phải đọc rồi đoán. Xếp theo mức độ nghiêm trọng.</w:t>
      </w:r>
    </w:p>
    <w:p>
      <w:pPr>
        <w:pStyle w:val="Heading2"/>
      </w:pPr>
      <w:r>
        <w:rPr>
          <w:b w:val="0"/>
          <w:i w:val="0"/>
        </w:rPr>
        <w:t>C1. Cấu hình OCR đóng băng lúc khởi động — lưu khoá API không có tác dụng</w:t>
      </w:r>
    </w:p>
    <w:p>
      <w:pPr>
        <w:spacing w:after="40"/>
      </w:pPr>
      <w:r>
        <w:rPr>
          <w:b/>
          <w:color w:val="B42318"/>
          <w:sz w:val="18"/>
        </w:rPr>
        <w:t>Mức độ: NGHIÊM TRỌNG · services/ocr.py:26-48 · Ảnh hưởng mọi người dùng mới</w:t>
      </w:r>
    </w:p>
    <w:p>
      <w:r>
        <w:rPr>
          <w:b w:val="0"/>
          <w:i w:val="0"/>
        </w:rPr>
        <w:t>OcrService dựng OpenAiOcrProvider một lần duy nhất trong __init__ với khoá API, model và độ phân giải đọc từ settings tại thời điểm đó. Khi người dùng lưu cài đặt, chỉ ocr_engine được đọc lại (vì dùng chung đối tượng AppSettings), còn khoá API vẫn rỗng trong provider. _active_provider() thấy configured = False nên âm thầm rơi về Tesseract.</w:t>
      </w:r>
    </w:p>
    <w:p>
      <w:pPr>
        <w:spacing w:after="160" w:before="80"/>
        <w:ind w:left="340"/>
      </w:pPr>
      <w:r>
        <w:rPr>
          <w:rFonts w:ascii="Consolas" w:hAnsi="Consolas"/>
          <w:color w:val="334155"/>
          <w:sz w:val="18"/>
        </w:rPr>
        <w:t>asked for engine 'openai-vision', got: 'tesseract'</w:t>
        <w:br/>
        <w:t xml:space="preserve">  settings.openai.api_key = 'sk-a-real-key'   &lt;- người dùng đã nhập</w:t>
        <w:br/>
        <w:t xml:space="preserve">  provider.api_key        = ''                &lt;- CŨ</w:t>
        <w:br/>
        <w:t xml:space="preserve">  provider.max_dimension  = 1280              &lt;- CŨ (người dùng chọn 2048)</w:t>
      </w:r>
    </w:p>
    <w:p>
      <w:r>
        <w:rPr>
          <w:b/>
          <w:i w:val="0"/>
        </w:rPr>
        <w:t>Hệ quả: người dùng trả tiền cho OpenAI, cấu hình đúng, nhưng nhận kết quả Tesseract kém hơn và không biết. Tài liệu chỉ nói hotkey cần khởi động lại, không nói cài đặt OCR cũng vậy.</w:t>
      </w:r>
    </w:p>
    <w:p>
      <w:r>
        <w:rPr>
          <w:b w:val="0"/>
          <w:i w:val="0"/>
          <w:color w:val="637587"/>
          <w:sz w:val="19"/>
        </w:rPr>
        <w:t>Hướng sửa: dựng lại provider OCR trong savePreferences(), giống cách TranslationViewModel đã làm với provider dịch.</w:t>
      </w:r>
    </w:p>
    <w:p>
      <w:pPr>
        <w:pStyle w:val="Heading2"/>
      </w:pPr>
      <w:r>
        <w:rPr>
          <w:b w:val="0"/>
          <w:i w:val="0"/>
        </w:rPr>
        <w:t>C2. Chụp vùng màn hình sai trên màn hình có tỉ lệ hiển thị khác 100%</w:t>
      </w:r>
    </w:p>
    <w:p>
      <w:pPr>
        <w:spacing w:after="40"/>
      </w:pPr>
      <w:r>
        <w:rPr>
          <w:b/>
          <w:color w:val="B42318"/>
          <w:sz w:val="18"/>
        </w:rPr>
        <w:t>Mức độ: NGHIÊM TRỌNG · services/capture.py:65-106 · Ảnh hưởng hầu hết laptop Windows</w:t>
      </w:r>
    </w:p>
    <w:p>
      <w:r>
        <w:rPr>
          <w:b w:val="0"/>
          <w:i w:val="0"/>
        </w:rPr>
        <w:t>capture_all_screens() lưu screen.geometry() — toạ độ logic — vào danh sách screens, và QML dùng đúng các giá trị này cho kích thước overlay, nên toạ độ chuột cũng là toạ độ logic. Nhưng confirmRegion() lại cắt pixmap bằng chính toạ độ đó, trong khi grabWindow() trả về ảnh tính bằng pixel vật lý.</w:t>
      </w:r>
    </w:p>
    <w:p>
      <w:r>
        <w:rPr>
          <w:b w:val="0"/>
          <w:i w:val="0"/>
        </w:rPr>
        <w:t>Trong Qt 6, high-DPI scaling luôn bật và không tắt được. Hai hệ toạ độ chỉ trùng nhau khi tỉ lệ hiển thị đúng bằng 100%.</w:t>
      </w:r>
    </w:p>
    <w:p>
      <w:pPr>
        <w:spacing w:after="160" w:before="80"/>
        <w:ind w:left="340"/>
      </w:pPr>
      <w:r>
        <w:rPr>
          <w:rFonts w:ascii="Consolas" w:hAnsi="Consolas"/>
          <w:color w:val="334155"/>
          <w:sz w:val="18"/>
        </w:rPr>
        <w:t>Máy phát triển hiện tại (dò bằng QScreen):</w:t>
        <w:br/>
        <w:t xml:space="preserve">  HP P24 G5 : geometry 1920x1080 · DPR 1.0 · grabWindow 1920x1080 -&gt; khớp</w:t>
        <w:br/>
        <w:t xml:space="preserve">  HP N246v  : geometry 1920x1080 · DPR 1.0 · grabWindow 1920x1080 -&gt; khớp</w:t>
        <w:br/>
        <w:br/>
        <w:t>Trên laptop 150% (rất phổ biến):</w:t>
        <w:br/>
        <w:t xml:space="preserve">  geometry 1920x1080 · DPR 1.5 · grabWindow 2880x1620 -&gt; LỆCH</w:t>
        <w:br/>
        <w:t xml:space="preserve">  =&gt; vùng cắt nhỏ hơn 1.5 lần và lệch về góc trên trái</w:t>
      </w:r>
    </w:p>
    <w:p>
      <w:r>
        <w:rPr>
          <w:b/>
          <w:i w:val="0"/>
        </w:rPr>
        <w:t>Đây đúng là trường hợp “chạy tốt trên máy tôi”: cả hai màn hình của máy phát triển đều ở 100% nên lỗi chưa bao giờ lộ ra.</w:t>
      </w:r>
    </w:p>
    <w:p>
      <w:r>
        <w:rPr>
          <w:b w:val="0"/>
          <w:i w:val="0"/>
          <w:color w:val="637587"/>
          <w:sz w:val="19"/>
        </w:rPr>
        <w:t>Hướng sửa: nhân toạ độ với pixmap.devicePixelRatio() trước khi cắt.</w:t>
      </w:r>
    </w:p>
    <w:p>
      <w:pPr>
        <w:pStyle w:val="Heading2"/>
      </w:pPr>
      <w:r>
        <w:rPr>
          <w:b w:val="0"/>
          <w:i w:val="0"/>
        </w:rPr>
        <w:t>C3. Tệp cài đặt lạ làm ứng dụng chết ngay khi khởi động, không thông báo</w:t>
      </w:r>
    </w:p>
    <w:p>
      <w:pPr>
        <w:spacing w:after="40"/>
      </w:pPr>
      <w:r>
        <w:rPr>
          <w:b/>
          <w:color w:val="B42318"/>
          <w:sz w:val="18"/>
        </w:rPr>
        <w:t>Mức độ: NGHIÊM TRỌNG · config.py:94-95 + pycrow.spec · Không thể tự phục hồi</w:t>
      </w:r>
    </w:p>
    <w:p>
      <w:r>
        <w:rPr>
          <w:b w:val="0"/>
          <w:i w:val="0"/>
        </w:rPr>
        <w:t>_decode() bung thẳng bảng TOML vào dataclass: GoogleV2Settings(**data.get(...)). Một khoá lạ sẽ ném TypeError. build_services() được gọi trong app.main() mà không có try/except, nên ứng dụng chết trước khi cửa sổ kịp hiện.</w:t>
      </w:r>
    </w:p>
    <w:p>
      <w:pPr>
        <w:spacing w:after="160" w:before="80"/>
        <w:ind w:left="340"/>
      </w:pPr>
      <w:r>
        <w:rPr>
          <w:rFonts w:ascii="Consolas" w:hAnsi="Consolas"/>
          <w:color w:val="334155"/>
          <w:sz w:val="18"/>
        </w:rPr>
        <w:t>TypeError: GoogleV2Settings.__init__() got an unexpected keyword</w:t>
        <w:br/>
        <w:t>argument 'project_id'</w:t>
      </w:r>
    </w:p>
    <w:p>
      <w:r>
        <w:rPr>
          <w:b/>
          <w:i w:val="0"/>
        </w:rPr>
        <w:t>Kết hợp với console = False trong pycrow.spec, bản đóng gói sẽ không hiện bất cứ thứ gì: người dùng bấm vào biểu tượng và không có gì xảy ra. Không log, không hộp thoại, không cách nào tự chẩn đoán.</w:t>
      </w:r>
    </w:p>
    <w:p>
      <w:r>
        <w:rPr>
          <w:b w:val="0"/>
          <w:i w:val="0"/>
        </w:rPr>
        <w:t>Ba tình huống dẫn tới lỗi này: bản mới ghi thêm trường rồi người dùng hạ cấp; người dùng tự sửa file và gõ sai; file hỏng do mất điện.</w:t>
      </w:r>
    </w:p>
    <w:p>
      <w:r>
        <w:rPr>
          <w:b w:val="0"/>
          <w:i w:val="0"/>
        </w:rPr>
        <w:t>Lưu ý thêm: trường version được đọc và lưu nhưng không có bất kỳ nhánh migrate nào — cơ chế phiên bản hoá cấu hình mới chỉ là hình thức.</w:t>
      </w:r>
    </w:p>
    <w:p>
      <w:r>
        <w:rPr>
          <w:b w:val="0"/>
          <w:i w:val="0"/>
          <w:color w:val="637587"/>
          <w:sz w:val="19"/>
        </w:rPr>
        <w:t>Hướng sửa: bỏ qua khoá lạ khi decode, bọc try/except quanh phần khởi động, và khi hỏng thì đổi tên file cũ rồi chạy với cấu hình mặc định.</w:t>
      </w:r>
    </w:p>
    <w:p>
      <w:pPr>
        <w:pStyle w:val="Heading2"/>
      </w:pPr>
      <w:r>
        <w:rPr>
          <w:b w:val="0"/>
          <w:i w:val="0"/>
        </w:rPr>
        <w:t>C4. Lưu cài đặt xoá sạch mọi provider plugin</w:t>
      </w:r>
    </w:p>
    <w:p>
      <w:pPr>
        <w:spacing w:after="40"/>
      </w:pPr>
      <w:r>
        <w:rPr>
          <w:b/>
          <w:color w:val="B42318"/>
          <w:sz w:val="18"/>
        </w:rPr>
        <w:t>Mức độ: CAO · viewmodels.py:258 · Vô hiệu hoá toàn bộ cơ chế mở rộng</w:t>
      </w:r>
    </w:p>
    <w:p>
      <w:r>
        <w:rPr>
          <w:b w:val="0"/>
          <w:i w:val="0"/>
        </w:rPr>
        <w:t>savePreferences() thay danh sách provider bằng đúng một phần tử GoogleV2Provider. Mọi plugin nạp từ enabled_plugins lúc khởi động biến mất ngay khi người dùng bấm Lưu, và chỉ quay lại sau khi khởi động lại ứng dụng.</w:t>
      </w:r>
    </w:p>
    <w:p>
      <w:pPr>
        <w:spacing w:after="160" w:before="80"/>
        <w:ind w:left="340"/>
      </w:pPr>
      <w:r>
        <w:rPr>
          <w:rFonts w:ascii="Consolas" w:hAnsi="Consolas"/>
          <w:color w:val="334155"/>
          <w:sz w:val="18"/>
        </w:rPr>
        <w:t>providers sau bootstrap        : ['acme-mt', 'google-v2']</w:t>
        <w:br/>
        <w:t>providers sau savePreferences(): ['google-v2']</w:t>
      </w:r>
    </w:p>
    <w:p>
      <w:r>
        <w:rPr>
          <w:b/>
          <w:i w:val="0"/>
        </w:rPr>
        <w:t>README quảng bá plugin là điểm mạnh kiến trúc (“Extensible by design”). Trên thực tế, thao tác lưu cài đặt thông thường phá vỡ nó.</w:t>
      </w:r>
    </w:p>
    <w:p>
      <w:pPr>
        <w:pStyle w:val="Heading2"/>
      </w:pPr>
      <w:r>
        <w:rPr>
          <w:b w:val="0"/>
          <w:i w:val="0"/>
        </w:rPr>
        <w:t>C5. Chọn engine OCR không khả dụng thì im lặng đổi engine khác</w:t>
      </w:r>
    </w:p>
    <w:p>
      <w:pPr>
        <w:spacing w:after="40"/>
      </w:pPr>
      <w:r>
        <w:rPr>
          <w:b/>
          <w:color w:val="B42318"/>
          <w:sz w:val="18"/>
        </w:rPr>
        <w:t>Mức độ: CAO · services/ocr.py:44-48 và cli.py</w:t>
      </w:r>
    </w:p>
    <w:p>
      <w:r>
        <w:rPr>
          <w:b w:val="0"/>
          <w:i w:val="0"/>
        </w:rPr>
        <w:t>_active_provider() rơi về Tesseract khi provider được chọn chưa cấu hình, không phát cảnh báo. Trên CLI, lệnh sau trả về kết quả Tesseract với mã thoát 0:</w:t>
      </w:r>
    </w:p>
    <w:p>
      <w:pPr>
        <w:spacing w:after="160" w:before="80"/>
        <w:ind w:left="340"/>
      </w:pPr>
      <w:r>
        <w:rPr>
          <w:rFonts w:ascii="Consolas" w:hAnsi="Consolas"/>
          <w:color w:val="334155"/>
          <w:sz w:val="18"/>
        </w:rPr>
        <w:t>py-crow --ocr anh.png --ocr-engine openai-vision   # không có khoá API</w:t>
      </w:r>
    </w:p>
    <w:p>
      <w:r>
        <w:rPr>
          <w:b w:val="0"/>
          <w:i w:val="0"/>
        </w:rPr>
        <w:t>Với script tự động hoá, đây là lỗi âm thầm: kết quả vẫn “thành công” nhưng đến từ engine khác với engine được yêu cầu. OcrResult đã có sẵn trường warnings nhưng không bao giờ được dùng.</w:t>
      </w:r>
    </w:p>
    <w:p>
      <w:pPr>
        <w:pStyle w:val="Heading2"/>
      </w:pPr>
      <w:r>
        <w:rPr>
          <w:b w:val="0"/>
          <w:i w:val="0"/>
        </w:rPr>
        <w:t>C6. Hai view-model dùng chung một kho lịch sử, không có khoá đồng bộ</w:t>
      </w:r>
    </w:p>
    <w:p>
      <w:pPr>
        <w:spacing w:after="40"/>
      </w:pPr>
      <w:r>
        <w:rPr>
          <w:b/>
          <w:color w:val="B42318"/>
          <w:sz w:val="18"/>
        </w:rPr>
        <w:t>Mức độ: CAO · app.py:47 và app.py:69 · Mất dữ liệu lịch sử</w:t>
      </w:r>
    </w:p>
    <w:p>
      <w:r>
        <w:rPr>
          <w:b w:val="0"/>
          <w:i w:val="0"/>
        </w:rPr>
        <w:t>Cửa sổ chính và popup dịch nhanh nhận cùng một đối tượng HistoryStore. HistoryStore.add() thực hiện đọc–sửa–ghi trên _cache mà không khoá, còn flush() được cả hai view-model đẩy sang luồng nền. Hai bản dịch gần nhau có thể làm mất một mục hoặc khiến hai lần ghi toàn bộ tệp chồng lên nhau.</w:t>
      </w:r>
    </w:p>
    <w:p>
      <w:pPr>
        <w:pStyle w:val="Heading2"/>
      </w:pPr>
      <w:r>
        <w:rPr>
          <w:b w:val="0"/>
          <w:i w:val="0"/>
        </w:rPr>
        <w:t>C7. Ghi lịch sử không nguyên tử, hỏng thì mất sạch và không báo</w:t>
      </w:r>
    </w:p>
    <w:p>
      <w:pPr>
        <w:spacing w:after="40"/>
      </w:pPr>
      <w:r>
        <w:rPr>
          <w:b/>
          <w:color w:val="B42318"/>
          <w:sz w:val="18"/>
        </w:rPr>
        <w:t>Mức độ: TRUNG BÌNH · services/history.py:48-52</w:t>
      </w:r>
    </w:p>
    <w:p>
      <w:r>
        <w:rPr>
          <w:b w:val="0"/>
          <w:i w:val="0"/>
        </w:rPr>
        <w:t>SettingsStore.save() ghi qua tệp tạm rồi replace() — đúng chuẩn. HistoryStore.flush() thì ghi đè trực tiếp. Mất điện giữa chừng làm hỏng history.json, và _read() nuốt luôn ValueError rồi trả về danh sách rỗng.</w:t>
      </w:r>
    </w:p>
    <w:p>
      <w:pPr>
        <w:spacing w:after="160" w:before="80"/>
        <w:ind w:left="340"/>
      </w:pPr>
      <w:r>
        <w:rPr>
          <w:rFonts w:ascii="Consolas" w:hAnsi="Consolas"/>
          <w:color w:val="334155"/>
          <w:sz w:val="18"/>
        </w:rPr>
        <w:t>load() trên tệp hỏng -&gt; []   (người dùng không nhận được thông báo nào)</w:t>
      </w:r>
    </w:p>
    <w:p>
      <w:r>
        <w:rPr>
          <w:b/>
          <w:i w:val="0"/>
        </w:rPr>
        <w:t>Người dùng mất toàn bộ lịch sử và tưởng ứng dụng tự xoá.</w:t>
      </w:r>
    </w:p>
    <w:p>
      <w:pPr>
        <w:pStyle w:val="Heading2"/>
      </w:pPr>
      <w:r>
        <w:rPr>
          <w:b w:val="0"/>
          <w:i w:val="0"/>
        </w:rPr>
        <w:t>C8. Bộ kiểm thử đang đỏ trên HEAD</w:t>
      </w:r>
    </w:p>
    <w:p>
      <w:pPr>
        <w:spacing w:after="40"/>
      </w:pPr>
      <w:r>
        <w:rPr>
          <w:b/>
          <w:color w:val="B42318"/>
          <w:sz w:val="18"/>
        </w:rPr>
        <w:t>Mức độ: TRUNG BÌNH · tests/test_qml.py:116</w:t>
      </w:r>
    </w:p>
    <w:p>
      <w:r>
        <w:rPr>
          <w:b w:val="0"/>
          <w:i w:val="0"/>
        </w:rPr>
        <w:t>Commit gần nhất f85adfb đổi thông báo lỗi trùng phím tắt từ “This shortcut is already used for clipboard translation” sang “This shortcut is already in use”, nhưng không cập nhật bài kiểm thử tương ứng.</w:t>
      </w:r>
    </w:p>
    <w:p>
      <w:pPr>
        <w:spacing w:after="160" w:before="80"/>
        <w:ind w:left="340"/>
      </w:pPr>
      <w:r>
        <w:rPr>
          <w:rFonts w:ascii="Consolas" w:hAnsi="Consolas"/>
          <w:color w:val="334155"/>
          <w:sz w:val="18"/>
        </w:rPr>
        <w:t>assert 'clipboard' in hotkey.property('error')</w:t>
        <w:br/>
        <w:t>AssertionError: 'This shortcut is already in use. Choose another.'</w:t>
      </w:r>
    </w:p>
    <w:p>
      <w:r>
        <w:rPr>
          <w:b/>
          <w:i w:val="0"/>
        </w:rPr>
        <w:t>Bản thân hành vi vẫn đúng — đây là bài test cũ. Điều đáng lo là commit được đẩy lên khi bộ test đang đỏ, nghĩa là quy trình hiện không chạy test trước khi commit. Thêm nữa, các gói test còn chưa được cài trong .venv của dự án.</w:t>
      </w:r>
    </w:p>
    <w:p>
      <w:pPr>
        <w:pStyle w:val="Heading2"/>
      </w:pPr>
      <w:r>
        <w:rPr>
          <w:b w:val="0"/>
          <w:i w:val="0"/>
        </w:rPr>
        <w:t>2.1. Những điểm đã kiểm tra và xác nhận KHÔNG có lỗi</w:t>
      </w:r>
    </w:p>
    <w:p>
      <w:pPr>
        <w:spacing w:after="80"/>
      </w:pPr>
      <w:r>
        <w:rPr>
          <w:b w:val="0"/>
          <w:i w:val="0"/>
          <w:color w:val="637587"/>
        </w:rPr>
        <w:t>Để tránh hiểu nhầm phạm vi rà soát, các điểm sau đã được kiểm tra kỹ và kết luận là ổn:</w:t>
      </w:r>
    </w:p>
    <w:p>
      <w:pPr>
        <w:pStyle w:val="ListBullet"/>
        <w:spacing w:after="60"/>
        <w:ind w:left="340"/>
      </w:pPr>
      <w:r>
        <w:rPr>
          <w:b/>
        </w:rPr>
        <w:t xml:space="preserve">Truyền tín hiệu qua luồng — </w:t>
      </w:r>
      <w:r>
        <w:t>_resultReady/_errorReady được phát từ luồng nền nhưng view-model sống ở luồng GUI, nên Qt tự xếp hàng đợi. An toàn.</w:t>
      </w:r>
    </w:p>
    <w:p>
      <w:pPr>
        <w:pStyle w:val="ListBullet"/>
        <w:spacing w:after="60"/>
        <w:ind w:left="340"/>
      </w:pPr>
      <w:r>
        <w:rPr>
          <w:b/>
        </w:rPr>
        <w:t xml:space="preserve">Vòng lặp thử lại trong providers/base.py — </w:t>
      </w:r>
      <w:r>
        <w:t>luồng điều khiển đúng ở cả ba lần thử. Dòng 60 là mã không bao giờ chạy tới, nhưng vô hại.</w:t>
      </w:r>
    </w:p>
    <w:p>
      <w:pPr>
        <w:pStyle w:val="ListBullet"/>
        <w:spacing w:after="60"/>
        <w:ind w:left="340"/>
      </w:pPr>
      <w:r>
        <w:rPr>
          <w:b/>
        </w:rPr>
        <w:t xml:space="preserve">Toạ độ màn hình âm — </w:t>
      </w:r>
      <w:r>
        <w:t>màn hình phụ ở x = -1920 vẫn cắt đúng, vì mỗi màn hình có pixmap riêng và toạ độ chuột tính theo cửa sổ.</w:t>
      </w:r>
    </w:p>
    <w:p>
      <w:pPr>
        <w:pStyle w:val="ListBullet"/>
        <w:spacing w:after="60"/>
        <w:ind w:left="340"/>
      </w:pPr>
      <w:r>
        <w:rPr>
          <w:b/>
        </w:rPr>
        <w:t xml:space="preserve">Đăng ký hotkey Windows — </w:t>
      </w:r>
      <w:r>
        <w:t>RegisterHotKey được gọi từ luồng GUI, đúng yêu cầu về thread affinity. Chu trình đăng ký/huỷ khi ghi phím tắt là cân bằng.</w:t>
      </w:r>
    </w:p>
    <w:p>
      <w:pPr>
        <w:pStyle w:val="Heading1"/>
      </w:pPr>
      <w:r>
        <w:rPr>
          <w:b w:val="0"/>
          <w:i w:val="0"/>
        </w:rPr>
        <w:t>3. Hướng cải tiến kỹ thuật</w:t>
      </w:r>
    </w:p>
    <w:p>
      <w:pPr>
        <w:pStyle w:val="Heading2"/>
      </w:pPr>
      <w:r>
        <w:rPr>
          <w:b w:val="0"/>
          <w:i w:val="0"/>
        </w:rPr>
        <w:t>3.1. Giảm bộ cài từ 184 MB xuống khoảng 55 MB</w:t>
      </w:r>
    </w:p>
    <w:p>
      <w:pPr>
        <w:spacing w:after="120"/>
      </w:pPr>
      <w:r>
        <w:rPr>
          <w:b w:val="0"/>
          <w:i w:val="0"/>
        </w:rPr>
        <w:t>Phân tích bảng nội dung PyInstaller cho thấy 316 MB trên tổng 455 MB payload là thư viện ứng dụng không hề dùng:</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fill="0D897E"/>
          </w:tcPr>
          <w:p>
            <w:r/>
            <w:r>
              <w:rPr>
                <w:b/>
                <w:color w:val="FFFFFF"/>
                <w:sz w:val="19"/>
              </w:rPr>
              <w:t>Thành phần thừa</w:t>
            </w:r>
          </w:p>
        </w:tc>
        <w:tc>
          <w:tcPr>
            <w:tcW w:type="dxa" w:w="1814"/>
            <w:shd w:val="clear" w:fill="0D897E"/>
          </w:tcPr>
          <w:p>
            <w:r/>
            <w:r>
              <w:rPr>
                <w:b/>
                <w:color w:val="FFFFFF"/>
                <w:sz w:val="19"/>
              </w:rPr>
              <w:t>Dung lượng</w:t>
            </w:r>
          </w:p>
        </w:tc>
        <w:tc>
          <w:tcPr>
            <w:tcW w:type="dxa" w:w="3402"/>
            <w:shd w:val="clear" w:fill="0D897E"/>
          </w:tcPr>
          <w:p>
            <w:r/>
            <w:r>
              <w:rPr>
                <w:b/>
                <w:color w:val="FFFFFF"/>
                <w:sz w:val="19"/>
              </w:rPr>
              <w:t>Ứng dụng có dùng không?</w:t>
            </w:r>
          </w:p>
        </w:tc>
      </w:tr>
      <w:tr>
        <w:tc>
          <w:tcPr>
            <w:tcW w:type="dxa" w:w="3969"/>
          </w:tcPr>
          <w:p>
            <w:pPr>
              <w:spacing w:after="40"/>
            </w:pPr>
            <w:r/>
            <w:r>
              <w:rPr>
                <w:sz w:val="19"/>
              </w:rPr>
              <w:t>Qt6WebEngineCore.dll</w:t>
            </w:r>
          </w:p>
        </w:tc>
        <w:tc>
          <w:tcPr>
            <w:tcW w:type="dxa" w:w="1814"/>
          </w:tcPr>
          <w:p>
            <w:pPr>
              <w:spacing w:after="40"/>
            </w:pPr>
            <w:r/>
            <w:r>
              <w:rPr>
                <w:sz w:val="19"/>
              </w:rPr>
              <w:t>203,4 MB</w:t>
            </w:r>
          </w:p>
        </w:tc>
        <w:tc>
          <w:tcPr>
            <w:tcW w:type="dxa" w:w="3402"/>
          </w:tcPr>
          <w:p>
            <w:pPr>
              <w:spacing w:after="40"/>
            </w:pPr>
            <w:r/>
            <w:r>
              <w:rPr>
                <w:sz w:val="19"/>
              </w:rPr>
              <w:t>Không — không có trình duyệt nhúng</w:t>
            </w:r>
          </w:p>
        </w:tc>
      </w:tr>
      <w:tr>
        <w:tc>
          <w:tcPr>
            <w:tcW w:type="dxa" w:w="3969"/>
          </w:tcPr>
          <w:p>
            <w:pPr>
              <w:spacing w:after="40"/>
            </w:pPr>
            <w:r/>
            <w:r>
              <w:rPr>
                <w:sz w:val="19"/>
              </w:rPr>
              <w:t>opengl32sw.dll</w:t>
            </w:r>
          </w:p>
        </w:tc>
        <w:tc>
          <w:tcPr>
            <w:tcW w:type="dxa" w:w="1814"/>
          </w:tcPr>
          <w:p>
            <w:pPr>
              <w:spacing w:after="40"/>
            </w:pPr>
            <w:r/>
            <w:r>
              <w:rPr>
                <w:sz w:val="19"/>
              </w:rPr>
              <w:t>20,6 MB</w:t>
            </w:r>
          </w:p>
        </w:tc>
        <w:tc>
          <w:tcPr>
            <w:tcW w:type="dxa" w:w="3402"/>
          </w:tcPr>
          <w:p>
            <w:pPr>
              <w:spacing w:after="40"/>
            </w:pPr>
            <w:r/>
            <w:r>
              <w:rPr>
                <w:sz w:val="19"/>
              </w:rPr>
              <w:t>Không — QML dùng GPU của hệ thống</w:t>
            </w:r>
          </w:p>
        </w:tc>
      </w:tr>
      <w:tr>
        <w:tc>
          <w:tcPr>
            <w:tcW w:type="dxa" w:w="3969"/>
          </w:tcPr>
          <w:p>
            <w:pPr>
              <w:spacing w:after="40"/>
            </w:pPr>
            <w:r/>
            <w:r>
              <w:rPr>
                <w:sz w:val="19"/>
              </w:rPr>
              <w:t>avcodec-61 / avformat-61</w:t>
            </w:r>
          </w:p>
        </w:tc>
        <w:tc>
          <w:tcPr>
            <w:tcW w:type="dxa" w:w="1814"/>
          </w:tcPr>
          <w:p>
            <w:pPr>
              <w:spacing w:after="40"/>
            </w:pPr>
            <w:r/>
            <w:r>
              <w:rPr>
                <w:sz w:val="19"/>
              </w:rPr>
              <w:t>16,7 MB</w:t>
            </w:r>
          </w:p>
        </w:tc>
        <w:tc>
          <w:tcPr>
            <w:tcW w:type="dxa" w:w="3402"/>
          </w:tcPr>
          <w:p>
            <w:pPr>
              <w:spacing w:after="40"/>
            </w:pPr>
            <w:r/>
            <w:r>
              <w:rPr>
                <w:sz w:val="19"/>
              </w:rPr>
              <w:t>Không — không phát video</w:t>
            </w:r>
          </w:p>
        </w:tc>
      </w:tr>
      <w:tr>
        <w:tc>
          <w:tcPr>
            <w:tcW w:type="dxa" w:w="3969"/>
          </w:tcPr>
          <w:p>
            <w:pPr>
              <w:spacing w:after="40"/>
            </w:pPr>
            <w:r/>
            <w:r>
              <w:rPr>
                <w:sz w:val="19"/>
              </w:rPr>
              <w:t>PIL/_avif</w:t>
            </w:r>
          </w:p>
        </w:tc>
        <w:tc>
          <w:tcPr>
            <w:tcW w:type="dxa" w:w="1814"/>
          </w:tcPr>
          <w:p>
            <w:pPr>
              <w:spacing w:after="40"/>
            </w:pPr>
            <w:r/>
            <w:r>
              <w:rPr>
                <w:sz w:val="19"/>
              </w:rPr>
              <w:t>7,8 MB</w:t>
            </w:r>
          </w:p>
        </w:tc>
        <w:tc>
          <w:tcPr>
            <w:tcW w:type="dxa" w:w="3402"/>
          </w:tcPr>
          <w:p>
            <w:pPr>
              <w:spacing w:after="40"/>
            </w:pPr>
            <w:r/>
            <w:r>
              <w:rPr>
                <w:sz w:val="19"/>
              </w:rPr>
              <w:t>Không — ảnh chụp là PNG</w:t>
            </w:r>
          </w:p>
        </w:tc>
      </w:tr>
      <w:tr>
        <w:tc>
          <w:tcPr>
            <w:tcW w:type="dxa" w:w="3969"/>
          </w:tcPr>
          <w:p>
            <w:pPr>
              <w:spacing w:after="40"/>
            </w:pPr>
            <w:r/>
            <w:r>
              <w:rPr>
                <w:sz w:val="19"/>
              </w:rPr>
              <w:t>Qt6Pdf, Qt63D, Quick3D</w:t>
            </w:r>
          </w:p>
        </w:tc>
        <w:tc>
          <w:tcPr>
            <w:tcW w:type="dxa" w:w="1814"/>
          </w:tcPr>
          <w:p>
            <w:pPr>
              <w:spacing w:after="40"/>
            </w:pPr>
            <w:r/>
            <w:r>
              <w:rPr>
                <w:sz w:val="19"/>
              </w:rPr>
              <w:t>~15 MB</w:t>
            </w:r>
          </w:p>
        </w:tc>
        <w:tc>
          <w:tcPr>
            <w:tcW w:type="dxa" w:w="3402"/>
          </w:tcPr>
          <w:p>
            <w:pPr>
              <w:spacing w:after="40"/>
            </w:pPr>
            <w:r/>
            <w:r>
              <w:rPr>
                <w:sz w:val="19"/>
              </w:rPr>
              <w:t>Không</w:t>
            </w:r>
          </w:p>
        </w:tc>
      </w:tr>
      <w:tr>
        <w:tc>
          <w:tcPr>
            <w:tcW w:type="dxa" w:w="3969"/>
          </w:tcPr>
          <w:p>
            <w:pPr>
              <w:spacing w:after="40"/>
            </w:pPr>
            <w:r/>
            <w:r>
              <w:rPr>
                <w:sz w:val="19"/>
              </w:rPr>
              <w:t>Charts, DataVisualization, Graphs</w:t>
            </w:r>
          </w:p>
        </w:tc>
        <w:tc>
          <w:tcPr>
            <w:tcW w:type="dxa" w:w="1814"/>
          </w:tcPr>
          <w:p>
            <w:pPr>
              <w:spacing w:after="40"/>
            </w:pPr>
            <w:r/>
            <w:r>
              <w:rPr>
                <w:sz w:val="19"/>
              </w:rPr>
              <w:t>~5,5 MB</w:t>
            </w:r>
          </w:p>
        </w:tc>
        <w:tc>
          <w:tcPr>
            <w:tcW w:type="dxa" w:w="3402"/>
          </w:tcPr>
          <w:p>
            <w:pPr>
              <w:spacing w:after="40"/>
            </w:pPr>
            <w:r/>
            <w:r>
              <w:rPr>
                <w:sz w:val="19"/>
              </w:rPr>
              <w:t>Không</w:t>
            </w:r>
          </w:p>
        </w:tc>
      </w:tr>
      <w:tr>
        <w:tc>
          <w:tcPr>
            <w:tcW w:type="dxa" w:w="3969"/>
          </w:tcPr>
          <w:p>
            <w:pPr>
              <w:spacing w:after="40"/>
            </w:pPr>
            <w:r/>
            <w:r>
              <w:rPr>
                <w:sz w:val="19"/>
              </w:rPr>
              <w:t>4 bộ style QtQuick không dùng</w:t>
            </w:r>
          </w:p>
        </w:tc>
        <w:tc>
          <w:tcPr>
            <w:tcW w:type="dxa" w:w="1814"/>
          </w:tcPr>
          <w:p>
            <w:pPr>
              <w:spacing w:after="40"/>
            </w:pPr>
            <w:r/>
            <w:r>
              <w:rPr>
                <w:sz w:val="19"/>
              </w:rPr>
              <w:t>~10 MB</w:t>
            </w:r>
          </w:p>
        </w:tc>
        <w:tc>
          <w:tcPr>
            <w:tcW w:type="dxa" w:w="3402"/>
          </w:tcPr>
          <w:p>
            <w:pPr>
              <w:spacing w:after="40"/>
            </w:pPr>
            <w:r/>
            <w:r>
              <w:rPr>
                <w:sz w:val="19"/>
              </w:rPr>
              <w:t>Không — app ép style Basic</w:t>
            </w:r>
          </w:p>
        </w:tc>
      </w:tr>
    </w:tbl>
    <w:p>
      <w:pPr>
        <w:spacing w:after="40"/>
      </w:pPr>
    </w:p>
    <w:p>
      <w:r>
        <w:rPr>
          <w:b/>
          <w:i w:val="0"/>
        </w:rPr>
        <w:t>Cách sửa: thêm danh sách excludes vào pycrow.spec. Ước tính payload còn 138 MB, tệp cài khoảng 50–60 MB.</w:t>
      </w:r>
    </w:p>
    <w:p>
      <w:r>
        <w:rPr>
          <w:b w:val="0"/>
          <w:i w:val="0"/>
        </w:rPr>
        <w:t>Đây cũng là vấn đề tốc độ, không chỉ dung lượng: bản onefile giải nén toàn bộ payload ra thư mục tạm mỗi lần chạy. Với một tiện ích thanh tác vụ được kỳ vọng bật lên tức thì, chi phí này rất đắt. Nên cân nhắc chuyển sang onedir.</w:t>
      </w:r>
    </w:p>
    <w:p>
      <w:pPr>
        <w:pStyle w:val="Heading2"/>
      </w:pPr>
      <w:r>
        <w:rPr>
          <w:b w:val="0"/>
          <w:i w:val="0"/>
        </w:rPr>
        <w:t>3.2. Giấy phép và tuân thủ</w:t>
      </w:r>
    </w:p>
    <w:p>
      <w:pPr>
        <w:pStyle w:val="ListBullet"/>
        <w:spacing w:after="60"/>
        <w:ind w:left="340"/>
      </w:pPr>
      <w:r>
        <w:rPr>
          <w:b/>
        </w:rPr>
        <w:t xml:space="preserve">Thiếu tệp giấy phép — </w:t>
      </w:r>
      <w:r>
        <w:t>Nhánh dev/python không có LICENSE hay COPYING, dù README khai GPL-3.0-or-later và nhánh dev/c++ có sẵn tệp COPYING. GPL bắt buộc kèm toàn văn giấy phép khi phân phối. Cần bổ sung ngay.</w:t>
      </w:r>
    </w:p>
    <w:p>
      <w:pPr>
        <w:pStyle w:val="ListBullet"/>
        <w:spacing w:after="60"/>
        <w:ind w:left="340"/>
      </w:pPr>
      <w:r>
        <w:rPr>
          <w:b/>
        </w:rPr>
        <w:t xml:space="preserve">Chưa ghi nhận tác giả gốc — </w:t>
      </w:r>
      <w:r>
        <w:t>Dự án là bản viết lại của Crow Translate. Cần nêu rõ nguồn gốc và quyền tác giả ban đầu.</w:t>
      </w:r>
    </w:p>
    <w:p>
      <w:pPr>
        <w:pStyle w:val="Heading2"/>
      </w:pPr>
      <w:r>
        <w:rPr>
          <w:b w:val="0"/>
          <w:i w:val="0"/>
        </w:rPr>
        <w:t>3.3. Khoảng trống về quy trình</w:t>
      </w:r>
    </w:p>
    <w:p>
      <w:pPr>
        <w:pStyle w:val="ListBullet"/>
        <w:spacing w:after="60"/>
        <w:ind w:left="340"/>
      </w:pPr>
      <w:r>
        <w:rPr>
          <w:b/>
        </w:rPr>
        <w:t xml:space="preserve">Không có CI — </w:t>
      </w:r>
      <w:r>
        <w:t>Không có thư mục .github. Bộ test đỏ lọt lên HEAD chính là hệ quả trực tiếp.</w:t>
      </w:r>
    </w:p>
    <w:p>
      <w:pPr>
        <w:pStyle w:val="ListBullet"/>
        <w:spacing w:after="60"/>
        <w:ind w:left="340"/>
      </w:pPr>
      <w:r>
        <w:rPr>
          <w:b/>
        </w:rPr>
        <w:t xml:space="preserve">Không có cấu hình lint — </w:t>
      </w:r>
      <w:r>
        <w:t>Mã có chú thích # noqa ngụ ý dùng ruff, nhưng pyproject.toml không khai báo ruff, mypy hay flake8.</w:t>
      </w:r>
    </w:p>
    <w:p>
      <w:pPr>
        <w:pStyle w:val="ListBullet"/>
        <w:spacing w:after="60"/>
        <w:ind w:left="340"/>
      </w:pPr>
      <w:r>
        <w:rPr>
          <w:b/>
        </w:rPr>
        <w:t xml:space="preserve">Không có cơ chế cập nhật — </w:t>
      </w:r>
      <w:r>
        <w:t>Không có auto-update. Với phần mềm bán ra, vá lỗi bảo mật sẽ không tới được người dùng.</w:t>
      </w:r>
    </w:p>
    <w:p>
      <w:pPr>
        <w:pStyle w:val="ListBullet"/>
        <w:spacing w:after="60"/>
        <w:ind w:left="340"/>
      </w:pPr>
      <w:r>
        <w:rPr>
          <w:b/>
        </w:rPr>
        <w:t xml:space="preserve">Không có báo lỗi từ xa — </w:t>
      </w:r>
      <w:r>
        <w:t>Kết hợp với console = False, lỗi ngoài thực địa là hoàn toàn vô hình.</w:t>
      </w:r>
    </w:p>
    <w:p>
      <w:pPr>
        <w:pStyle w:val="ListBullet"/>
        <w:spacing w:after="60"/>
        <w:ind w:left="340"/>
      </w:pPr>
      <w:r>
        <w:rPr>
          <w:b/>
        </w:rPr>
        <w:t xml:space="preserve">Tệp rác trong repo — </w:t>
      </w:r>
      <w:r>
        <w:t>data/test.png (887 KB) và một tệp PNG đặt tên theo GUID đang được git theo dõi.</w:t>
      </w:r>
    </w:p>
    <w:p>
      <w:pPr>
        <w:pStyle w:val="Heading2"/>
      </w:pPr>
      <w:r>
        <w:rPr>
          <w:b w:val="0"/>
          <w:i w:val="0"/>
        </w:rPr>
        <w:t>3.4. Cài đặt tồn tại nhưng không truy cập được từ giao diện</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D897E"/>
          </w:tcPr>
          <w:p>
            <w:r/>
            <w:r>
              <w:rPr>
                <w:b/>
                <w:color w:val="FFFFFF"/>
                <w:sz w:val="19"/>
              </w:rPr>
              <w:t>Cài đặt</w:t>
            </w:r>
          </w:p>
        </w:tc>
        <w:tc>
          <w:tcPr>
            <w:tcW w:type="dxa" w:w="2551"/>
            <w:shd w:val="clear" w:fill="0D897E"/>
          </w:tcPr>
          <w:p>
            <w:r/>
            <w:r>
              <w:rPr>
                <w:b/>
                <w:color w:val="FFFFFF"/>
                <w:sz w:val="19"/>
              </w:rPr>
              <w:t>Tình trạng</w:t>
            </w:r>
          </w:p>
        </w:tc>
        <w:tc>
          <w:tcPr>
            <w:tcW w:type="dxa" w:w="4252"/>
            <w:shd w:val="clear" w:fill="0D897E"/>
          </w:tcPr>
          <w:p>
            <w:r/>
            <w:r>
              <w:rPr>
                <w:b/>
                <w:color w:val="FFFFFF"/>
                <w:sz w:val="19"/>
              </w:rPr>
              <w:t>Hệ quả</w:t>
            </w:r>
          </w:p>
        </w:tc>
      </w:tr>
      <w:tr>
        <w:tc>
          <w:tcPr>
            <w:tcW w:type="dxa" w:w="2381"/>
          </w:tcPr>
          <w:p>
            <w:pPr>
              <w:spacing w:after="40"/>
            </w:pPr>
            <w:r/>
            <w:r>
              <w:rPr>
                <w:sz w:val="19"/>
              </w:rPr>
              <w:t>tesseract_command</w:t>
            </w:r>
          </w:p>
        </w:tc>
        <w:tc>
          <w:tcPr>
            <w:tcW w:type="dxa" w:w="2551"/>
          </w:tcPr>
          <w:p>
            <w:pPr>
              <w:spacing w:after="40"/>
            </w:pPr>
            <w:r/>
            <w:r>
              <w:rPr>
                <w:sz w:val="19"/>
              </w:rPr>
              <w:t>Không có ô nhập trong Settings</w:t>
            </w:r>
          </w:p>
        </w:tc>
        <w:tc>
          <w:tcPr>
            <w:tcW w:type="dxa" w:w="4252"/>
          </w:tcPr>
          <w:p>
            <w:pPr>
              <w:spacing w:after="40"/>
            </w:pPr>
            <w:r/>
            <w:r>
              <w:rPr>
                <w:sz w:val="19"/>
              </w:rPr>
              <w:t>Nghiêm trọng — tài liệu đóng gói hướng dẫn người dùng đặt đường dẫn Tesseract “trong cài đặt”, nhưng chỗ đó không tồn tại. Tesseract lại là engine mặc định.</w:t>
            </w:r>
          </w:p>
        </w:tc>
      </w:tr>
      <w:tr>
        <w:tc>
          <w:tcPr>
            <w:tcW w:type="dxa" w:w="2381"/>
          </w:tcPr>
          <w:p>
            <w:pPr>
              <w:spacing w:after="40"/>
            </w:pPr>
            <w:r/>
            <w:r>
              <w:rPr>
                <w:sz w:val="19"/>
              </w:rPr>
              <w:t>clipboard_hotkey</w:t>
            </w:r>
          </w:p>
        </w:tc>
        <w:tc>
          <w:tcPr>
            <w:tcW w:type="dxa" w:w="2551"/>
          </w:tcPr>
          <w:p>
            <w:pPr>
              <w:spacing w:after="40"/>
            </w:pPr>
            <w:r/>
            <w:r>
              <w:rPr>
                <w:sz w:val="19"/>
              </w:rPr>
              <w:t>Không sửa được</w:t>
            </w:r>
          </w:p>
        </w:tc>
        <w:tc>
          <w:tcPr>
            <w:tcW w:type="dxa" w:w="4252"/>
          </w:tcPr>
          <w:p>
            <w:pPr>
              <w:spacing w:after="40"/>
            </w:pPr>
            <w:r/>
            <w:r>
              <w:rPr>
                <w:sz w:val="19"/>
              </w:rPr>
              <w:t>README khẳng định phím tắt này cấu hình được</w:t>
            </w:r>
          </w:p>
        </w:tc>
      </w:tr>
      <w:tr>
        <w:tc>
          <w:tcPr>
            <w:tcW w:type="dxa" w:w="2381"/>
          </w:tcPr>
          <w:p>
            <w:pPr>
              <w:spacing w:after="40"/>
            </w:pPr>
            <w:r/>
            <w:r>
              <w:rPr>
                <w:sz w:val="19"/>
              </w:rPr>
              <w:t>history_limit</w:t>
            </w:r>
          </w:p>
        </w:tc>
        <w:tc>
          <w:tcPr>
            <w:tcW w:type="dxa" w:w="2551"/>
          </w:tcPr>
          <w:p>
            <w:pPr>
              <w:spacing w:after="40"/>
            </w:pPr>
            <w:r/>
            <w:r>
              <w:rPr>
                <w:sz w:val="19"/>
              </w:rPr>
              <w:t>Không sửa được</w:t>
            </w:r>
          </w:p>
        </w:tc>
        <w:tc>
          <w:tcPr>
            <w:tcW w:type="dxa" w:w="4252"/>
          </w:tcPr>
          <w:p>
            <w:pPr>
              <w:spacing w:after="40"/>
            </w:pPr>
            <w:r/>
            <w:r>
              <w:rPr>
                <w:sz w:val="19"/>
              </w:rPr>
              <w:t>Luôn cố định 100 mục</w:t>
            </w:r>
          </w:p>
        </w:tc>
      </w:tr>
      <w:tr>
        <w:tc>
          <w:tcPr>
            <w:tcW w:type="dxa" w:w="2381"/>
          </w:tcPr>
          <w:p>
            <w:pPr>
              <w:spacing w:after="40"/>
            </w:pPr>
            <w:r/>
            <w:r>
              <w:rPr>
                <w:sz w:val="19"/>
              </w:rPr>
              <w:t>ocr_image_format, ocr_jpeg_quality</w:t>
            </w:r>
          </w:p>
        </w:tc>
        <w:tc>
          <w:tcPr>
            <w:tcW w:type="dxa" w:w="2551"/>
          </w:tcPr>
          <w:p>
            <w:pPr>
              <w:spacing w:after="40"/>
            </w:pPr>
            <w:r/>
            <w:r>
              <w:rPr>
                <w:sz w:val="19"/>
              </w:rPr>
              <w:t>Không sửa được</w:t>
            </w:r>
          </w:p>
        </w:tc>
        <w:tc>
          <w:tcPr>
            <w:tcW w:type="dxa" w:w="4252"/>
          </w:tcPr>
          <w:p>
            <w:pPr>
              <w:spacing w:after="40"/>
            </w:pPr>
            <w:r/>
            <w:r>
              <w:rPr>
                <w:sz w:val="19"/>
              </w:rPr>
              <w:t>Tuỳ chọn JPEG để tiết kiệm chi phí token không dùng tới được</w:t>
            </w:r>
          </w:p>
        </w:tc>
      </w:tr>
    </w:tbl>
    <w:p>
      <w:pPr>
        <w:spacing w:after="40"/>
      </w:pPr>
    </w:p>
    <w:p>
      <w:pPr>
        <w:pStyle w:val="Heading2"/>
      </w:pPr>
      <w:r>
        <w:rPr>
          <w:b w:val="0"/>
          <w:i w:val="0"/>
        </w:rPr>
        <w:t>3.5. Mã chết tạo cảm giác an toàn giả</w:t>
      </w:r>
    </w:p>
    <w:p>
      <w:pPr>
        <w:spacing w:after="80"/>
      </w:pPr>
      <w:r>
        <w:rPr>
          <w:b w:val="0"/>
          <w:i w:val="0"/>
        </w:rPr>
        <w:t>Hai tiện ích liên quan tới bảo mật có kiểm thử đầy đủ nhưng không được gọi ở bất kỳ đâu trong mã chạy thật:</w:t>
      </w:r>
    </w:p>
    <w:p>
      <w:pPr>
        <w:pStyle w:val="ListBullet"/>
        <w:spacing w:after="60"/>
        <w:ind w:left="340"/>
      </w:pPr>
      <w:r>
        <w:rPr>
          <w:b/>
        </w:rPr>
        <w:t xml:space="preserve">config.redact() — </w:t>
      </w:r>
      <w:r>
        <w:t>che khoá bí mật trong log, nhưng dự án không có hệ thống log nào; mọi thứ ghi thẳng ra sys.stderr.</w:t>
      </w:r>
    </w:p>
    <w:p>
      <w:pPr>
        <w:pStyle w:val="ListBullet"/>
        <w:spacing w:after="60"/>
        <w:ind w:left="340"/>
      </w:pPr>
      <w:r>
        <w:rPr>
          <w:b/>
        </w:rPr>
        <w:t xml:space="preserve">DesktopServices.credential_file_is_private() — </w:t>
      </w:r>
      <w:r>
        <w:t>kiểm tra quyền tệp, chỉ được gọi từ test. Trên Windows hàm này luôn trả về True.</w:t>
      </w:r>
    </w:p>
    <w:p>
      <w:r>
        <w:rPr>
          <w:b/>
          <w:i w:val="0"/>
        </w:rPr>
        <w:t>Bộ test xanh ở hai hàm này khiến người đọc tưởng ứng dụng có che dữ liệu nhạy cảm và kiểm tra quyền tệp. Thực tế là không.</w:t>
      </w:r>
    </w:p>
    <w:p>
      <w:pPr>
        <w:pStyle w:val="Heading2"/>
      </w:pPr>
      <w:r>
        <w:rPr>
          <w:b w:val="0"/>
          <w:i w:val="0"/>
        </w:rPr>
        <w:t>3.6. Thiếu đa ngữ cho chính giao diện</w:t>
      </w:r>
    </w:p>
    <w:p>
      <w:r>
        <w:rPr>
          <w:b w:val="0"/>
          <w:i w:val="0"/>
        </w:rPr>
        <w:t>Không có qsTr() hay QTranslator ở bất kỳ đâu. Giao diện của một ứng dụng dịch thuật lại chỉ có tiếng Anh cứng trong mã. Bản C++ gốc dùng Crowdin để dịch giao diện; bản Python đã đánh mất điều đó. Với thị trường Việt Nam mà dự án nhắm tới (ngôn ngữ đích mặc định là tiếng Việt), đây là rào cản trực tiếp.</w:t>
      </w:r>
    </w:p>
    <w:p>
      <w:pPr>
        <w:pStyle w:val="Heading2"/>
      </w:pPr>
      <w:r>
        <w:rPr>
          <w:b w:val="0"/>
          <w:i w:val="0"/>
        </w:rPr>
        <w:t>3.7. Phạm vi ngôn ngữ quá hẹp</w:t>
      </w:r>
    </w:p>
    <w:p>
      <w:r>
        <w:rPr>
          <w:b w:val="0"/>
          <w:i w:val="0"/>
        </w:rPr>
        <w:t>Danh sách ngôn ngữ được viết cứng trong core/languages.py với 20 ngôn ngữ, trong khi Google Cloud Translation hỗ trợ hơn 100. GoogleV2Provider.supported_languages() trả về danh sách rỗng — API lấy danh sách ngôn ngữ đã có sẵn nhưng chưa được gọi.</w:t>
      </w:r>
    </w:p>
    <w:p>
      <w:pPr>
        <w:pStyle w:val="Heading1"/>
      </w:pPr>
      <w:r>
        <w:rPr>
          <w:b w:val="0"/>
          <w:i w:val="0"/>
        </w:rPr>
        <w:t>4. Cơ hội ứng dụng thương mại</w:t>
      </w:r>
    </w:p>
    <w:p>
      <w:pPr>
        <w:pStyle w:val="Heading2"/>
      </w:pPr>
      <w:r>
        <w:rPr>
          <w:b w:val="0"/>
          <w:i w:val="0"/>
        </w:rPr>
        <w:t>4.1. Bối cảnh cạnh tranh</w:t>
      </w:r>
    </w:p>
    <w:p>
      <w:pPr>
        <w:spacing w:after="120"/>
      </w:pPr>
      <w:r>
        <w:rPr>
          <w:b w:val="0"/>
          <w:i w:val="0"/>
        </w:rPr>
        <w:t>Đây là thị trường đông đúc và phần lớn miễn phí. Bán một công cụ dịch màn hình đa dụng để cạnh tranh trực diện là con đường rất khó.</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fill="0D897E"/>
          </w:tcPr>
          <w:p>
            <w:r/>
            <w:r>
              <w:rPr>
                <w:b/>
                <w:color w:val="FFFFFF"/>
                <w:sz w:val="19"/>
              </w:rPr>
              <w:t>Đối thủ</w:t>
            </w:r>
          </w:p>
        </w:tc>
        <w:tc>
          <w:tcPr>
            <w:tcW w:type="dxa" w:w="1587"/>
            <w:shd w:val="clear" w:fill="0D897E"/>
          </w:tcPr>
          <w:p>
            <w:r/>
            <w:r>
              <w:rPr>
                <w:b/>
                <w:color w:val="FFFFFF"/>
                <w:sz w:val="19"/>
              </w:rPr>
              <w:t>Nền tảng</w:t>
            </w:r>
          </w:p>
        </w:tc>
        <w:tc>
          <w:tcPr>
            <w:tcW w:type="dxa" w:w="2381"/>
            <w:shd w:val="clear" w:fill="0D897E"/>
          </w:tcPr>
          <w:p>
            <w:r/>
            <w:r>
              <w:rPr>
                <w:b/>
                <w:color w:val="FFFFFF"/>
                <w:sz w:val="19"/>
              </w:rPr>
              <w:t>Mô hình giá</w:t>
            </w:r>
          </w:p>
        </w:tc>
        <w:tc>
          <w:tcPr>
            <w:tcW w:type="dxa" w:w="2948"/>
            <w:shd w:val="clear" w:fill="0D897E"/>
          </w:tcPr>
          <w:p>
            <w:r/>
            <w:r>
              <w:rPr>
                <w:b/>
                <w:color w:val="FFFFFF"/>
                <w:sz w:val="19"/>
              </w:rPr>
              <w:t>Thế mạnh</w:t>
            </w:r>
          </w:p>
        </w:tc>
      </w:tr>
      <w:tr>
        <w:tc>
          <w:tcPr>
            <w:tcW w:type="dxa" w:w="2268"/>
          </w:tcPr>
          <w:p>
            <w:pPr>
              <w:spacing w:after="40"/>
            </w:pPr>
            <w:r/>
            <w:r>
              <w:rPr>
                <w:sz w:val="19"/>
              </w:rPr>
              <w:t>Crow Translate (C++ gốc)</w:t>
            </w:r>
          </w:p>
        </w:tc>
        <w:tc>
          <w:tcPr>
            <w:tcW w:type="dxa" w:w="1587"/>
          </w:tcPr>
          <w:p>
            <w:pPr>
              <w:spacing w:after="40"/>
            </w:pPr>
            <w:r/>
            <w:r>
              <w:rPr>
                <w:sz w:val="19"/>
              </w:rPr>
              <w:t>Win/Linux</w:t>
            </w:r>
          </w:p>
        </w:tc>
        <w:tc>
          <w:tcPr>
            <w:tcW w:type="dxa" w:w="2381"/>
          </w:tcPr>
          <w:p>
            <w:pPr>
              <w:spacing w:after="40"/>
            </w:pPr>
            <w:r/>
            <w:r>
              <w:rPr>
                <w:sz w:val="19"/>
              </w:rPr>
              <w:t>Miễn phí, GPL</w:t>
            </w:r>
          </w:p>
        </w:tc>
        <w:tc>
          <w:tcPr>
            <w:tcW w:type="dxa" w:w="2948"/>
          </w:tcPr>
          <w:p>
            <w:pPr>
              <w:spacing w:after="40"/>
            </w:pPr>
            <w:r/>
            <w:r>
              <w:rPr>
                <w:sz w:val="19"/>
              </w:rPr>
              <w:t>Chính là dự án gốc</w:t>
            </w:r>
          </w:p>
        </w:tc>
      </w:tr>
      <w:tr>
        <w:tc>
          <w:tcPr>
            <w:tcW w:type="dxa" w:w="2268"/>
          </w:tcPr>
          <w:p>
            <w:pPr>
              <w:spacing w:after="40"/>
            </w:pPr>
            <w:r/>
            <w:r>
              <w:rPr>
                <w:sz w:val="19"/>
              </w:rPr>
              <w:t>Immersive Translate</w:t>
            </w:r>
          </w:p>
        </w:tc>
        <w:tc>
          <w:tcPr>
            <w:tcW w:type="dxa" w:w="1587"/>
          </w:tcPr>
          <w:p>
            <w:pPr>
              <w:spacing w:after="40"/>
            </w:pPr>
            <w:r/>
            <w:r>
              <w:rPr>
                <w:sz w:val="19"/>
              </w:rPr>
              <w:t>Extension</w:t>
            </w:r>
          </w:p>
        </w:tc>
        <w:tc>
          <w:tcPr>
            <w:tcW w:type="dxa" w:w="2381"/>
          </w:tcPr>
          <w:p>
            <w:pPr>
              <w:spacing w:after="40"/>
            </w:pPr>
            <w:r/>
            <w:r>
              <w:rPr>
                <w:sz w:val="19"/>
              </w:rPr>
              <w:t>~8,33–9,99 USD/tháng</w:t>
            </w:r>
          </w:p>
        </w:tc>
        <w:tc>
          <w:tcPr>
            <w:tcW w:type="dxa" w:w="2948"/>
          </w:tcPr>
          <w:p>
            <w:pPr>
              <w:spacing w:after="40"/>
            </w:pPr>
            <w:r/>
            <w:r>
              <w:rPr>
                <w:sz w:val="19"/>
              </w:rPr>
              <w:t>Dịch web song ngữ, PDF, EPUB, phụ đề</w:t>
            </w:r>
          </w:p>
        </w:tc>
      </w:tr>
      <w:tr>
        <w:tc>
          <w:tcPr>
            <w:tcW w:type="dxa" w:w="2268"/>
          </w:tcPr>
          <w:p>
            <w:pPr>
              <w:spacing w:after="40"/>
            </w:pPr>
            <w:r/>
            <w:r>
              <w:rPr>
                <w:sz w:val="19"/>
              </w:rPr>
              <w:t>Thaluna</w:t>
            </w:r>
          </w:p>
        </w:tc>
        <w:tc>
          <w:tcPr>
            <w:tcW w:type="dxa" w:w="1587"/>
          </w:tcPr>
          <w:p>
            <w:pPr>
              <w:spacing w:after="40"/>
            </w:pPr>
            <w:r/>
            <w:r>
              <w:rPr>
                <w:sz w:val="19"/>
              </w:rPr>
              <w:t>Desktop</w:t>
            </w:r>
          </w:p>
        </w:tc>
        <w:tc>
          <w:tcPr>
            <w:tcW w:type="dxa" w:w="2381"/>
          </w:tcPr>
          <w:p>
            <w:pPr>
              <w:spacing w:after="40"/>
            </w:pPr>
            <w:r/>
            <w:r>
              <w:rPr>
                <w:sz w:val="19"/>
              </w:rPr>
              <w:t>Freemium</w:t>
            </w:r>
          </w:p>
        </w:tc>
        <w:tc>
          <w:tcPr>
            <w:tcW w:type="dxa" w:w="2948"/>
          </w:tcPr>
          <w:p>
            <w:pPr>
              <w:spacing w:after="40"/>
            </w:pPr>
            <w:r/>
            <w:r>
              <w:rPr>
                <w:sz w:val="19"/>
              </w:rPr>
              <w:t>Chuyên visual novel, manga, phụ đề anime</w:t>
            </w:r>
          </w:p>
        </w:tc>
      </w:tr>
      <w:tr>
        <w:tc>
          <w:tcPr>
            <w:tcW w:type="dxa" w:w="2268"/>
          </w:tcPr>
          <w:p>
            <w:pPr>
              <w:spacing w:after="40"/>
            </w:pPr>
            <w:r/>
            <w:r>
              <w:rPr>
                <w:sz w:val="19"/>
              </w:rPr>
              <w:t>RSTGameTranslation</w:t>
            </w:r>
          </w:p>
        </w:tc>
        <w:tc>
          <w:tcPr>
            <w:tcW w:type="dxa" w:w="1587"/>
          </w:tcPr>
          <w:p>
            <w:pPr>
              <w:spacing w:after="40"/>
            </w:pPr>
            <w:r/>
            <w:r>
              <w:rPr>
                <w:sz w:val="19"/>
              </w:rPr>
              <w:t>Windows</w:t>
            </w:r>
          </w:p>
        </w:tc>
        <w:tc>
          <w:tcPr>
            <w:tcW w:type="dxa" w:w="2381"/>
          </w:tcPr>
          <w:p>
            <w:pPr>
              <w:spacing w:after="40"/>
            </w:pPr>
            <w:r/>
            <w:r>
              <w:rPr>
                <w:sz w:val="19"/>
              </w:rPr>
              <w:t>Miễn phí, mã nguồn mở</w:t>
            </w:r>
          </w:p>
        </w:tc>
        <w:tc>
          <w:tcPr>
            <w:tcW w:type="dxa" w:w="2948"/>
          </w:tcPr>
          <w:p>
            <w:pPr>
              <w:spacing w:after="40"/>
            </w:pPr>
            <w:r/>
            <w:r>
              <w:rPr>
                <w:sz w:val="19"/>
              </w:rPr>
              <w:t>Dịch game thời gian thực</w:t>
            </w:r>
          </w:p>
        </w:tc>
      </w:tr>
      <w:tr>
        <w:tc>
          <w:tcPr>
            <w:tcW w:type="dxa" w:w="2268"/>
          </w:tcPr>
          <w:p>
            <w:pPr>
              <w:spacing w:after="40"/>
            </w:pPr>
            <w:r/>
            <w:r>
              <w:rPr>
                <w:sz w:val="19"/>
              </w:rPr>
              <w:t>OCR-Translator</w:t>
            </w:r>
          </w:p>
        </w:tc>
        <w:tc>
          <w:tcPr>
            <w:tcW w:type="dxa" w:w="1587"/>
          </w:tcPr>
          <w:p>
            <w:pPr>
              <w:spacing w:after="40"/>
            </w:pPr>
            <w:r/>
            <w:r>
              <w:rPr>
                <w:sz w:val="19"/>
              </w:rPr>
              <w:t>Windows</w:t>
            </w:r>
          </w:p>
        </w:tc>
        <w:tc>
          <w:tcPr>
            <w:tcW w:type="dxa" w:w="2381"/>
          </w:tcPr>
          <w:p>
            <w:pPr>
              <w:spacing w:after="40"/>
            </w:pPr>
            <w:r/>
            <w:r>
              <w:rPr>
                <w:sz w:val="19"/>
              </w:rPr>
              <w:t>Miễn phí, mã nguồn mở</w:t>
            </w:r>
          </w:p>
        </w:tc>
        <w:tc>
          <w:tcPr>
            <w:tcW w:type="dxa" w:w="2948"/>
          </w:tcPr>
          <w:p>
            <w:pPr>
              <w:spacing w:after="40"/>
            </w:pPr>
            <w:r/>
            <w:r>
              <w:rPr>
                <w:sz w:val="19"/>
              </w:rPr>
              <w:t>Phụ đề game, có model offline</w:t>
            </w:r>
          </w:p>
        </w:tc>
      </w:tr>
      <w:tr>
        <w:tc>
          <w:tcPr>
            <w:tcW w:type="dxa" w:w="2268"/>
          </w:tcPr>
          <w:p>
            <w:pPr>
              <w:spacing w:after="40"/>
            </w:pPr>
            <w:r/>
            <w:r>
              <w:rPr>
                <w:sz w:val="19"/>
              </w:rPr>
              <w:t>Madomi</w:t>
            </w:r>
          </w:p>
        </w:tc>
        <w:tc>
          <w:tcPr>
            <w:tcW w:type="dxa" w:w="1587"/>
          </w:tcPr>
          <w:p>
            <w:pPr>
              <w:spacing w:after="40"/>
            </w:pPr>
            <w:r/>
            <w:r>
              <w:rPr>
                <w:sz w:val="19"/>
              </w:rPr>
              <w:t>Extension</w:t>
            </w:r>
          </w:p>
        </w:tc>
        <w:tc>
          <w:tcPr>
            <w:tcW w:type="dxa" w:w="2381"/>
          </w:tcPr>
          <w:p>
            <w:pPr>
              <w:spacing w:after="40"/>
            </w:pPr>
            <w:r/>
            <w:r>
              <w:rPr>
                <w:sz w:val="19"/>
              </w:rPr>
              <w:t>Freemium</w:t>
            </w:r>
          </w:p>
        </w:tc>
        <w:tc>
          <w:tcPr>
            <w:tcW w:type="dxa" w:w="2948"/>
          </w:tcPr>
          <w:p>
            <w:pPr>
              <w:spacing w:after="40"/>
            </w:pPr>
            <w:r/>
            <w:r>
              <w:rPr>
                <w:sz w:val="19"/>
              </w:rPr>
              <w:t>OCR huấn luyện riêng cho font manga</w:t>
            </w:r>
          </w:p>
        </w:tc>
      </w:tr>
      <w:tr>
        <w:tc>
          <w:tcPr>
            <w:tcW w:type="dxa" w:w="2268"/>
          </w:tcPr>
          <w:p>
            <w:pPr>
              <w:spacing w:after="40"/>
            </w:pPr>
            <w:r/>
            <w:r>
              <w:rPr>
                <w:sz w:val="19"/>
              </w:rPr>
              <w:t>PowerToys Text Extractor</w:t>
            </w:r>
          </w:p>
        </w:tc>
        <w:tc>
          <w:tcPr>
            <w:tcW w:type="dxa" w:w="1587"/>
          </w:tcPr>
          <w:p>
            <w:pPr>
              <w:spacing w:after="40"/>
            </w:pPr>
            <w:r/>
            <w:r>
              <w:rPr>
                <w:sz w:val="19"/>
              </w:rPr>
              <w:t>Windows</w:t>
            </w:r>
          </w:p>
        </w:tc>
        <w:tc>
          <w:tcPr>
            <w:tcW w:type="dxa" w:w="2381"/>
          </w:tcPr>
          <w:p>
            <w:pPr>
              <w:spacing w:after="40"/>
            </w:pPr>
            <w:r/>
            <w:r>
              <w:rPr>
                <w:sz w:val="19"/>
              </w:rPr>
              <w:t>Miễn phí, Microsoft</w:t>
            </w:r>
          </w:p>
        </w:tc>
        <w:tc>
          <w:tcPr>
            <w:tcW w:type="dxa" w:w="2948"/>
          </w:tcPr>
          <w:p>
            <w:pPr>
              <w:spacing w:after="40"/>
            </w:pPr>
            <w:r/>
            <w:r>
              <w:rPr>
                <w:sz w:val="19"/>
              </w:rPr>
              <w:t>Đã cài sẵn trên nhiều máy</w:t>
            </w:r>
          </w:p>
        </w:tc>
      </w:tr>
    </w:tbl>
    <w:p>
      <w:pPr>
        <w:spacing w:after="40"/>
      </w:pPr>
    </w:p>
    <w:p>
      <w:r>
        <w:rPr>
          <w:b/>
          <w:i w:val="0"/>
        </w:rPr>
        <w:t>Điểm cần lưu ý: PowerToys của Microsoft đã cung cấp miễn phí đúng thao tác “phím tắt → chọn vùng → lấy chữ”. Phần OCR đơn thuần không còn là lợi thế bán được.</w:t>
      </w:r>
    </w:p>
    <w:p>
      <w:pPr>
        <w:pStyle w:val="Heading2"/>
      </w:pPr>
      <w:r>
        <w:rPr>
          <w:b w:val="0"/>
          <w:i w:val="0"/>
        </w:rPr>
        <w:t>4.2. Rào cản “tự mang khoá API”</w:t>
      </w:r>
    </w:p>
    <w:p>
      <w:pPr>
        <w:spacing w:after="120"/>
      </w:pPr>
      <w:r>
        <w:rPr>
          <w:b w:val="0"/>
          <w:i w:val="0"/>
        </w:rPr>
        <w:t>Hiện tại người dùng phải tự tạo tài khoản Google Cloud, bật billing, tạo khoá API rồi dán vào ứng dụng. Với người dùng phổ thông, đây gần như là rào cản tuyệt đối — và nó đứng ngay trước giá trị đầu tiên mà sản phẩm mang lại.</w:t>
      </w:r>
    </w:p>
    <w:p>
      <w:pPr>
        <w:spacing w:after="80"/>
      </w:pPr>
      <w:r>
        <w:rPr>
          <w:b/>
          <w:i w:val="0"/>
        </w:rPr>
        <w:t>Giá vốn nếu chuyển sang mô hình dịch vụ có sẵn:</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fill="0D897E"/>
          </w:tcPr>
          <w:p>
            <w:r/>
            <w:r>
              <w:rPr>
                <w:b/>
                <w:color w:val="FFFFFF"/>
                <w:sz w:val="19"/>
              </w:rPr>
              <w:t>Nhà cung cấp</w:t>
            </w:r>
          </w:p>
        </w:tc>
        <w:tc>
          <w:tcPr>
            <w:tcW w:type="dxa" w:w="3118"/>
            <w:shd w:val="clear" w:fill="0D897E"/>
          </w:tcPr>
          <w:p>
            <w:r/>
            <w:r>
              <w:rPr>
                <w:b/>
                <w:color w:val="FFFFFF"/>
                <w:sz w:val="19"/>
              </w:rPr>
              <w:t>Giá mỗi triệu ký tự</w:t>
            </w:r>
          </w:p>
        </w:tc>
        <w:tc>
          <w:tcPr>
            <w:tcW w:type="dxa" w:w="3231"/>
            <w:shd w:val="clear" w:fill="0D897E"/>
          </w:tcPr>
          <w:p>
            <w:r/>
            <w:r>
              <w:rPr>
                <w:b/>
                <w:color w:val="FFFFFF"/>
                <w:sz w:val="19"/>
              </w:rPr>
              <w:t>Bậc miễn phí</w:t>
            </w:r>
          </w:p>
        </w:tc>
      </w:tr>
      <w:tr>
        <w:tc>
          <w:tcPr>
            <w:tcW w:type="dxa" w:w="2835"/>
          </w:tcPr>
          <w:p>
            <w:pPr>
              <w:spacing w:after="40"/>
            </w:pPr>
            <w:r/>
            <w:r>
              <w:rPr>
                <w:sz w:val="19"/>
              </w:rPr>
              <w:t>Azure Translator</w:t>
            </w:r>
          </w:p>
        </w:tc>
        <w:tc>
          <w:tcPr>
            <w:tcW w:type="dxa" w:w="3118"/>
          </w:tcPr>
          <w:p>
            <w:pPr>
              <w:spacing w:after="40"/>
            </w:pPr>
            <w:r/>
            <w:r>
              <w:rPr>
                <w:sz w:val="19"/>
              </w:rPr>
              <w:t>10 USD</w:t>
            </w:r>
          </w:p>
        </w:tc>
        <w:tc>
          <w:tcPr>
            <w:tcW w:type="dxa" w:w="3231"/>
          </w:tcPr>
          <w:p>
            <w:pPr>
              <w:spacing w:after="40"/>
            </w:pPr>
            <w:r/>
            <w:r>
              <w:rPr>
                <w:sz w:val="19"/>
              </w:rPr>
              <w:t>2 triệu ký tự/tháng (năm đầu)</w:t>
            </w:r>
          </w:p>
        </w:tc>
      </w:tr>
      <w:tr>
        <w:tc>
          <w:tcPr>
            <w:tcW w:type="dxa" w:w="2835"/>
          </w:tcPr>
          <w:p>
            <w:pPr>
              <w:spacing w:after="40"/>
            </w:pPr>
            <w:r/>
            <w:r>
              <w:rPr>
                <w:sz w:val="19"/>
              </w:rPr>
              <w:t>Google Cloud Translation v2</w:t>
            </w:r>
          </w:p>
        </w:tc>
        <w:tc>
          <w:tcPr>
            <w:tcW w:type="dxa" w:w="3118"/>
          </w:tcPr>
          <w:p>
            <w:pPr>
              <w:spacing w:after="40"/>
            </w:pPr>
            <w:r/>
            <w:r>
              <w:rPr>
                <w:sz w:val="19"/>
              </w:rPr>
              <w:t>20 USD</w:t>
            </w:r>
          </w:p>
        </w:tc>
        <w:tc>
          <w:tcPr>
            <w:tcW w:type="dxa" w:w="3231"/>
          </w:tcPr>
          <w:p>
            <w:pPr>
              <w:spacing w:after="40"/>
            </w:pPr>
            <w:r/>
            <w:r>
              <w:rPr>
                <w:sz w:val="19"/>
              </w:rPr>
              <w:t>500 nghìn ký tự/tháng</w:t>
            </w:r>
          </w:p>
        </w:tc>
      </w:tr>
      <w:tr>
        <w:tc>
          <w:tcPr>
            <w:tcW w:type="dxa" w:w="2835"/>
          </w:tcPr>
          <w:p>
            <w:pPr>
              <w:spacing w:after="40"/>
            </w:pPr>
            <w:r/>
            <w:r>
              <w:rPr>
                <w:sz w:val="19"/>
              </w:rPr>
              <w:t>DeepL API Pro</w:t>
            </w:r>
          </w:p>
        </w:tc>
        <w:tc>
          <w:tcPr>
            <w:tcW w:type="dxa" w:w="3118"/>
          </w:tcPr>
          <w:p>
            <w:pPr>
              <w:spacing w:after="40"/>
            </w:pPr>
            <w:r/>
            <w:r>
              <w:rPr>
                <w:sz w:val="19"/>
              </w:rPr>
              <w:t>khoảng 5,49 USD (*)</w:t>
            </w:r>
          </w:p>
        </w:tc>
        <w:tc>
          <w:tcPr>
            <w:tcW w:type="dxa" w:w="3231"/>
          </w:tcPr>
          <w:p>
            <w:pPr>
              <w:spacing w:after="40"/>
            </w:pPr>
            <w:r/>
            <w:r>
              <w:rPr>
                <w:sz w:val="19"/>
              </w:rPr>
              <w:t>500 nghìn ký tự/tháng (bản Free)</w:t>
            </w:r>
          </w:p>
        </w:tc>
      </w:tr>
    </w:tbl>
    <w:p>
      <w:pPr>
        <w:spacing w:after="40"/>
      </w:pPr>
    </w:p>
    <w:p>
      <w:r>
        <w:rPr>
          <w:b w:val="0"/>
          <w:i/>
          <w:color w:val="637587"/>
          <w:sz w:val="19"/>
        </w:rPr>
        <w:t>(*) Các nguồn công bố không thống nhất về giá DeepL, có nơi ghi 5,49 USD/triệu ký tự, có nơi ghi 25 USD/triệu ký tự kèm phí thuê bao. Cần xác minh trực tiếp với DeepL trước khi đưa vào mô hình tài chính.</w:t>
      </w:r>
    </w:p>
    <w:p>
      <w:r>
        <w:rPr>
          <w:b/>
          <w:i w:val="0"/>
        </w:rPr>
        <w:t>Ý nghĩa cho bài toán giá: một người dùng cá nhân hiếm khi vượt vài trăm nghìn ký tự mỗi tháng. Ở mức 10–20 USD cho mỗi triệu ký tự, chi phí biến đổi cho mỗi người dùng chỉ vài xu. Một gói 3–5 USD/tháng đã dư biên lợi nhuận, và bỏ hẳn được rào cản khoá API.</w:t>
      </w:r>
    </w:p>
    <w:p>
      <w:pPr>
        <w:pStyle w:val="Heading2"/>
      </w:pPr>
      <w:r>
        <w:rPr>
          <w:b w:val="0"/>
          <w:i w:val="0"/>
        </w:rPr>
        <w:t>4.3. Phân khúc đáng nhắm</w:t>
      </w:r>
    </w:p>
    <w:p>
      <w:pPr>
        <w:spacing w:after="120"/>
      </w:pPr>
      <w:r>
        <w:rPr>
          <w:b w:val="0"/>
          <w:i w:val="0"/>
          <w:color w:val="637587"/>
        </w:rPr>
        <w:t>Xếp theo mức độ phù hợp với năng lực sẵn có của dự án:</w:t>
      </w:r>
    </w:p>
    <w:p>
      <w:pPr>
        <w:pStyle w:val="Heading3"/>
      </w:pPr>
      <w:r>
        <w:rPr>
          <w:b w:val="0"/>
          <w:i w:val="0"/>
        </w:rPr>
        <w:t>A. Thị trường Việt Nam và Đông Nam Á</w:t>
      </w:r>
    </w:p>
    <w:p>
      <w:r>
        <w:rPr>
          <w:b w:val="0"/>
          <w:i w:val="0"/>
        </w:rPr>
        <w:t>Đây là lợi thế thật và khó sao chép. Dự án đã mặc định tiếng Việt, Tesseract đã cấu hình eng+vie, và đội phát triển hiểu thị trường. Các công cụ quốc tế đều tối ưu cho cặp Anh–Trung–Nhật, chất lượng OCR tiếng Việt có dấu thường kém. Điều kiện bắt buộc: phải dịch giao diện sang tiếng Việt trước (xem mục 3.6).</w:t>
      </w:r>
    </w:p>
    <w:p>
      <w:pPr>
        <w:pStyle w:val="Heading3"/>
      </w:pPr>
      <w:r>
        <w:rPr>
          <w:b w:val="0"/>
          <w:i w:val="0"/>
        </w:rPr>
        <w:t>B. Người học tiếng Nhật, Trung, Hàn</w:t>
      </w:r>
    </w:p>
    <w:p>
      <w:r>
        <w:rPr>
          <w:b w:val="0"/>
          <w:i w:val="0"/>
        </w:rPr>
        <w:t>Nhóm này có thói quen trả tiền cho công cụ học. Điều họ cần không phải bản dịch, mà là tra từ theo ngữ cảnh, phiên âm, và lưu thẻ ghi nhớ. Dự án đã có TTS và lịch sử — hai mảnh ghép sẵn có. Cần thêm: tách từ, furigana/pinyin, xuất thẻ Anki.</w:t>
      </w:r>
    </w:p>
    <w:p>
      <w:pPr>
        <w:pStyle w:val="Heading3"/>
      </w:pPr>
      <w:r>
        <w:rPr>
          <w:b w:val="0"/>
          <w:i w:val="0"/>
        </w:rPr>
        <w:t>C. Lập trình viên đọc tài liệu và log lỗi tiếng nước ngoài</w:t>
      </w:r>
    </w:p>
    <w:p>
      <w:r>
        <w:rPr>
          <w:b w:val="0"/>
          <w:i w:val="0"/>
        </w:rPr>
        <w:t>Phân khúc gần với đội phát triển nhất, nhưng dữ liệu về nhu cầu chi trả còn mỏng. Giá trị nằm ở việc giữ nguyên khối mã, đường dẫn, tên hàm khi dịch — đúng điều Google Dịch làm hỏng. Dự án đã có CLI xuất JSON, rất hợp để tích hợp vào IDE.</w:t>
      </w:r>
    </w:p>
    <w:p>
      <w:pPr>
        <w:pStyle w:val="Heading3"/>
      </w:pPr>
      <w:r>
        <w:rPr>
          <w:b w:val="0"/>
          <w:i w:val="0"/>
        </w:rPr>
        <w:t>D. Doanh nghiệp và kiểm thử bản địa hoá</w:t>
      </w:r>
    </w:p>
    <w:p>
      <w:r>
        <w:rPr>
          <w:b w:val="0"/>
          <w:i w:val="0"/>
        </w:rPr>
        <w:t>Biên lợi nhuận cao nhất nhưng yêu cầu khắt khe nhất: bộ thuật ngữ, bộ nhớ dịch, nhật ký kiểm toán, triển khai nội bộ không gửi dữ liệu ra ngoài. Đây là hướng duy nhất biện minh được mức giá theo ghế ngồi. Cũng là hướng xa nhất so với hiện trạng.</w:t>
      </w:r>
    </w:p>
    <w:p>
      <w:pPr>
        <w:pStyle w:val="Heading2"/>
      </w:pPr>
      <w:r>
        <w:rPr>
          <w:b w:val="0"/>
          <w:i w:val="0"/>
        </w:rPr>
        <w:t>4.4. Tính năng tạo khác biệt</w:t>
      </w:r>
    </w:p>
    <w:p>
      <w:pPr>
        <w:spacing w:after="120"/>
      </w:pPr>
      <w:r>
        <w:rPr>
          <w:b w:val="0"/>
          <w:i w:val="0"/>
          <w:color w:val="637587"/>
        </w:rPr>
        <w:t>Xếp theo tỉ lệ giá trị trên công sức:</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fill="0D897E"/>
          </w:tcPr>
          <w:p>
            <w:r/>
            <w:r>
              <w:rPr>
                <w:b/>
                <w:color w:val="FFFFFF"/>
                <w:sz w:val="19"/>
              </w:rPr>
              <w:t>Tính năng</w:t>
            </w:r>
          </w:p>
        </w:tc>
        <w:tc>
          <w:tcPr>
            <w:tcW w:type="dxa" w:w="1361"/>
            <w:shd w:val="clear" w:fill="0D897E"/>
          </w:tcPr>
          <w:p>
            <w:r/>
            <w:r>
              <w:rPr>
                <w:b/>
                <w:color w:val="FFFFFF"/>
                <w:sz w:val="19"/>
              </w:rPr>
              <w:t>Công sức</w:t>
            </w:r>
          </w:p>
        </w:tc>
        <w:tc>
          <w:tcPr>
            <w:tcW w:type="dxa" w:w="5102"/>
            <w:shd w:val="clear" w:fill="0D897E"/>
          </w:tcPr>
          <w:p>
            <w:r/>
            <w:r>
              <w:rPr>
                <w:b/>
                <w:color w:val="FFFFFF"/>
                <w:sz w:val="19"/>
              </w:rPr>
              <w:t>Vì sao đáng làm</w:t>
            </w:r>
          </w:p>
        </w:tc>
      </w:tr>
      <w:tr>
        <w:tc>
          <w:tcPr>
            <w:tcW w:type="dxa" w:w="2608"/>
          </w:tcPr>
          <w:p>
            <w:pPr>
              <w:spacing w:after="40"/>
            </w:pPr>
            <w:r/>
            <w:r>
              <w:rPr>
                <w:sz w:val="19"/>
              </w:rPr>
              <w:t>Màn hình xem lại và sửa văn bản OCR</w:t>
            </w:r>
          </w:p>
        </w:tc>
        <w:tc>
          <w:tcPr>
            <w:tcW w:type="dxa" w:w="1361"/>
          </w:tcPr>
          <w:p>
            <w:pPr>
              <w:spacing w:after="40"/>
            </w:pPr>
            <w:r/>
            <w:r>
              <w:rPr>
                <w:sz w:val="19"/>
              </w:rPr>
              <w:t>Thấp</w:t>
            </w:r>
          </w:p>
        </w:tc>
        <w:tc>
          <w:tcPr>
            <w:tcW w:type="dxa" w:w="5102"/>
          </w:tcPr>
          <w:p>
            <w:pPr>
              <w:spacing w:after="40"/>
            </w:pPr>
            <w:r/>
            <w:r>
              <w:rPr>
                <w:sz w:val="19"/>
              </w:rPr>
              <w:t>Tài liệu nghiên cứu đã thiết kế sẵn. Biến OCR sai thành phiền toái nhỏ thay vì bản dịch sai</w:t>
            </w:r>
          </w:p>
        </w:tc>
      </w:tr>
      <w:tr>
        <w:tc>
          <w:tcPr>
            <w:tcW w:type="dxa" w:w="2608"/>
          </w:tcPr>
          <w:p>
            <w:pPr>
              <w:spacing w:after="40"/>
            </w:pPr>
            <w:r/>
            <w:r>
              <w:rPr>
                <w:sz w:val="19"/>
              </w:rPr>
              <w:t>Dịch bằng LLM có ngữ cảnh và thuật ngữ</w:t>
            </w:r>
          </w:p>
        </w:tc>
        <w:tc>
          <w:tcPr>
            <w:tcW w:type="dxa" w:w="1361"/>
          </w:tcPr>
          <w:p>
            <w:pPr>
              <w:spacing w:after="40"/>
            </w:pPr>
            <w:r/>
            <w:r>
              <w:rPr>
                <w:sz w:val="19"/>
              </w:rPr>
              <w:t>Trung bình</w:t>
            </w:r>
          </w:p>
        </w:tc>
        <w:tc>
          <w:tcPr>
            <w:tcW w:type="dxa" w:w="5102"/>
          </w:tcPr>
          <w:p>
            <w:pPr>
              <w:spacing w:after="40"/>
            </w:pPr>
            <w:r/>
            <w:r>
              <w:rPr>
                <w:sz w:val="19"/>
              </w:rPr>
              <w:t>Dự án đã gọi OpenAI cho OCR. Đây là điều Google Dịch không làm được</w:t>
            </w:r>
          </w:p>
        </w:tc>
      </w:tr>
      <w:tr>
        <w:tc>
          <w:tcPr>
            <w:tcW w:type="dxa" w:w="2608"/>
          </w:tcPr>
          <w:p>
            <w:pPr>
              <w:spacing w:after="40"/>
            </w:pPr>
            <w:r/>
            <w:r>
              <w:rPr>
                <w:sz w:val="19"/>
              </w:rPr>
              <w:t>Bộ thuật ngữ và bộ nhớ dịch</w:t>
            </w:r>
          </w:p>
        </w:tc>
        <w:tc>
          <w:tcPr>
            <w:tcW w:type="dxa" w:w="1361"/>
          </w:tcPr>
          <w:p>
            <w:pPr>
              <w:spacing w:after="40"/>
            </w:pPr>
            <w:r/>
            <w:r>
              <w:rPr>
                <w:sz w:val="19"/>
              </w:rPr>
              <w:t>Trung bình</w:t>
            </w:r>
          </w:p>
        </w:tc>
        <w:tc>
          <w:tcPr>
            <w:tcW w:type="dxa" w:w="5102"/>
          </w:tcPr>
          <w:p>
            <w:pPr>
              <w:spacing w:after="40"/>
            </w:pPr>
            <w:r/>
            <w:r>
              <w:rPr>
                <w:sz w:val="19"/>
              </w:rPr>
              <w:t>Mở đường sang phân khúc doanh nghiệp. Lịch sử dịch đã là nền móng</w:t>
            </w:r>
          </w:p>
        </w:tc>
      </w:tr>
      <w:tr>
        <w:tc>
          <w:tcPr>
            <w:tcW w:type="dxa" w:w="2608"/>
          </w:tcPr>
          <w:p>
            <w:pPr>
              <w:spacing w:after="40"/>
            </w:pPr>
            <w:r/>
            <w:r>
              <w:rPr>
                <w:sz w:val="19"/>
              </w:rPr>
              <w:t>Dịch liên tục theo vùng đã chọn</w:t>
            </w:r>
          </w:p>
        </w:tc>
        <w:tc>
          <w:tcPr>
            <w:tcW w:type="dxa" w:w="1361"/>
          </w:tcPr>
          <w:p>
            <w:pPr>
              <w:spacing w:after="40"/>
            </w:pPr>
            <w:r/>
            <w:r>
              <w:rPr>
                <w:sz w:val="19"/>
              </w:rPr>
              <w:t>Cao</w:t>
            </w:r>
          </w:p>
        </w:tc>
        <w:tc>
          <w:tcPr>
            <w:tcW w:type="dxa" w:w="5102"/>
          </w:tcPr>
          <w:p>
            <w:pPr>
              <w:spacing w:after="40"/>
            </w:pPr>
            <w:r/>
            <w:r>
              <w:rPr>
                <w:sz w:val="19"/>
              </w:rPr>
              <w:t>Mở ra phân khúc game và phụ đề, nhưng đối thủ miễn phí đã có</w:t>
            </w:r>
          </w:p>
        </w:tc>
      </w:tr>
      <w:tr>
        <w:tc>
          <w:tcPr>
            <w:tcW w:type="dxa" w:w="2608"/>
          </w:tcPr>
          <w:p>
            <w:pPr>
              <w:spacing w:after="40"/>
            </w:pPr>
            <w:r/>
            <w:r>
              <w:rPr>
                <w:sz w:val="19"/>
              </w:rPr>
              <w:t>OCR ngoại tuyến bằng RapidOCR/ONNX</w:t>
            </w:r>
          </w:p>
        </w:tc>
        <w:tc>
          <w:tcPr>
            <w:tcW w:type="dxa" w:w="1361"/>
          </w:tcPr>
          <w:p>
            <w:pPr>
              <w:spacing w:after="40"/>
            </w:pPr>
            <w:r/>
            <w:r>
              <w:rPr>
                <w:sz w:val="19"/>
              </w:rPr>
              <w:t>Cao</w:t>
            </w:r>
          </w:p>
        </w:tc>
        <w:tc>
          <w:tcPr>
            <w:tcW w:type="dxa" w:w="5102"/>
          </w:tcPr>
          <w:p>
            <w:pPr>
              <w:spacing w:after="40"/>
            </w:pPr>
            <w:r/>
            <w:r>
              <w:rPr>
                <w:sz w:val="19"/>
              </w:rPr>
              <w:t>Bán được điểm riêng tư, bỏ phụ thuộc đám mây. Đã có trong tài liệu nghiên cứu</w:t>
            </w:r>
          </w:p>
        </w:tc>
      </w:tr>
      <w:tr>
        <w:tc>
          <w:tcPr>
            <w:tcW w:type="dxa" w:w="2608"/>
          </w:tcPr>
          <w:p>
            <w:pPr>
              <w:spacing w:after="40"/>
            </w:pPr>
            <w:r/>
            <w:r>
              <w:rPr>
                <w:sz w:val="19"/>
              </w:rPr>
              <w:t>Dịch tài liệu PDF và DOCX</w:t>
            </w:r>
          </w:p>
        </w:tc>
        <w:tc>
          <w:tcPr>
            <w:tcW w:type="dxa" w:w="1361"/>
          </w:tcPr>
          <w:p>
            <w:pPr>
              <w:spacing w:after="40"/>
            </w:pPr>
            <w:r/>
            <w:r>
              <w:rPr>
                <w:sz w:val="19"/>
              </w:rPr>
              <w:t>Cao</w:t>
            </w:r>
          </w:p>
        </w:tc>
        <w:tc>
          <w:tcPr>
            <w:tcW w:type="dxa" w:w="5102"/>
          </w:tcPr>
          <w:p>
            <w:pPr>
              <w:spacing w:after="40"/>
            </w:pPr>
            <w:r/>
            <w:r>
              <w:rPr>
                <w:sz w:val="19"/>
              </w:rPr>
              <w:t>Nhu cầu rõ ràng, nhưng lệch khỏi thao tác cốt lõi của sản phẩm</w:t>
            </w:r>
          </w:p>
        </w:tc>
      </w:tr>
    </w:tbl>
    <w:p>
      <w:pPr>
        <w:spacing w:after="40"/>
      </w:pPr>
    </w:p>
    <w:p>
      <w:pPr>
        <w:pStyle w:val="Heading2"/>
      </w:pPr>
      <w:r>
        <w:rPr>
          <w:b w:val="0"/>
          <w:i w:val="0"/>
        </w:rPr>
        <w:t>4.5. Ràng buộc giấy phép GPL-3.0</w:t>
      </w:r>
    </w:p>
    <w:p>
      <w:pPr>
        <w:spacing w:after="80"/>
      </w:pPr>
      <w:r>
        <w:rPr>
          <w:b w:val="0"/>
          <w:i w:val="0"/>
        </w:rPr>
        <w:t>Cần nói thẳng vì điều này quyết định mô hình kinh doanh:</w:t>
      </w:r>
    </w:p>
    <w:p>
      <w:pPr>
        <w:pStyle w:val="ListBullet"/>
        <w:spacing w:after="60"/>
        <w:ind w:left="340"/>
      </w:pPr>
      <w:r>
        <w:rPr>
          <w:b/>
        </w:rPr>
        <w:t xml:space="preserve">Bán phần mềm GPL là hợp pháp — </w:t>
      </w:r>
      <w:r>
        <w:t>GPL không cấm thu tiền. Nhiều dự án bán bản biên dịch sẵn, dịch vụ hỗ trợ hoặc bản lưu trữ.</w:t>
      </w:r>
    </w:p>
    <w:p>
      <w:pPr>
        <w:pStyle w:val="ListBullet"/>
        <w:spacing w:after="60"/>
        <w:ind w:left="340"/>
      </w:pPr>
      <w:r>
        <w:rPr>
          <w:b/>
        </w:rPr>
        <w:t xml:space="preserve">Nhưng không giữ được mã nguồn kín — </w:t>
      </w:r>
      <w:r>
        <w:t>Người mua có quyền nhận mã nguồn và có quyền phân phối lại, kể cả miễn phí. Trên thực tế điều này chặn mô hình bán giấy phép theo bản sao.</w:t>
      </w:r>
    </w:p>
    <w:p>
      <w:pPr>
        <w:pStyle w:val="ListBullet"/>
        <w:spacing w:after="60"/>
        <w:ind w:left="340"/>
      </w:pPr>
      <w:r>
        <w:rPr>
          <w:b/>
        </w:rPr>
        <w:t xml:space="preserve">Không được gắn tính năng trả phí dạng đóng — </w:t>
      </w:r>
      <w:r>
        <w:t>Một mô-đun độc quyền liên kết vào phần GPL sẽ bị ràng buộc theo GPL.</w:t>
      </w:r>
    </w:p>
    <w:p>
      <w:pPr>
        <w:pStyle w:val="ListBullet"/>
        <w:spacing w:after="60"/>
        <w:ind w:left="340"/>
      </w:pPr>
      <w:r>
        <w:rPr>
          <w:b/>
        </w:rPr>
        <w:t xml:space="preserve">Bán lại giấy phép kép cần sở hữu toàn bộ bản quyền — </w:t>
      </w:r>
      <w:r>
        <w:t>Nếu bản Python thực sự được viết mới hoàn toàn, không sao chép mã C++, thì bản quyền thuộc về nhóm phát triển và có thể chọn giấy phép khác. Cần khẳng định rõ điều này bằng văn bản.</w:t>
      </w:r>
    </w:p>
    <w:p>
      <w:pPr>
        <w:pStyle w:val="ListBullet"/>
        <w:spacing w:after="60"/>
        <w:ind w:left="340"/>
      </w:pPr>
      <w:r>
        <w:rPr>
          <w:b/>
        </w:rPr>
        <w:t xml:space="preserve">Tên gọi là vấn đề tách biệt — </w:t>
      </w:r>
      <w:r>
        <w:t>“Crow Translate” là thương hiệu của dự án gốc. Sản phẩm thương mại nên dùng tên riêng.</w:t>
      </w:r>
    </w:p>
    <w:p>
      <w:pPr>
        <w:spacing w:after="80"/>
      </w:pPr>
      <w:r>
        <w:rPr>
          <w:b/>
          <w:i w:val="0"/>
        </w:rPr>
        <w:t>Ba con đường khả thi:</w:t>
      </w:r>
    </w:p>
    <w:p>
      <w:pPr>
        <w:pStyle w:val="ListNumber"/>
        <w:spacing w:after="60"/>
        <w:ind w:left="340"/>
      </w:pPr>
      <w:r>
        <w:rPr>
          <w:b/>
        </w:rPr>
        <w:t xml:space="preserve">Dịch vụ đám mây trả phí — </w:t>
      </w:r>
      <w:r>
        <w:t>Giữ ứng dụng GPL, bán quyền truy cập máy chủ dịch và OCR do mình vận hành. Phần máy chủ không bị GPL ràng buộc. Đây là con đường sạch nhất về pháp lý và giải quyết luôn rào cản khoá API.</w:t>
      </w:r>
    </w:p>
    <w:p>
      <w:pPr>
        <w:pStyle w:val="ListNumber"/>
        <w:spacing w:after="60"/>
        <w:ind w:left="340"/>
      </w:pPr>
      <w:r>
        <w:rPr>
          <w:b/>
        </w:rPr>
        <w:t xml:space="preserve">Mở lõi, đóng phần riêng — </w:t>
      </w:r>
      <w:r>
        <w:t>Ứng dụng nền tảng giữ GPL, phần thuật ngữ và quản trị doanh nghiệp nằm ở dịch vụ riêng, giao tiếp qua mạng.</w:t>
      </w:r>
    </w:p>
    <w:p>
      <w:pPr>
        <w:pStyle w:val="ListNumber"/>
        <w:spacing w:after="60"/>
        <w:ind w:left="340"/>
      </w:pPr>
      <w:r>
        <w:rPr>
          <w:b/>
        </w:rPr>
        <w:t xml:space="preserve">Viết lại và đổi giấy phép — </w:t>
      </w:r>
      <w:r>
        <w:t>Chỉ khả thi nếu chứng minh được bản Python hoàn toàn độc lập với mã C++. Cần rà soát pháp lý trước khi chọn hướng này.</w:t>
      </w:r>
    </w:p>
    <w:p>
      <w:pPr>
        <w:pStyle w:val="Heading1"/>
      </w:pPr>
      <w:r>
        <w:rPr>
          <w:b w:val="0"/>
          <w:i w:val="0"/>
        </w:rPr>
        <w:t>5. Lộ trình đề xuất</w:t>
      </w:r>
    </w:p>
    <w:p>
      <w:pPr>
        <w:pStyle w:val="Heading2"/>
      </w:pPr>
      <w:r>
        <w:rPr>
          <w:b w:val="0"/>
          <w:i w:val="0"/>
        </w:rPr>
        <w:t>Giai đoạn 1 — Sửa những gì đang hỏng (1–2 tuần)</w:t>
      </w:r>
    </w:p>
    <w:p>
      <w:pPr>
        <w:spacing w:after="80"/>
      </w:pPr>
      <w:r>
        <w:rPr>
          <w:b w:val="0"/>
          <w:i w:val="0"/>
          <w:color w:val="637587"/>
          <w:sz w:val="19"/>
        </w:rPr>
        <w:t>Chưa bàn tới thương mại khi sản phẩm còn lỗi ở đường đi chính.</w:t>
      </w:r>
    </w:p>
    <w:p>
      <w:pPr>
        <w:pStyle w:val="ListBullet"/>
        <w:spacing w:after="60"/>
        <w:ind w:left="340"/>
      </w:pPr>
      <w:r>
        <w:t>Dựng lại provider OCR khi lưu cài đặt (C1)</w:t>
      </w:r>
    </w:p>
    <w:p>
      <w:pPr>
        <w:pStyle w:val="ListBullet"/>
        <w:spacing w:after="60"/>
        <w:ind w:left="340"/>
      </w:pPr>
      <w:r>
        <w:t>Nhân toạ độ theo devicePixelRatio khi cắt ảnh (C2)</w:t>
      </w:r>
    </w:p>
    <w:p>
      <w:pPr>
        <w:pStyle w:val="ListBullet"/>
        <w:spacing w:after="60"/>
        <w:ind w:left="340"/>
      </w:pPr>
      <w:r>
        <w:t>Bọc lỗi khởi động và bỏ qua khoá cấu hình lạ (C3)</w:t>
      </w:r>
    </w:p>
    <w:p>
      <w:pPr>
        <w:pStyle w:val="ListBullet"/>
        <w:spacing w:after="60"/>
        <w:ind w:left="340"/>
      </w:pPr>
      <w:r>
        <w:t>Giữ lại plugin khi lưu cài đặt (C4)</w:t>
      </w:r>
    </w:p>
    <w:p>
      <w:pPr>
        <w:pStyle w:val="ListBullet"/>
        <w:spacing w:after="60"/>
        <w:ind w:left="340"/>
      </w:pPr>
      <w:r>
        <w:t>Báo lỗi thay vì âm thầm đổi engine OCR (C5)</w:t>
      </w:r>
    </w:p>
    <w:p>
      <w:pPr>
        <w:pStyle w:val="ListBullet"/>
        <w:spacing w:after="60"/>
        <w:ind w:left="340"/>
      </w:pPr>
      <w:r>
        <w:t>Thêm khoá đồng bộ và ghi nguyên tử cho lịch sử (C6, C7)</w:t>
      </w:r>
    </w:p>
    <w:p>
      <w:pPr>
        <w:pStyle w:val="ListBullet"/>
        <w:spacing w:after="60"/>
        <w:ind w:left="340"/>
      </w:pPr>
      <w:r>
        <w:t>Sửa bài test cũ, bổ sung gói test vào môi trường, dựng CI (C8)</w:t>
      </w:r>
    </w:p>
    <w:p>
      <w:pPr>
        <w:pStyle w:val="ListBullet"/>
        <w:spacing w:after="60"/>
        <w:ind w:left="340"/>
      </w:pPr>
      <w:r>
        <w:t>Bổ sung tệp LICENSE và ghi nhận tác giả gốc</w:t>
      </w:r>
    </w:p>
    <w:p>
      <w:pPr>
        <w:pStyle w:val="Heading2"/>
      </w:pPr>
      <w:r>
        <w:rPr>
          <w:b w:val="0"/>
          <w:i w:val="0"/>
        </w:rPr>
        <w:t>Giai đoạn 2 — Đưa sản phẩm về mức phát hành được (2–4 tuần)</w:t>
      </w:r>
    </w:p>
    <w:p>
      <w:pPr>
        <w:pStyle w:val="ListBullet"/>
        <w:spacing w:after="60"/>
        <w:ind w:left="340"/>
      </w:pPr>
      <w:r>
        <w:t>Cắt gọn gói cài xuống dưới 60 MB và cân nhắc chuyển sang onedir</w:t>
      </w:r>
    </w:p>
    <w:p>
      <w:pPr>
        <w:pStyle w:val="ListBullet"/>
        <w:spacing w:after="60"/>
        <w:ind w:left="340"/>
      </w:pPr>
      <w:r>
        <w:t>Bổ sung ô nhập đường dẫn Tesseract, phím tắt clipboard, giới hạn lịch sử</w:t>
      </w:r>
    </w:p>
    <w:p>
      <w:pPr>
        <w:pStyle w:val="ListBullet"/>
        <w:spacing w:after="60"/>
        <w:ind w:left="340"/>
      </w:pPr>
      <w:r>
        <w:t>Thêm màn hình xem lại và sửa văn bản OCR trước khi dịch</w:t>
      </w:r>
    </w:p>
    <w:p>
      <w:pPr>
        <w:pStyle w:val="ListBullet"/>
        <w:spacing w:after="60"/>
        <w:ind w:left="340"/>
      </w:pPr>
      <w:r>
        <w:t>Dịch giao diện sang tiếng Việt, đưa lại hạ tầng đa ngữ</w:t>
      </w:r>
    </w:p>
    <w:p>
      <w:pPr>
        <w:pStyle w:val="ListBullet"/>
        <w:spacing w:after="60"/>
        <w:ind w:left="340"/>
      </w:pPr>
      <w:r>
        <w:t>Lấy danh sách ngôn ngữ từ API thay vì viết cứng 20 mục</w:t>
      </w:r>
    </w:p>
    <w:p>
      <w:pPr>
        <w:pStyle w:val="ListBullet"/>
        <w:spacing w:after="60"/>
        <w:ind w:left="340"/>
      </w:pPr>
      <w:r>
        <w:t>Thêm cơ chế cập nhật và ký số bản cài</w:t>
      </w:r>
    </w:p>
    <w:p>
      <w:pPr>
        <w:pStyle w:val="Heading2"/>
      </w:pPr>
      <w:r>
        <w:rPr>
          <w:b w:val="0"/>
          <w:i w:val="0"/>
        </w:rPr>
        <w:t>Giai đoạn 3 — Chọn hướng thương mại (sau khi có giai đoạn 1 và 2)</w:t>
      </w:r>
    </w:p>
    <w:p>
      <w:pPr>
        <w:pStyle w:val="ListBullet"/>
        <w:spacing w:after="60"/>
        <w:ind w:left="340"/>
      </w:pPr>
      <w:r>
        <w:t>Chốt một phân khúc dọc, không làm sản phẩm đa dụng</w:t>
      </w:r>
    </w:p>
    <w:p>
      <w:pPr>
        <w:pStyle w:val="ListBullet"/>
        <w:spacing w:after="60"/>
        <w:ind w:left="340"/>
      </w:pPr>
      <w:r>
        <w:t>Dựng dịch vụ đám mây để bỏ rào cản khoá API, gói 3–5 USD/tháng</w:t>
      </w:r>
    </w:p>
    <w:p>
      <w:pPr>
        <w:pStyle w:val="ListBullet"/>
        <w:spacing w:after="60"/>
        <w:ind w:left="340"/>
      </w:pPr>
      <w:r>
        <w:rPr>
          <w:b/>
        </w:rPr>
        <w:t xml:space="preserve">Bổ sung dịch bằng LLM có thuật ngữ riêng — </w:t>
      </w:r>
      <w:r>
        <w:t>đây mới là điểm khác biệt thật</w:t>
      </w:r>
    </w:p>
    <w:p>
      <w:pPr>
        <w:pStyle w:val="ListBullet"/>
        <w:spacing w:after="60"/>
        <w:ind w:left="340"/>
      </w:pPr>
      <w:r>
        <w:t>Rà soát pháp lý về nguồn gốc mã và giấy phép trước khi bán</w:t>
      </w:r>
    </w:p>
    <w:p>
      <w:pPr>
        <w:pStyle w:val="Heading2"/>
      </w:pPr>
      <w:r>
        <w:rPr>
          <w:b w:val="0"/>
          <w:i w:val="0"/>
        </w:rPr>
        <w:t>Kết luận</w:t>
      </w:r>
    </w:p>
    <w:p>
      <w:pPr>
        <w:spacing w:after="160"/>
      </w:pPr>
      <w:r>
        <w:rPr>
          <w:b w:val="0"/>
          <w:i w:val="0"/>
        </w:rPr>
        <w:t>Nền móng kỹ thuật tốt và đáng để đầu tư tiếp. Vấn đề không nằm ở kiến trúc mà ở chỗ đường đi chính của người dùng chưa được kiểm chứng trên máy thật ngoài máy phát triển: hai lỗi nghiêm trọng nhất đều thuộc loại chỉ lộ ra khi có người dùng thật (màn hình 150%, lần đầu nhập khoá API). Sửa xong lớp này, sản phẩm mới đủ điều kiện để bàn tới chuyện bán.</w:t>
      </w:r>
    </w:p>
    <w:p>
      <w:r>
        <w:rPr>
          <w:b w:val="0"/>
          <w:i w:val="0"/>
        </w:rPr>
        <w:t>Về thương mại, giá trị không nằm ở việc dịch màn hình — Microsoft đã phát miễn phí thao tác đó. Giá trị nằm ở chỗ dịch tốt cho một nhóm người cụ thể, với thuật ngữ và ngữ cảnh của riêng họ, và ở việc bỏ được rào cản khoá API.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8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D897E"/>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82B3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8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