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D6D75" w14:textId="77777777" w:rsidR="00C9758B" w:rsidRPr="00C9758B" w:rsidRDefault="00C9758B" w:rsidP="00C9758B">
      <w:pPr>
        <w:widowControl/>
        <w:shd w:val="clear" w:color="auto" w:fill="FFFFFF"/>
        <w:spacing w:line="450" w:lineRule="atLeast"/>
        <w:jc w:val="center"/>
        <w:outlineLvl w:val="1"/>
        <w:rPr>
          <w:rFonts w:ascii="宋体" w:eastAsia="宋体" w:hAnsi="宋体" w:cs="宋体"/>
          <w:b/>
          <w:bCs/>
          <w:color w:val="000000"/>
          <w:kern w:val="0"/>
          <w:sz w:val="24"/>
          <w:szCs w:val="24"/>
        </w:rPr>
      </w:pPr>
      <w:r w:rsidRPr="00C9758B">
        <w:rPr>
          <w:rFonts w:ascii="宋体" w:eastAsia="宋体" w:hAnsi="宋体" w:cs="宋体" w:hint="eastAsia"/>
          <w:b/>
          <w:bCs/>
          <w:color w:val="000000"/>
          <w:kern w:val="0"/>
          <w:sz w:val="24"/>
          <w:szCs w:val="24"/>
        </w:rPr>
        <w:t>光华法学院2019年硕士研究生复试和录取工作方案</w:t>
      </w:r>
    </w:p>
    <w:p w14:paraId="263CC925" w14:textId="77777777" w:rsidR="00C9758B" w:rsidRPr="00C9758B" w:rsidRDefault="00C9758B" w:rsidP="00C9758B">
      <w:pPr>
        <w:widowControl/>
        <w:shd w:val="clear" w:color="auto" w:fill="FFFFFF"/>
        <w:spacing w:line="300" w:lineRule="atLeast"/>
        <w:jc w:val="left"/>
        <w:rPr>
          <w:rFonts w:ascii="宋体" w:eastAsia="宋体" w:hAnsi="宋体" w:cs="宋体"/>
          <w:color w:val="000000"/>
          <w:kern w:val="0"/>
          <w:sz w:val="18"/>
          <w:szCs w:val="18"/>
        </w:rPr>
      </w:pPr>
      <w:r w:rsidRPr="00C9758B">
        <w:rPr>
          <w:rFonts w:ascii="宋体" w:eastAsia="宋体" w:hAnsi="宋体" w:cs="宋体" w:hint="eastAsia"/>
          <w:color w:val="626262"/>
          <w:kern w:val="0"/>
          <w:sz w:val="18"/>
          <w:szCs w:val="18"/>
        </w:rPr>
        <w:t>编辑：fxyjs  发布日期：2019-03-07 点击次数：6510</w:t>
      </w:r>
    </w:p>
    <w:tbl>
      <w:tblPr>
        <w:tblW w:w="0" w:type="auto"/>
        <w:tblCellMar>
          <w:left w:w="0" w:type="dxa"/>
          <w:right w:w="0" w:type="dxa"/>
        </w:tblCellMar>
        <w:tblLook w:val="04A0" w:firstRow="1" w:lastRow="0" w:firstColumn="1" w:lastColumn="0" w:noHBand="0" w:noVBand="1"/>
      </w:tblPr>
      <w:tblGrid>
        <w:gridCol w:w="8306"/>
      </w:tblGrid>
      <w:tr w:rsidR="00C9758B" w:rsidRPr="00C9758B" w14:paraId="25A10748" w14:textId="77777777" w:rsidTr="00C9758B">
        <w:tc>
          <w:tcPr>
            <w:tcW w:w="0" w:type="auto"/>
            <w:tcMar>
              <w:top w:w="0" w:type="dxa"/>
              <w:left w:w="30" w:type="dxa"/>
              <w:bottom w:w="0" w:type="dxa"/>
              <w:right w:w="0" w:type="dxa"/>
            </w:tcMar>
            <w:vAlign w:val="center"/>
            <w:hideMark/>
          </w:tcPr>
          <w:p w14:paraId="04FD474B"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 </w:t>
            </w:r>
          </w:p>
          <w:p w14:paraId="03A4BA3A"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研究生复试与录取工作，是我国选拔优秀人才的一项重要措施。为保证该项工作的顺利进行，确保研究生招生质量，根据教育部和学校有关文件的精神，并结合我院实际，特作如下规定。</w:t>
            </w:r>
          </w:p>
          <w:p w14:paraId="6188FC77"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b/>
                <w:bCs/>
                <w:kern w:val="0"/>
                <w:sz w:val="24"/>
                <w:szCs w:val="24"/>
              </w:rPr>
              <w:t>一、指导思想和原则</w:t>
            </w:r>
          </w:p>
          <w:p w14:paraId="5F4A4050"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研究生复试与录取工作遵循公开、公平、公正，全面考核、择优录取的原则，坚持有利于学校深化教学改革和创新人材培养的指导思想，切实提高我院研究生招生质量和招生声誉。</w:t>
            </w:r>
          </w:p>
          <w:p w14:paraId="3E922A29"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b/>
                <w:bCs/>
                <w:kern w:val="0"/>
                <w:sz w:val="24"/>
                <w:szCs w:val="24"/>
              </w:rPr>
              <w:t>二、组织与领导</w:t>
            </w:r>
          </w:p>
          <w:p w14:paraId="08682C5B"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根据《浙江大学关于做好</w:t>
            </w:r>
            <w:r w:rsidRPr="00C9758B">
              <w:rPr>
                <w:rFonts w:ascii="宋体" w:eastAsia="宋体" w:hAnsi="宋体" w:cs="宋体"/>
                <w:kern w:val="0"/>
                <w:sz w:val="24"/>
                <w:szCs w:val="24"/>
              </w:rPr>
              <w:t>2019</w:t>
            </w:r>
            <w:r w:rsidRPr="00C9758B">
              <w:rPr>
                <w:rFonts w:ascii="宋体" w:eastAsia="宋体" w:hAnsi="宋体" w:cs="宋体" w:hint="eastAsia"/>
                <w:kern w:val="0"/>
                <w:sz w:val="24"/>
                <w:szCs w:val="24"/>
              </w:rPr>
              <w:t>年硕士研究生招生录取工作的通知》的规定，成立光华法学院研究生复试和录取工作领导小组及工作小组。</w:t>
            </w:r>
          </w:p>
          <w:p w14:paraId="1F7A6126"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（一）研究生复试录取工作领导小组</w:t>
            </w:r>
          </w:p>
          <w:p w14:paraId="34EDAA39"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组长：周江洪、张永华</w:t>
            </w:r>
          </w:p>
          <w:p w14:paraId="1CA8281F"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副组长：郑春燕、吴卫华</w:t>
            </w:r>
          </w:p>
          <w:p w14:paraId="7A17F7D0"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成员：周江洪、张永华、郑春燕、吴卫华、赵骏</w:t>
            </w:r>
          </w:p>
          <w:p w14:paraId="048ADC81"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光华法学院研究生复试和录取工作领导小组实行组长负责制，全面负责学院的复试和录取工作，负责受理考生的质疑、申诉。</w:t>
            </w:r>
          </w:p>
          <w:p w14:paraId="5E39F0B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（二）申诉联系人：孙晓红</w:t>
            </w:r>
          </w:p>
          <w:p w14:paraId="6FD5857B"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联系电话：</w:t>
            </w:r>
            <w:r w:rsidRPr="00C9758B">
              <w:rPr>
                <w:rFonts w:ascii="宋体" w:eastAsia="宋体" w:hAnsi="宋体" w:cs="宋体"/>
                <w:kern w:val="0"/>
                <w:sz w:val="24"/>
                <w:szCs w:val="24"/>
              </w:rPr>
              <w:t>0571-86598848</w:t>
            </w:r>
          </w:p>
          <w:p w14:paraId="6D6EC56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电子邮箱：</w:t>
            </w:r>
            <w:r w:rsidRPr="00C9758B">
              <w:rPr>
                <w:rFonts w:ascii="宋体" w:eastAsia="宋体" w:hAnsi="宋体" w:cs="宋体"/>
                <w:kern w:val="0"/>
                <w:sz w:val="24"/>
                <w:szCs w:val="24"/>
              </w:rPr>
              <w:t>sunxiaohong@zju.edu.cn</w:t>
            </w:r>
          </w:p>
          <w:p w14:paraId="4D98EFA4" w14:textId="77777777" w:rsidR="00C9758B" w:rsidRPr="00C9758B" w:rsidRDefault="00C9758B" w:rsidP="00C9758B">
            <w:pPr>
              <w:widowControl/>
              <w:ind w:firstLine="422"/>
              <w:jc w:val="left"/>
              <w:rPr>
                <w:rFonts w:ascii="宋体" w:eastAsia="宋体" w:hAnsi="宋体" w:cs="宋体"/>
                <w:kern w:val="0"/>
                <w:sz w:val="24"/>
                <w:szCs w:val="24"/>
              </w:rPr>
            </w:pPr>
            <w:r w:rsidRPr="00C9758B">
              <w:rPr>
                <w:rFonts w:ascii="宋体" w:eastAsia="宋体" w:hAnsi="宋体" w:cs="宋体" w:hint="eastAsia"/>
                <w:b/>
                <w:bCs/>
                <w:kern w:val="0"/>
                <w:sz w:val="24"/>
                <w:szCs w:val="24"/>
              </w:rPr>
              <w:t>三、复试分数线的基本要求与名单</w:t>
            </w:r>
          </w:p>
          <w:p w14:paraId="7F2E48F5" w14:textId="09A216AF" w:rsid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（一）浙江大学光华法学院</w:t>
            </w:r>
            <w:r w:rsidRPr="00C9758B">
              <w:rPr>
                <w:rFonts w:ascii="宋体" w:eastAsia="宋体" w:hAnsi="宋体" w:cs="宋体"/>
                <w:kern w:val="0"/>
                <w:sz w:val="24"/>
                <w:szCs w:val="24"/>
              </w:rPr>
              <w:t>2019</w:t>
            </w:r>
            <w:r w:rsidRPr="00C9758B">
              <w:rPr>
                <w:rFonts w:ascii="宋体" w:eastAsia="宋体" w:hAnsi="宋体" w:cs="宋体" w:hint="eastAsia"/>
                <w:kern w:val="0"/>
                <w:sz w:val="24"/>
                <w:szCs w:val="24"/>
              </w:rPr>
              <w:t>年硕士研究生（含专业学位）复试分数线的基本要求</w:t>
            </w:r>
          </w:p>
          <w:p w14:paraId="2A4CFD1C" w14:textId="77777777" w:rsidR="00A609FB" w:rsidRPr="00C9758B" w:rsidRDefault="00A609FB" w:rsidP="00C9758B">
            <w:pPr>
              <w:widowControl/>
              <w:ind w:firstLine="420"/>
              <w:jc w:val="left"/>
              <w:rPr>
                <w:rFonts w:ascii="宋体" w:eastAsia="宋体" w:hAnsi="宋体" w:cs="宋体" w:hint="eastAsia"/>
                <w:kern w:val="0"/>
                <w:sz w:val="24"/>
                <w:szCs w:val="24"/>
              </w:rPr>
            </w:pPr>
            <w:bookmarkStart w:id="0" w:name="_GoBack"/>
            <w:bookmarkEnd w:id="0"/>
          </w:p>
          <w:tbl>
            <w:tblPr>
              <w:tblpPr w:leftFromText="180" w:rightFromText="180" w:topFromText="10" w:bottomFromText="10"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1065"/>
              <w:gridCol w:w="645"/>
              <w:gridCol w:w="825"/>
              <w:gridCol w:w="855"/>
              <w:gridCol w:w="885"/>
            </w:tblGrid>
            <w:tr w:rsidR="00C9758B" w:rsidRPr="00C9758B" w14:paraId="54177C6B" w14:textId="77777777">
              <w:tc>
                <w:tcPr>
                  <w:tcW w:w="32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2DB1CBCD"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学科门类</w:t>
                  </w:r>
                </w:p>
              </w:tc>
              <w:tc>
                <w:tcPr>
                  <w:tcW w:w="106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18E4476D"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政治</w:t>
                  </w:r>
                </w:p>
              </w:tc>
              <w:tc>
                <w:tcPr>
                  <w:tcW w:w="64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0894CCCF"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外语</w:t>
                  </w:r>
                </w:p>
              </w:tc>
              <w:tc>
                <w:tcPr>
                  <w:tcW w:w="8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4F81DB1E"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业务</w:t>
                  </w:r>
                  <w:r w:rsidRPr="00C9758B">
                    <w:rPr>
                      <w:rFonts w:ascii="宋体" w:eastAsia="宋体" w:hAnsi="宋体" w:cs="宋体"/>
                      <w:kern w:val="0"/>
                      <w:sz w:val="24"/>
                      <w:szCs w:val="24"/>
                    </w:rPr>
                    <w:t>1</w:t>
                  </w:r>
                </w:p>
              </w:tc>
              <w:tc>
                <w:tcPr>
                  <w:tcW w:w="85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43BFF766"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业务</w:t>
                  </w:r>
                  <w:r w:rsidRPr="00C9758B">
                    <w:rPr>
                      <w:rFonts w:ascii="宋体" w:eastAsia="宋体" w:hAnsi="宋体" w:cs="宋体"/>
                      <w:kern w:val="0"/>
                      <w:sz w:val="24"/>
                      <w:szCs w:val="24"/>
                    </w:rPr>
                    <w:t>2</w:t>
                  </w:r>
                </w:p>
              </w:tc>
              <w:tc>
                <w:tcPr>
                  <w:tcW w:w="8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3682D44E"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总分</w:t>
                  </w:r>
                </w:p>
              </w:tc>
            </w:tr>
            <w:tr w:rsidR="00C9758B" w:rsidRPr="00C9758B" w14:paraId="52BBA352" w14:textId="77777777">
              <w:tc>
                <w:tcPr>
                  <w:tcW w:w="32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240CE4AC"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法学</w:t>
                  </w:r>
                  <w:r w:rsidRPr="00C9758B">
                    <w:rPr>
                      <w:rFonts w:ascii="宋体" w:eastAsia="宋体" w:hAnsi="宋体" w:cs="宋体"/>
                      <w:kern w:val="0"/>
                      <w:sz w:val="24"/>
                      <w:szCs w:val="24"/>
                    </w:rPr>
                    <w:t>[03](</w:t>
                  </w:r>
                  <w:r w:rsidRPr="00C9758B">
                    <w:rPr>
                      <w:rFonts w:ascii="宋体" w:eastAsia="宋体" w:hAnsi="宋体" w:cs="宋体" w:hint="eastAsia"/>
                      <w:kern w:val="0"/>
                      <w:sz w:val="24"/>
                      <w:szCs w:val="24"/>
                    </w:rPr>
                    <w:t>不含法律硕士</w:t>
                  </w:r>
                  <w:r w:rsidRPr="00C9758B">
                    <w:rPr>
                      <w:rFonts w:ascii="宋体" w:eastAsia="宋体" w:hAnsi="宋体" w:cs="宋体"/>
                      <w:kern w:val="0"/>
                      <w:sz w:val="24"/>
                      <w:szCs w:val="24"/>
                    </w:rPr>
                    <w:t>[0351])</w:t>
                  </w:r>
                </w:p>
              </w:tc>
              <w:tc>
                <w:tcPr>
                  <w:tcW w:w="106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1DAD5F1F"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55</w:t>
                  </w:r>
                </w:p>
              </w:tc>
              <w:tc>
                <w:tcPr>
                  <w:tcW w:w="64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1F26EA6D"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55</w:t>
                  </w:r>
                </w:p>
              </w:tc>
              <w:tc>
                <w:tcPr>
                  <w:tcW w:w="8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32FC19FC"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85</w:t>
                  </w:r>
                </w:p>
              </w:tc>
              <w:tc>
                <w:tcPr>
                  <w:tcW w:w="85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0C7DAFD8"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85</w:t>
                  </w:r>
                </w:p>
              </w:tc>
              <w:tc>
                <w:tcPr>
                  <w:tcW w:w="8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4CCF9609"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340</w:t>
                  </w:r>
                </w:p>
              </w:tc>
            </w:tr>
            <w:tr w:rsidR="00C9758B" w:rsidRPr="00C9758B" w14:paraId="2770DB11" w14:textId="77777777">
              <w:tc>
                <w:tcPr>
                  <w:tcW w:w="32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037568A5"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法律硕士</w:t>
                  </w:r>
                  <w:r w:rsidRPr="00C9758B">
                    <w:rPr>
                      <w:rFonts w:ascii="宋体" w:eastAsia="宋体" w:hAnsi="宋体" w:cs="宋体"/>
                      <w:kern w:val="0"/>
                      <w:sz w:val="24"/>
                      <w:szCs w:val="24"/>
                    </w:rPr>
                    <w:t>(</w:t>
                  </w:r>
                  <w:r w:rsidRPr="00C9758B">
                    <w:rPr>
                      <w:rFonts w:ascii="宋体" w:eastAsia="宋体" w:hAnsi="宋体" w:cs="宋体" w:hint="eastAsia"/>
                      <w:kern w:val="0"/>
                      <w:sz w:val="24"/>
                      <w:szCs w:val="24"/>
                    </w:rPr>
                    <w:t>非法学</w:t>
                  </w:r>
                  <w:r w:rsidRPr="00C9758B">
                    <w:rPr>
                      <w:rFonts w:ascii="宋体" w:eastAsia="宋体" w:hAnsi="宋体" w:cs="宋体"/>
                      <w:kern w:val="0"/>
                      <w:sz w:val="24"/>
                      <w:szCs w:val="24"/>
                    </w:rPr>
                    <w:t>)[035101]</w:t>
                  </w:r>
                  <w:r w:rsidRPr="00C9758B">
                    <w:rPr>
                      <w:rFonts w:ascii="宋体" w:eastAsia="宋体" w:hAnsi="宋体" w:cs="宋体" w:hint="eastAsia"/>
                      <w:kern w:val="0"/>
                      <w:sz w:val="24"/>
                      <w:szCs w:val="24"/>
                    </w:rPr>
                    <w:t>、法律硕士</w:t>
                  </w:r>
                  <w:r w:rsidRPr="00C9758B">
                    <w:rPr>
                      <w:rFonts w:ascii="宋体" w:eastAsia="宋体" w:hAnsi="宋体" w:cs="宋体"/>
                      <w:kern w:val="0"/>
                      <w:sz w:val="24"/>
                      <w:szCs w:val="24"/>
                    </w:rPr>
                    <w:t>(</w:t>
                  </w:r>
                  <w:r w:rsidRPr="00C9758B">
                    <w:rPr>
                      <w:rFonts w:ascii="宋体" w:eastAsia="宋体" w:hAnsi="宋体" w:cs="宋体" w:hint="eastAsia"/>
                      <w:kern w:val="0"/>
                      <w:sz w:val="24"/>
                      <w:szCs w:val="24"/>
                    </w:rPr>
                    <w:t>法学</w:t>
                  </w:r>
                  <w:r w:rsidRPr="00C9758B">
                    <w:rPr>
                      <w:rFonts w:ascii="宋体" w:eastAsia="宋体" w:hAnsi="宋体" w:cs="宋体"/>
                      <w:kern w:val="0"/>
                      <w:sz w:val="24"/>
                      <w:szCs w:val="24"/>
                    </w:rPr>
                    <w:t>)[035102]</w:t>
                  </w:r>
                </w:p>
              </w:tc>
              <w:tc>
                <w:tcPr>
                  <w:tcW w:w="106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4A3C2BFA"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55</w:t>
                  </w:r>
                </w:p>
              </w:tc>
              <w:tc>
                <w:tcPr>
                  <w:tcW w:w="64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016FEBD8"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55</w:t>
                  </w:r>
                </w:p>
              </w:tc>
              <w:tc>
                <w:tcPr>
                  <w:tcW w:w="82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3DB75EAA"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85</w:t>
                  </w:r>
                </w:p>
              </w:tc>
              <w:tc>
                <w:tcPr>
                  <w:tcW w:w="85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3EB76525"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85</w:t>
                  </w:r>
                </w:p>
              </w:tc>
              <w:tc>
                <w:tcPr>
                  <w:tcW w:w="8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center"/>
                  <w:hideMark/>
                </w:tcPr>
                <w:p w14:paraId="1CB00307"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360</w:t>
                  </w:r>
                </w:p>
              </w:tc>
            </w:tr>
          </w:tbl>
          <w:p w14:paraId="2F90E582"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 </w:t>
            </w:r>
          </w:p>
          <w:p w14:paraId="64C166E5"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 </w:t>
            </w:r>
          </w:p>
          <w:p w14:paraId="6A9541A5"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 </w:t>
            </w:r>
          </w:p>
          <w:p w14:paraId="7B044AB4"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 </w:t>
            </w:r>
          </w:p>
          <w:p w14:paraId="6EB2CD94"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 </w:t>
            </w:r>
          </w:p>
          <w:p w14:paraId="5C85A013"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（二）光华法学院</w:t>
            </w:r>
            <w:r w:rsidRPr="00C9758B">
              <w:rPr>
                <w:rFonts w:ascii="宋体" w:eastAsia="宋体" w:hAnsi="宋体" w:cs="宋体"/>
                <w:kern w:val="0"/>
                <w:sz w:val="24"/>
                <w:szCs w:val="24"/>
              </w:rPr>
              <w:t>2019</w:t>
            </w:r>
            <w:r w:rsidRPr="00C9758B">
              <w:rPr>
                <w:rFonts w:ascii="宋体" w:eastAsia="宋体" w:hAnsi="宋体" w:cs="宋体" w:hint="eastAsia"/>
                <w:kern w:val="0"/>
                <w:sz w:val="24"/>
                <w:szCs w:val="24"/>
              </w:rPr>
              <w:t>年硕士各专业招生名额</w:t>
            </w:r>
            <w:r w:rsidRPr="00C9758B">
              <w:rPr>
                <w:rFonts w:ascii="宋体" w:eastAsia="宋体" w:hAnsi="宋体" w:cs="宋体"/>
                <w:kern w:val="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285"/>
              <w:gridCol w:w="2535"/>
            </w:tblGrid>
            <w:tr w:rsidR="00C9758B" w:rsidRPr="00C9758B" w14:paraId="2C1E5180"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D5AD5B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专业代码</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70C68F85"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专业名称</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C7CD5AF"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统考招生名额</w:t>
                  </w:r>
                </w:p>
              </w:tc>
            </w:tr>
            <w:tr w:rsidR="00C9758B" w:rsidRPr="00C9758B" w14:paraId="077FF54A"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2295473"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30101</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699750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法学理论</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82C532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5</w:t>
                  </w:r>
                </w:p>
              </w:tc>
            </w:tr>
            <w:tr w:rsidR="00C9758B" w:rsidRPr="00C9758B" w14:paraId="552B1D4D"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52F1C8BC"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30102</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0AEBE9F"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法律史</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AD3A9EF"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1</w:t>
                  </w:r>
                </w:p>
              </w:tc>
            </w:tr>
            <w:tr w:rsidR="00C9758B" w:rsidRPr="00C9758B" w14:paraId="6FAEEBD8"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720FE6F7"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30103</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71C8352"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宪法学与行政法学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4BE6C8B7"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4</w:t>
                  </w:r>
                </w:p>
              </w:tc>
            </w:tr>
            <w:tr w:rsidR="00C9758B" w:rsidRPr="00C9758B" w14:paraId="66D2845B"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49AB5BB"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30105</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5E3A8EF0"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民商法学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78A7C63"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2</w:t>
                  </w:r>
                </w:p>
              </w:tc>
            </w:tr>
            <w:tr w:rsidR="00C9758B" w:rsidRPr="00C9758B" w14:paraId="63C0F6D2"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352C7F36"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30106</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7190087"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诉讼法学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5360093"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1</w:t>
                  </w:r>
                </w:p>
              </w:tc>
            </w:tr>
            <w:tr w:rsidR="00C9758B" w:rsidRPr="00C9758B" w14:paraId="37214E75"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7CC9B3F2"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lastRenderedPageBreak/>
                    <w:t>30107</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1094D10"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经济法学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3CDE4C49"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w:t>
                  </w:r>
                </w:p>
              </w:tc>
            </w:tr>
            <w:tr w:rsidR="00C9758B" w:rsidRPr="00C9758B" w14:paraId="69DB8518"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13CBB25A"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30108</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885E3F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环境与资源保护法学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13882AB8"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1</w:t>
                  </w:r>
                </w:p>
              </w:tc>
            </w:tr>
            <w:tr w:rsidR="00C9758B" w:rsidRPr="00C9758B" w14:paraId="26A36AC7"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58DE906"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30109</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503155F5"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国际法学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FBB7C7C"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2</w:t>
                  </w:r>
                </w:p>
              </w:tc>
            </w:tr>
            <w:tr w:rsidR="00C9758B" w:rsidRPr="00C9758B" w14:paraId="770816AF"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664423F1"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35101</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5F23B19C"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全日制法律硕士（非法学）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77619E70"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50</w:t>
                  </w:r>
                </w:p>
              </w:tc>
            </w:tr>
            <w:tr w:rsidR="00C9758B" w:rsidRPr="00C9758B" w14:paraId="58B7008B"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0C5B3C47"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35102</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3241748"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全日制法律硕士（法学）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3A9DF46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4</w:t>
                  </w:r>
                  <w:r w:rsidRPr="00C9758B">
                    <w:rPr>
                      <w:rFonts w:ascii="宋体" w:eastAsia="宋体" w:hAnsi="宋体" w:cs="宋体" w:hint="eastAsia"/>
                      <w:kern w:val="0"/>
                      <w:sz w:val="24"/>
                      <w:szCs w:val="24"/>
                    </w:rPr>
                    <w:t>（含</w:t>
                  </w:r>
                  <w:r w:rsidRPr="00C9758B">
                    <w:rPr>
                      <w:rFonts w:ascii="宋体" w:eastAsia="宋体" w:hAnsi="宋体" w:cs="宋体"/>
                      <w:kern w:val="0"/>
                      <w:sz w:val="24"/>
                      <w:szCs w:val="24"/>
                    </w:rPr>
                    <w:t>2</w:t>
                  </w:r>
                  <w:r w:rsidRPr="00C9758B">
                    <w:rPr>
                      <w:rFonts w:ascii="宋体" w:eastAsia="宋体" w:hAnsi="宋体" w:cs="宋体" w:hint="eastAsia"/>
                      <w:kern w:val="0"/>
                      <w:sz w:val="24"/>
                      <w:szCs w:val="24"/>
                    </w:rPr>
                    <w:t>位城市学院联培生）</w:t>
                  </w:r>
                </w:p>
              </w:tc>
            </w:tr>
            <w:tr w:rsidR="00C9758B" w:rsidRPr="00C9758B" w14:paraId="58E65124" w14:textId="77777777">
              <w:tc>
                <w:tcPr>
                  <w:tcW w:w="1680"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7F9CB380"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035103/035104</w:t>
                  </w:r>
                </w:p>
              </w:tc>
              <w:tc>
                <w:tcPr>
                  <w:tcW w:w="328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399F41F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hint="eastAsia"/>
                      <w:kern w:val="0"/>
                      <w:sz w:val="24"/>
                      <w:szCs w:val="24"/>
                    </w:rPr>
                    <w:t>非全日制法律硕士（非法学、法学）</w:t>
                  </w:r>
                </w:p>
              </w:tc>
              <w:tc>
                <w:tcPr>
                  <w:tcW w:w="2535" w:type="dxa"/>
                  <w:tcBorders>
                    <w:top w:val="outset" w:sz="6" w:space="0" w:color="auto"/>
                    <w:left w:val="outset" w:sz="6" w:space="0" w:color="auto"/>
                    <w:bottom w:val="outset" w:sz="6" w:space="0" w:color="auto"/>
                    <w:right w:val="outset" w:sz="6" w:space="0" w:color="auto"/>
                  </w:tcBorders>
                  <w:tcMar>
                    <w:top w:w="0" w:type="dxa"/>
                    <w:left w:w="30" w:type="dxa"/>
                    <w:bottom w:w="0" w:type="dxa"/>
                    <w:right w:w="0" w:type="dxa"/>
                  </w:tcMar>
                  <w:vAlign w:val="bottom"/>
                  <w:hideMark/>
                </w:tcPr>
                <w:p w14:paraId="2DB376EE" w14:textId="77777777" w:rsidR="00C9758B" w:rsidRPr="00C9758B" w:rsidRDefault="00C9758B" w:rsidP="00C9758B">
                  <w:pPr>
                    <w:widowControl/>
                    <w:jc w:val="center"/>
                    <w:rPr>
                      <w:rFonts w:ascii="宋体" w:eastAsia="宋体" w:hAnsi="宋体" w:cs="宋体"/>
                      <w:kern w:val="0"/>
                      <w:sz w:val="24"/>
                      <w:szCs w:val="24"/>
                    </w:rPr>
                  </w:pPr>
                  <w:r w:rsidRPr="00C9758B">
                    <w:rPr>
                      <w:rFonts w:ascii="宋体" w:eastAsia="宋体" w:hAnsi="宋体" w:cs="宋体"/>
                      <w:kern w:val="0"/>
                      <w:sz w:val="24"/>
                      <w:szCs w:val="24"/>
                    </w:rPr>
                    <w:t>50</w:t>
                  </w:r>
                </w:p>
              </w:tc>
            </w:tr>
          </w:tbl>
          <w:p w14:paraId="16C3B343"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复试比例由学院统一掌握在</w:t>
            </w:r>
            <w:r w:rsidRPr="00C9758B">
              <w:rPr>
                <w:rFonts w:ascii="宋体" w:eastAsia="宋体" w:hAnsi="宋体" w:cs="宋体"/>
                <w:kern w:val="0"/>
                <w:sz w:val="24"/>
                <w:szCs w:val="24"/>
              </w:rPr>
              <w:t>1:1.3</w:t>
            </w:r>
            <w:r w:rsidRPr="00C9758B">
              <w:rPr>
                <w:rFonts w:ascii="宋体" w:eastAsia="宋体" w:hAnsi="宋体" w:cs="宋体" w:hint="eastAsia"/>
                <w:kern w:val="0"/>
                <w:sz w:val="24"/>
                <w:szCs w:val="24"/>
              </w:rPr>
              <w:t>左右。</w:t>
            </w:r>
          </w:p>
          <w:p w14:paraId="6CC0DB5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（二）上表所列分数线（管理类联考除外）满足以下情况视同上线：若单科低</w:t>
            </w:r>
            <w:r w:rsidRPr="00C9758B">
              <w:rPr>
                <w:rFonts w:ascii="宋体" w:eastAsia="宋体" w:hAnsi="宋体" w:cs="宋体"/>
                <w:kern w:val="0"/>
                <w:sz w:val="24"/>
                <w:szCs w:val="24"/>
              </w:rPr>
              <w:t>1</w:t>
            </w:r>
            <w:r w:rsidRPr="00C9758B">
              <w:rPr>
                <w:rFonts w:ascii="宋体" w:eastAsia="宋体" w:hAnsi="宋体" w:cs="宋体" w:hint="eastAsia"/>
                <w:kern w:val="0"/>
                <w:sz w:val="24"/>
                <w:szCs w:val="24"/>
              </w:rPr>
              <w:t>分，总分相应高</w:t>
            </w:r>
            <w:r w:rsidRPr="00C9758B">
              <w:rPr>
                <w:rFonts w:ascii="宋体" w:eastAsia="宋体" w:hAnsi="宋体" w:cs="宋体"/>
                <w:kern w:val="0"/>
                <w:sz w:val="24"/>
                <w:szCs w:val="24"/>
              </w:rPr>
              <w:t>20</w:t>
            </w:r>
            <w:r w:rsidRPr="00C9758B">
              <w:rPr>
                <w:rFonts w:ascii="宋体" w:eastAsia="宋体" w:hAnsi="宋体" w:cs="宋体" w:hint="eastAsia"/>
                <w:kern w:val="0"/>
                <w:sz w:val="24"/>
                <w:szCs w:val="24"/>
              </w:rPr>
              <w:t>分及以上；单科低</w:t>
            </w:r>
            <w:r w:rsidRPr="00C9758B">
              <w:rPr>
                <w:rFonts w:ascii="宋体" w:eastAsia="宋体" w:hAnsi="宋体" w:cs="宋体"/>
                <w:kern w:val="0"/>
                <w:sz w:val="24"/>
                <w:szCs w:val="24"/>
              </w:rPr>
              <w:t>2</w:t>
            </w:r>
            <w:r w:rsidRPr="00C9758B">
              <w:rPr>
                <w:rFonts w:ascii="宋体" w:eastAsia="宋体" w:hAnsi="宋体" w:cs="宋体" w:hint="eastAsia"/>
                <w:kern w:val="0"/>
                <w:sz w:val="24"/>
                <w:szCs w:val="24"/>
              </w:rPr>
              <w:t>分，总分高</w:t>
            </w:r>
            <w:r w:rsidRPr="00C9758B">
              <w:rPr>
                <w:rFonts w:ascii="宋体" w:eastAsia="宋体" w:hAnsi="宋体" w:cs="宋体"/>
                <w:kern w:val="0"/>
                <w:sz w:val="24"/>
                <w:szCs w:val="24"/>
              </w:rPr>
              <w:t>25</w:t>
            </w:r>
            <w:r w:rsidRPr="00C9758B">
              <w:rPr>
                <w:rFonts w:ascii="宋体" w:eastAsia="宋体" w:hAnsi="宋体" w:cs="宋体" w:hint="eastAsia"/>
                <w:kern w:val="0"/>
                <w:sz w:val="24"/>
                <w:szCs w:val="24"/>
              </w:rPr>
              <w:t>分及以上；以此类推，单科每低</w:t>
            </w:r>
            <w:r w:rsidRPr="00C9758B">
              <w:rPr>
                <w:rFonts w:ascii="宋体" w:eastAsia="宋体" w:hAnsi="宋体" w:cs="宋体"/>
                <w:kern w:val="0"/>
                <w:sz w:val="24"/>
                <w:szCs w:val="24"/>
              </w:rPr>
              <w:t>1</w:t>
            </w:r>
            <w:r w:rsidRPr="00C9758B">
              <w:rPr>
                <w:rFonts w:ascii="宋体" w:eastAsia="宋体" w:hAnsi="宋体" w:cs="宋体" w:hint="eastAsia"/>
                <w:kern w:val="0"/>
                <w:sz w:val="24"/>
                <w:szCs w:val="24"/>
              </w:rPr>
              <w:t>分，总分相应再提高</w:t>
            </w:r>
            <w:r w:rsidRPr="00C9758B">
              <w:rPr>
                <w:rFonts w:ascii="宋体" w:eastAsia="宋体" w:hAnsi="宋体" w:cs="宋体"/>
                <w:kern w:val="0"/>
                <w:sz w:val="24"/>
                <w:szCs w:val="24"/>
              </w:rPr>
              <w:t>5</w:t>
            </w:r>
            <w:r w:rsidRPr="00C9758B">
              <w:rPr>
                <w:rFonts w:ascii="宋体" w:eastAsia="宋体" w:hAnsi="宋体" w:cs="宋体" w:hint="eastAsia"/>
                <w:kern w:val="0"/>
                <w:sz w:val="24"/>
                <w:szCs w:val="24"/>
              </w:rPr>
              <w:t>分。但单科不得低于</w:t>
            </w:r>
            <w:r w:rsidRPr="00C9758B">
              <w:rPr>
                <w:rFonts w:ascii="宋体" w:eastAsia="宋体" w:hAnsi="宋体" w:cs="宋体"/>
                <w:kern w:val="0"/>
                <w:sz w:val="24"/>
                <w:szCs w:val="24"/>
              </w:rPr>
              <w:t>5</w:t>
            </w:r>
            <w:r w:rsidRPr="00C9758B">
              <w:rPr>
                <w:rFonts w:ascii="宋体" w:eastAsia="宋体" w:hAnsi="宋体" w:cs="宋体" w:hint="eastAsia"/>
                <w:kern w:val="0"/>
                <w:sz w:val="24"/>
                <w:szCs w:val="24"/>
              </w:rPr>
              <w:t>分（含</w:t>
            </w:r>
            <w:r w:rsidRPr="00C9758B">
              <w:rPr>
                <w:rFonts w:ascii="宋体" w:eastAsia="宋体" w:hAnsi="宋体" w:cs="宋体"/>
                <w:kern w:val="0"/>
                <w:sz w:val="24"/>
                <w:szCs w:val="24"/>
              </w:rPr>
              <w:t>5</w:t>
            </w:r>
            <w:r w:rsidRPr="00C9758B">
              <w:rPr>
                <w:rFonts w:ascii="宋体" w:eastAsia="宋体" w:hAnsi="宋体" w:cs="宋体" w:hint="eastAsia"/>
                <w:kern w:val="0"/>
                <w:sz w:val="24"/>
                <w:szCs w:val="24"/>
              </w:rPr>
              <w:t>分），且仅限</w:t>
            </w:r>
            <w:r w:rsidRPr="00C9758B">
              <w:rPr>
                <w:rFonts w:ascii="宋体" w:eastAsia="宋体" w:hAnsi="宋体" w:cs="宋体"/>
                <w:kern w:val="0"/>
                <w:sz w:val="24"/>
                <w:szCs w:val="24"/>
              </w:rPr>
              <w:t>1</w:t>
            </w:r>
            <w:r w:rsidRPr="00C9758B">
              <w:rPr>
                <w:rFonts w:ascii="宋体" w:eastAsia="宋体" w:hAnsi="宋体" w:cs="宋体" w:hint="eastAsia"/>
                <w:kern w:val="0"/>
                <w:sz w:val="24"/>
                <w:szCs w:val="24"/>
              </w:rPr>
              <w:t>门单科。适用该政策上线的考生，总分相应扣减后计算各项排名。</w:t>
            </w:r>
          </w:p>
          <w:p w14:paraId="3DAC90AC"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（三）国家少数民族高层次骨干人才培养计划考生同时满足以下成绩要求的考生可参加复试：</w:t>
            </w:r>
          </w:p>
          <w:p w14:paraId="2036E323"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1</w:t>
            </w:r>
            <w:r w:rsidRPr="00C9758B">
              <w:rPr>
                <w:rFonts w:ascii="宋体" w:eastAsia="宋体" w:hAnsi="宋体" w:cs="宋体" w:hint="eastAsia"/>
                <w:kern w:val="0"/>
                <w:sz w:val="24"/>
                <w:szCs w:val="24"/>
              </w:rPr>
              <w:t>．总分成绩要求：依据所报考专业在表中基本分数线的总分降低</w:t>
            </w:r>
            <w:r w:rsidRPr="00C9758B">
              <w:rPr>
                <w:rFonts w:ascii="宋体" w:eastAsia="宋体" w:hAnsi="宋体" w:cs="宋体"/>
                <w:kern w:val="0"/>
                <w:sz w:val="24"/>
                <w:szCs w:val="24"/>
              </w:rPr>
              <w:t>15%</w:t>
            </w:r>
            <w:r w:rsidRPr="00C9758B">
              <w:rPr>
                <w:rFonts w:ascii="宋体" w:eastAsia="宋体" w:hAnsi="宋体" w:cs="宋体" w:hint="eastAsia"/>
                <w:kern w:val="0"/>
                <w:sz w:val="24"/>
                <w:szCs w:val="24"/>
              </w:rPr>
              <w:t>。</w:t>
            </w:r>
          </w:p>
          <w:p w14:paraId="74B48895"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2</w:t>
            </w:r>
            <w:r w:rsidRPr="00C9758B">
              <w:rPr>
                <w:rFonts w:ascii="宋体" w:eastAsia="宋体" w:hAnsi="宋体" w:cs="宋体" w:hint="eastAsia"/>
                <w:kern w:val="0"/>
                <w:sz w:val="24"/>
                <w:szCs w:val="24"/>
              </w:rPr>
              <w:t>．单科成绩要求：满分为</w:t>
            </w:r>
            <w:r w:rsidRPr="00C9758B">
              <w:rPr>
                <w:rFonts w:ascii="宋体" w:eastAsia="宋体" w:hAnsi="宋体" w:cs="宋体"/>
                <w:kern w:val="0"/>
                <w:sz w:val="24"/>
                <w:szCs w:val="24"/>
              </w:rPr>
              <w:t>100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45</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150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70</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200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90</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300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135</w:t>
            </w:r>
            <w:r w:rsidRPr="00C9758B">
              <w:rPr>
                <w:rFonts w:ascii="宋体" w:eastAsia="宋体" w:hAnsi="宋体" w:cs="宋体" w:hint="eastAsia"/>
                <w:kern w:val="0"/>
                <w:sz w:val="24"/>
                <w:szCs w:val="24"/>
              </w:rPr>
              <w:t>分。</w:t>
            </w:r>
          </w:p>
          <w:p w14:paraId="4CE8B849"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（四）退役大学生士兵专项计划考生同时满足以下成绩要求的考生可参加复试：</w:t>
            </w:r>
          </w:p>
          <w:p w14:paraId="16F2A19D"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1</w:t>
            </w:r>
            <w:r w:rsidRPr="00C9758B">
              <w:rPr>
                <w:rFonts w:ascii="宋体" w:eastAsia="宋体" w:hAnsi="宋体" w:cs="宋体" w:hint="eastAsia"/>
                <w:kern w:val="0"/>
                <w:sz w:val="24"/>
                <w:szCs w:val="24"/>
              </w:rPr>
              <w:t>．总分成绩要求：依据所报考专业在表中基本分数线的总分降低</w:t>
            </w:r>
            <w:r w:rsidRPr="00C9758B">
              <w:rPr>
                <w:rFonts w:ascii="宋体" w:eastAsia="宋体" w:hAnsi="宋体" w:cs="宋体"/>
                <w:kern w:val="0"/>
                <w:sz w:val="24"/>
                <w:szCs w:val="24"/>
              </w:rPr>
              <w:t>10%</w:t>
            </w:r>
            <w:r w:rsidRPr="00C9758B">
              <w:rPr>
                <w:rFonts w:ascii="宋体" w:eastAsia="宋体" w:hAnsi="宋体" w:cs="宋体" w:hint="eastAsia"/>
                <w:kern w:val="0"/>
                <w:sz w:val="24"/>
                <w:szCs w:val="24"/>
              </w:rPr>
              <w:t>。</w:t>
            </w:r>
          </w:p>
          <w:p w14:paraId="752EB662"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2</w:t>
            </w:r>
            <w:r w:rsidRPr="00C9758B">
              <w:rPr>
                <w:rFonts w:ascii="宋体" w:eastAsia="宋体" w:hAnsi="宋体" w:cs="宋体" w:hint="eastAsia"/>
                <w:kern w:val="0"/>
                <w:sz w:val="24"/>
                <w:szCs w:val="24"/>
              </w:rPr>
              <w:t>．单科成绩要求：满分为</w:t>
            </w:r>
            <w:r w:rsidRPr="00C9758B">
              <w:rPr>
                <w:rFonts w:ascii="宋体" w:eastAsia="宋体" w:hAnsi="宋体" w:cs="宋体"/>
                <w:kern w:val="0"/>
                <w:sz w:val="24"/>
                <w:szCs w:val="24"/>
              </w:rPr>
              <w:t>100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50</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150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75</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200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100</w:t>
            </w:r>
            <w:r w:rsidRPr="00C9758B">
              <w:rPr>
                <w:rFonts w:ascii="宋体" w:eastAsia="宋体" w:hAnsi="宋体" w:cs="宋体" w:hint="eastAsia"/>
                <w:kern w:val="0"/>
                <w:sz w:val="24"/>
                <w:szCs w:val="24"/>
              </w:rPr>
              <w:t>分，满分为</w:t>
            </w:r>
            <w:r w:rsidRPr="00C9758B">
              <w:rPr>
                <w:rFonts w:ascii="宋体" w:eastAsia="宋体" w:hAnsi="宋体" w:cs="宋体"/>
                <w:kern w:val="0"/>
                <w:sz w:val="24"/>
                <w:szCs w:val="24"/>
              </w:rPr>
              <w:t>300</w:t>
            </w:r>
            <w:r w:rsidRPr="00C9758B">
              <w:rPr>
                <w:rFonts w:ascii="宋体" w:eastAsia="宋体" w:hAnsi="宋体" w:cs="宋体" w:hint="eastAsia"/>
                <w:kern w:val="0"/>
                <w:sz w:val="24"/>
                <w:szCs w:val="24"/>
              </w:rPr>
              <w:t>分的科目成绩不低于</w:t>
            </w:r>
            <w:r w:rsidRPr="00C9758B">
              <w:rPr>
                <w:rFonts w:ascii="宋体" w:eastAsia="宋体" w:hAnsi="宋体" w:cs="宋体"/>
                <w:kern w:val="0"/>
                <w:sz w:val="24"/>
                <w:szCs w:val="24"/>
              </w:rPr>
              <w:t>150</w:t>
            </w:r>
            <w:r w:rsidRPr="00C9758B">
              <w:rPr>
                <w:rFonts w:ascii="宋体" w:eastAsia="宋体" w:hAnsi="宋体" w:cs="宋体" w:hint="eastAsia"/>
                <w:kern w:val="0"/>
                <w:sz w:val="24"/>
                <w:szCs w:val="24"/>
              </w:rPr>
              <w:t>分。</w:t>
            </w:r>
          </w:p>
          <w:p w14:paraId="1C17D034"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（五）各类加分政策按教育部统一规定的范围和标准执行。</w:t>
            </w:r>
          </w:p>
          <w:p w14:paraId="589B2571"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（六）复试名单</w:t>
            </w:r>
          </w:p>
          <w:p w14:paraId="52F855FD"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请点击</w:t>
            </w:r>
            <w:hyperlink r:id="rId4" w:tgtFrame="_blank" w:history="1">
              <w:r w:rsidRPr="00C9758B">
                <w:rPr>
                  <w:rFonts w:ascii="宋体" w:eastAsia="宋体" w:hAnsi="宋体" w:cs="宋体" w:hint="eastAsia"/>
                  <w:color w:val="337FE5"/>
                  <w:kern w:val="0"/>
                  <w:sz w:val="24"/>
                  <w:szCs w:val="24"/>
                  <w:u w:val="single"/>
                </w:rPr>
                <w:t>附件1</w:t>
              </w:r>
            </w:hyperlink>
            <w:r w:rsidRPr="00C9758B">
              <w:rPr>
                <w:rFonts w:ascii="宋体" w:eastAsia="宋体" w:hAnsi="宋体" w:cs="宋体" w:hint="eastAsia"/>
                <w:kern w:val="0"/>
                <w:sz w:val="24"/>
                <w:szCs w:val="24"/>
              </w:rPr>
              <w:t>（名单中包括少民骨干，退役士兵计划考生，但不包括免试推荐生。免试推荐生已经通过复试，无需再参加此次复试）。</w:t>
            </w:r>
            <w:r w:rsidRPr="00C9758B">
              <w:rPr>
                <w:rFonts w:ascii="宋体" w:eastAsia="宋体" w:hAnsi="宋体" w:cs="宋体" w:hint="eastAsia"/>
                <w:b/>
                <w:bCs/>
                <w:kern w:val="0"/>
                <w:sz w:val="24"/>
                <w:szCs w:val="24"/>
              </w:rPr>
              <w:t>考生复试前需参加我校组织的体检。</w:t>
            </w:r>
          </w:p>
          <w:p w14:paraId="1C07A101"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四、复试安排</w:t>
            </w:r>
          </w:p>
          <w:p w14:paraId="6BB871E3"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1</w:t>
            </w:r>
            <w:r w:rsidRPr="00C9758B">
              <w:rPr>
                <w:rFonts w:ascii="宋体" w:eastAsia="宋体" w:hAnsi="宋体" w:cs="宋体" w:hint="eastAsia"/>
                <w:kern w:val="0"/>
                <w:sz w:val="24"/>
                <w:szCs w:val="24"/>
              </w:rPr>
              <w:t>、复试评分标准</w:t>
            </w:r>
          </w:p>
          <w:p w14:paraId="1DF5F918"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复试总分为</w:t>
            </w:r>
            <w:r w:rsidRPr="00C9758B">
              <w:rPr>
                <w:rFonts w:ascii="宋体" w:eastAsia="宋体" w:hAnsi="宋体" w:cs="宋体"/>
                <w:kern w:val="0"/>
                <w:sz w:val="24"/>
                <w:szCs w:val="24"/>
              </w:rPr>
              <w:t>100</w:t>
            </w:r>
            <w:r w:rsidRPr="00C9758B">
              <w:rPr>
                <w:rFonts w:ascii="宋体" w:eastAsia="宋体" w:hAnsi="宋体" w:cs="宋体" w:hint="eastAsia"/>
                <w:kern w:val="0"/>
                <w:sz w:val="24"/>
                <w:szCs w:val="24"/>
              </w:rPr>
              <w:t>分，复试不合格者（低于</w:t>
            </w:r>
            <w:r w:rsidRPr="00C9758B">
              <w:rPr>
                <w:rFonts w:ascii="宋体" w:eastAsia="宋体" w:hAnsi="宋体" w:cs="宋体"/>
                <w:kern w:val="0"/>
                <w:sz w:val="24"/>
                <w:szCs w:val="24"/>
              </w:rPr>
              <w:t>60</w:t>
            </w:r>
            <w:r w:rsidRPr="00C9758B">
              <w:rPr>
                <w:rFonts w:ascii="宋体" w:eastAsia="宋体" w:hAnsi="宋体" w:cs="宋体" w:hint="eastAsia"/>
                <w:kern w:val="0"/>
                <w:sz w:val="24"/>
                <w:szCs w:val="24"/>
              </w:rPr>
              <w:t>分）不予录取。面试不合格者也不予录取。</w:t>
            </w:r>
          </w:p>
          <w:p w14:paraId="0061C94A"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2</w:t>
            </w:r>
            <w:r w:rsidRPr="00C9758B">
              <w:rPr>
                <w:rFonts w:ascii="宋体" w:eastAsia="宋体" w:hAnsi="宋体" w:cs="宋体" w:hint="eastAsia"/>
                <w:kern w:val="0"/>
                <w:sz w:val="24"/>
                <w:szCs w:val="24"/>
              </w:rPr>
              <w:t>、复试方式</w:t>
            </w:r>
          </w:p>
          <w:p w14:paraId="4273DED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采用笔试（英语听力）和面试相结合的方式。</w:t>
            </w:r>
          </w:p>
          <w:p w14:paraId="7239D352"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3</w:t>
            </w:r>
            <w:r w:rsidRPr="00C9758B">
              <w:rPr>
                <w:rFonts w:ascii="宋体" w:eastAsia="宋体" w:hAnsi="宋体" w:cs="宋体" w:hint="eastAsia"/>
                <w:kern w:val="0"/>
                <w:sz w:val="24"/>
                <w:szCs w:val="24"/>
              </w:rPr>
              <w:t>、复试中英语听力和专业面试的比例</w:t>
            </w:r>
          </w:p>
          <w:p w14:paraId="2F6CF5DD"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复试所占的总成绩的</w:t>
            </w:r>
            <w:r w:rsidRPr="00C9758B">
              <w:rPr>
                <w:rFonts w:ascii="宋体" w:eastAsia="宋体" w:hAnsi="宋体" w:cs="宋体"/>
                <w:kern w:val="0"/>
                <w:sz w:val="24"/>
                <w:szCs w:val="24"/>
              </w:rPr>
              <w:t>40%</w:t>
            </w:r>
            <w:r w:rsidRPr="00C9758B">
              <w:rPr>
                <w:rFonts w:ascii="宋体" w:eastAsia="宋体" w:hAnsi="宋体" w:cs="宋体" w:hint="eastAsia"/>
                <w:kern w:val="0"/>
                <w:sz w:val="24"/>
                <w:szCs w:val="24"/>
              </w:rPr>
              <w:t>中，专业面试（含英语口语）</w:t>
            </w:r>
            <w:r w:rsidRPr="00C9758B">
              <w:rPr>
                <w:rFonts w:ascii="宋体" w:eastAsia="宋体" w:hAnsi="宋体" w:cs="宋体"/>
                <w:kern w:val="0"/>
                <w:sz w:val="24"/>
                <w:szCs w:val="24"/>
              </w:rPr>
              <w:t>30%</w:t>
            </w:r>
            <w:r w:rsidRPr="00C9758B">
              <w:rPr>
                <w:rFonts w:ascii="宋体" w:eastAsia="宋体" w:hAnsi="宋体" w:cs="宋体" w:hint="eastAsia"/>
                <w:kern w:val="0"/>
                <w:sz w:val="24"/>
                <w:szCs w:val="24"/>
              </w:rPr>
              <w:t>、英语听力</w:t>
            </w:r>
            <w:r w:rsidRPr="00C9758B">
              <w:rPr>
                <w:rFonts w:ascii="宋体" w:eastAsia="宋体" w:hAnsi="宋体" w:cs="宋体"/>
                <w:kern w:val="0"/>
                <w:sz w:val="24"/>
                <w:szCs w:val="24"/>
              </w:rPr>
              <w:t>10%</w:t>
            </w:r>
            <w:r w:rsidRPr="00C9758B">
              <w:rPr>
                <w:rFonts w:ascii="宋体" w:eastAsia="宋体" w:hAnsi="宋体" w:cs="宋体" w:hint="eastAsia"/>
                <w:kern w:val="0"/>
                <w:sz w:val="24"/>
                <w:szCs w:val="24"/>
              </w:rPr>
              <w:t>。</w:t>
            </w:r>
          </w:p>
          <w:p w14:paraId="0220E98B"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4</w:t>
            </w:r>
            <w:r w:rsidRPr="00C9758B">
              <w:rPr>
                <w:rFonts w:ascii="宋体" w:eastAsia="宋体" w:hAnsi="宋体" w:cs="宋体" w:hint="eastAsia"/>
                <w:kern w:val="0"/>
                <w:sz w:val="24"/>
                <w:szCs w:val="24"/>
              </w:rPr>
              <w:t>、录取时初试和复试的比例</w:t>
            </w:r>
          </w:p>
          <w:p w14:paraId="43AC2D32"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初试成绩折成百分制，按初试成绩和复试成绩各占</w:t>
            </w:r>
            <w:r w:rsidRPr="00C9758B">
              <w:rPr>
                <w:rFonts w:ascii="宋体" w:eastAsia="宋体" w:hAnsi="宋体" w:cs="宋体"/>
                <w:kern w:val="0"/>
                <w:sz w:val="24"/>
                <w:szCs w:val="24"/>
              </w:rPr>
              <w:t>60%</w:t>
            </w:r>
            <w:r w:rsidRPr="00C9758B">
              <w:rPr>
                <w:rFonts w:ascii="宋体" w:eastAsia="宋体" w:hAnsi="宋体" w:cs="宋体" w:hint="eastAsia"/>
                <w:kern w:val="0"/>
                <w:sz w:val="24"/>
                <w:szCs w:val="24"/>
              </w:rPr>
              <w:t>和</w:t>
            </w:r>
            <w:r w:rsidRPr="00C9758B">
              <w:rPr>
                <w:rFonts w:ascii="宋体" w:eastAsia="宋体" w:hAnsi="宋体" w:cs="宋体"/>
                <w:kern w:val="0"/>
                <w:sz w:val="24"/>
                <w:szCs w:val="24"/>
              </w:rPr>
              <w:t>40%</w:t>
            </w:r>
            <w:r w:rsidRPr="00C9758B">
              <w:rPr>
                <w:rFonts w:ascii="宋体" w:eastAsia="宋体" w:hAnsi="宋体" w:cs="宋体" w:hint="eastAsia"/>
                <w:kern w:val="0"/>
                <w:sz w:val="24"/>
                <w:szCs w:val="24"/>
              </w:rPr>
              <w:t>，计算出考生的综合成绩，结合专业按综合成绩从高分到低分的顺序择优录取。如最后一名综合成绩相同，则复试成绩高者优先录取。</w:t>
            </w:r>
          </w:p>
          <w:p w14:paraId="3F4EBDB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lastRenderedPageBreak/>
              <w:t>5</w:t>
            </w:r>
            <w:r w:rsidRPr="00C9758B">
              <w:rPr>
                <w:rFonts w:ascii="宋体" w:eastAsia="宋体" w:hAnsi="宋体" w:cs="宋体" w:hint="eastAsia"/>
                <w:kern w:val="0"/>
                <w:sz w:val="24"/>
                <w:szCs w:val="24"/>
              </w:rPr>
              <w:t>、复试时间地点安排</w:t>
            </w:r>
          </w:p>
          <w:p w14:paraId="4AD2060D"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复试具体时间地点安排详见后续院网通知。（</w:t>
            </w:r>
            <w:r w:rsidRPr="00C9758B">
              <w:rPr>
                <w:rFonts w:ascii="宋体" w:eastAsia="宋体" w:hAnsi="宋体" w:cs="宋体" w:hint="eastAsia"/>
                <w:b/>
                <w:bCs/>
                <w:kern w:val="0"/>
                <w:sz w:val="24"/>
                <w:szCs w:val="24"/>
              </w:rPr>
              <w:t>初定复试时间为</w:t>
            </w:r>
            <w:r w:rsidRPr="00C9758B">
              <w:rPr>
                <w:rFonts w:ascii="宋体" w:eastAsia="宋体" w:hAnsi="宋体" w:cs="宋体"/>
                <w:b/>
                <w:bCs/>
                <w:kern w:val="0"/>
                <w:sz w:val="24"/>
                <w:szCs w:val="24"/>
              </w:rPr>
              <w:t>3</w:t>
            </w:r>
            <w:r w:rsidRPr="00C9758B">
              <w:rPr>
                <w:rFonts w:ascii="宋体" w:eastAsia="宋体" w:hAnsi="宋体" w:cs="宋体" w:hint="eastAsia"/>
                <w:b/>
                <w:bCs/>
                <w:kern w:val="0"/>
                <w:sz w:val="24"/>
                <w:szCs w:val="24"/>
              </w:rPr>
              <w:t>月</w:t>
            </w:r>
            <w:r w:rsidRPr="00C9758B">
              <w:rPr>
                <w:rFonts w:ascii="宋体" w:eastAsia="宋体" w:hAnsi="宋体" w:cs="宋体"/>
                <w:b/>
                <w:bCs/>
                <w:kern w:val="0"/>
                <w:sz w:val="24"/>
                <w:szCs w:val="24"/>
              </w:rPr>
              <w:t>15</w:t>
            </w:r>
            <w:r w:rsidRPr="00C9758B">
              <w:rPr>
                <w:rFonts w:ascii="宋体" w:eastAsia="宋体" w:hAnsi="宋体" w:cs="宋体" w:hint="eastAsia"/>
                <w:b/>
                <w:bCs/>
                <w:kern w:val="0"/>
                <w:sz w:val="24"/>
                <w:szCs w:val="24"/>
              </w:rPr>
              <w:t>、</w:t>
            </w:r>
            <w:r w:rsidRPr="00C9758B">
              <w:rPr>
                <w:rFonts w:ascii="宋体" w:eastAsia="宋体" w:hAnsi="宋体" w:cs="宋体"/>
                <w:b/>
                <w:bCs/>
                <w:kern w:val="0"/>
                <w:sz w:val="24"/>
                <w:szCs w:val="24"/>
              </w:rPr>
              <w:t>16</w:t>
            </w:r>
            <w:r w:rsidRPr="00C9758B">
              <w:rPr>
                <w:rFonts w:ascii="宋体" w:eastAsia="宋体" w:hAnsi="宋体" w:cs="宋体" w:hint="eastAsia"/>
                <w:b/>
                <w:bCs/>
                <w:kern w:val="0"/>
                <w:sz w:val="24"/>
                <w:szCs w:val="24"/>
              </w:rPr>
              <w:t>、</w:t>
            </w:r>
            <w:r w:rsidRPr="00C9758B">
              <w:rPr>
                <w:rFonts w:ascii="宋体" w:eastAsia="宋体" w:hAnsi="宋体" w:cs="宋体"/>
                <w:b/>
                <w:bCs/>
                <w:kern w:val="0"/>
                <w:sz w:val="24"/>
                <w:szCs w:val="24"/>
              </w:rPr>
              <w:t>17</w:t>
            </w:r>
            <w:r w:rsidRPr="00C9758B">
              <w:rPr>
                <w:rFonts w:ascii="宋体" w:eastAsia="宋体" w:hAnsi="宋体" w:cs="宋体" w:hint="eastAsia"/>
                <w:b/>
                <w:bCs/>
                <w:kern w:val="0"/>
                <w:sz w:val="24"/>
                <w:szCs w:val="24"/>
              </w:rPr>
              <w:t>号三天</w:t>
            </w:r>
            <w:r w:rsidRPr="00C9758B">
              <w:rPr>
                <w:rFonts w:ascii="宋体" w:eastAsia="宋体" w:hAnsi="宋体" w:cs="宋体" w:hint="eastAsia"/>
                <w:kern w:val="0"/>
                <w:sz w:val="24"/>
                <w:szCs w:val="24"/>
              </w:rPr>
              <w:t>。）</w:t>
            </w:r>
          </w:p>
          <w:p w14:paraId="763F0D5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五、调剂规则</w:t>
            </w:r>
          </w:p>
          <w:p w14:paraId="6BF0B785"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1</w:t>
            </w:r>
            <w:r w:rsidRPr="00C9758B">
              <w:rPr>
                <w:rFonts w:ascii="宋体" w:eastAsia="宋体" w:hAnsi="宋体" w:cs="宋体" w:hint="eastAsia"/>
                <w:kern w:val="0"/>
                <w:sz w:val="24"/>
                <w:szCs w:val="24"/>
              </w:rPr>
              <w:t>、按照浙江大学招生规则，我校不接受报考学校为外校的考生调剂。</w:t>
            </w:r>
          </w:p>
          <w:p w14:paraId="0CBD6A92"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2</w:t>
            </w:r>
            <w:r w:rsidRPr="00C9758B">
              <w:rPr>
                <w:rFonts w:ascii="宋体" w:eastAsia="宋体" w:hAnsi="宋体" w:cs="宋体" w:hint="eastAsia"/>
                <w:kern w:val="0"/>
                <w:sz w:val="24"/>
                <w:szCs w:val="24"/>
              </w:rPr>
              <w:t>、学术学位不同学科间的调剂方法</w:t>
            </w:r>
          </w:p>
          <w:p w14:paraId="59AE2340"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复试合格人数未达到拟录取人数的专业，可从其他专业考生中调剂。</w:t>
            </w:r>
          </w:p>
          <w:p w14:paraId="088B41A5"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调剂时，优先从考同一类专业试题的学术学位考生中进行调剂。考同一类专业试题考生调剂复试合格人数未达到调剂专业拟录取人数时，可从其他考不同科目的考生中调剂（若遇到特殊情况，由录取工作领导小组讨论决定是否扩大调剂范围）。</w:t>
            </w:r>
          </w:p>
          <w:p w14:paraId="6161FFED"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复试前，考生可按照意愿表明是否愿意接受调剂；录取时综合考虑其志愿与总分，确定最终录取人员。</w:t>
            </w:r>
          </w:p>
          <w:p w14:paraId="07A40EA7"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面试时首先为上线考生分专业面试；其次为调剂面试，由需要接受调剂的专业对愿意接受调剂的考生进行联合面试。</w:t>
            </w:r>
          </w:p>
          <w:p w14:paraId="3BD2D131"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kern w:val="0"/>
                <w:sz w:val="24"/>
                <w:szCs w:val="24"/>
              </w:rPr>
              <w:t>3</w:t>
            </w:r>
            <w:r w:rsidRPr="00C9758B">
              <w:rPr>
                <w:rFonts w:ascii="宋体" w:eastAsia="宋体" w:hAnsi="宋体" w:cs="宋体" w:hint="eastAsia"/>
                <w:kern w:val="0"/>
                <w:sz w:val="24"/>
                <w:szCs w:val="24"/>
              </w:rPr>
              <w:t>、非全日制专业学位法律硕士招生不足的情况下，复试合格的全日制专业学位（含法律硕士法学、法律硕士非法学）考生可根据志愿调剂至相应的非全日制专业学位。调剂方式为按综合成绩依序递补。</w:t>
            </w:r>
          </w:p>
          <w:p w14:paraId="21B02B4E" w14:textId="77777777" w:rsidR="00C9758B" w:rsidRPr="00C9758B" w:rsidRDefault="00C9758B" w:rsidP="00C9758B">
            <w:pPr>
              <w:widowControl/>
              <w:ind w:firstLine="422"/>
              <w:jc w:val="left"/>
              <w:rPr>
                <w:rFonts w:ascii="宋体" w:eastAsia="宋体" w:hAnsi="宋体" w:cs="宋体"/>
                <w:kern w:val="0"/>
                <w:sz w:val="24"/>
                <w:szCs w:val="24"/>
              </w:rPr>
            </w:pPr>
            <w:r w:rsidRPr="00C9758B">
              <w:rPr>
                <w:rFonts w:ascii="宋体" w:eastAsia="宋体" w:hAnsi="宋体" w:cs="宋体" w:hint="eastAsia"/>
                <w:b/>
                <w:bCs/>
                <w:kern w:val="0"/>
                <w:sz w:val="24"/>
                <w:szCs w:val="24"/>
              </w:rPr>
              <w:t>六、有关资格审查、体检</w:t>
            </w:r>
          </w:p>
          <w:p w14:paraId="7E7A1564" w14:textId="77777777" w:rsidR="00C9758B" w:rsidRPr="00C9758B" w:rsidRDefault="00C9758B" w:rsidP="00C9758B">
            <w:pPr>
              <w:widowControl/>
              <w:ind w:firstLine="422"/>
              <w:jc w:val="left"/>
              <w:rPr>
                <w:rFonts w:ascii="宋体" w:eastAsia="宋体" w:hAnsi="宋体" w:cs="宋体"/>
                <w:kern w:val="0"/>
                <w:sz w:val="24"/>
                <w:szCs w:val="24"/>
              </w:rPr>
            </w:pPr>
            <w:r w:rsidRPr="00C9758B">
              <w:rPr>
                <w:rFonts w:ascii="宋体" w:eastAsia="宋体" w:hAnsi="宋体" w:cs="宋体" w:hint="eastAsia"/>
                <w:b/>
                <w:bCs/>
                <w:kern w:val="0"/>
                <w:sz w:val="24"/>
                <w:szCs w:val="24"/>
              </w:rPr>
              <w:t>所有复试考生至少在复试开始前一天即</w:t>
            </w:r>
            <w:r w:rsidRPr="00C9758B">
              <w:rPr>
                <w:rFonts w:ascii="宋体" w:eastAsia="宋体" w:hAnsi="宋体" w:cs="宋体"/>
                <w:b/>
                <w:bCs/>
                <w:kern w:val="0"/>
                <w:sz w:val="24"/>
                <w:szCs w:val="24"/>
              </w:rPr>
              <w:t>3</w:t>
            </w:r>
            <w:r w:rsidRPr="00C9758B">
              <w:rPr>
                <w:rFonts w:ascii="宋体" w:eastAsia="宋体" w:hAnsi="宋体" w:cs="宋体" w:hint="eastAsia"/>
                <w:b/>
                <w:bCs/>
                <w:kern w:val="0"/>
                <w:sz w:val="24"/>
                <w:szCs w:val="24"/>
              </w:rPr>
              <w:t>月</w:t>
            </w:r>
            <w:r w:rsidRPr="00C9758B">
              <w:rPr>
                <w:rFonts w:ascii="宋体" w:eastAsia="宋体" w:hAnsi="宋体" w:cs="宋体"/>
                <w:b/>
                <w:bCs/>
                <w:kern w:val="0"/>
                <w:sz w:val="24"/>
                <w:szCs w:val="24"/>
              </w:rPr>
              <w:t>14</w:t>
            </w:r>
            <w:r w:rsidRPr="00C9758B">
              <w:rPr>
                <w:rFonts w:ascii="宋体" w:eastAsia="宋体" w:hAnsi="宋体" w:cs="宋体" w:hint="eastAsia"/>
                <w:b/>
                <w:bCs/>
                <w:kern w:val="0"/>
                <w:sz w:val="24"/>
                <w:szCs w:val="24"/>
              </w:rPr>
              <w:t>日前完成校医院体检。</w:t>
            </w:r>
          </w:p>
          <w:p w14:paraId="2C93972A"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hint="eastAsia"/>
                <w:kern w:val="0"/>
                <w:sz w:val="24"/>
                <w:szCs w:val="24"/>
              </w:rPr>
              <w:t>有关资格审查、体检的具体要求及安排详见学校研究生院网站</w:t>
            </w:r>
            <w:r w:rsidRPr="00C9758B">
              <w:rPr>
                <w:rFonts w:ascii="宋体" w:eastAsia="宋体" w:hAnsi="宋体" w:cs="宋体"/>
                <w:kern w:val="0"/>
                <w:sz w:val="24"/>
                <w:szCs w:val="24"/>
              </w:rPr>
              <w:t>http://grs.zju.edu.cn/yjszs/redir.php?catalog_id=130678&amp;object_id=178953</w:t>
            </w:r>
            <w:r w:rsidRPr="00C9758B">
              <w:rPr>
                <w:rFonts w:ascii="宋体" w:eastAsia="宋体" w:hAnsi="宋体" w:cs="宋体" w:hint="eastAsia"/>
                <w:kern w:val="0"/>
                <w:sz w:val="24"/>
                <w:szCs w:val="24"/>
              </w:rPr>
              <w:t>及校医院网站</w:t>
            </w:r>
            <w:r w:rsidRPr="00C9758B">
              <w:rPr>
                <w:rFonts w:ascii="宋体" w:eastAsia="宋体" w:hAnsi="宋体" w:cs="宋体" w:hint="eastAsia"/>
                <w:b/>
                <w:bCs/>
                <w:kern w:val="0"/>
                <w:sz w:val="24"/>
                <w:szCs w:val="24"/>
              </w:rPr>
              <w:t>《校医院关于</w:t>
            </w:r>
            <w:r w:rsidRPr="00C9758B">
              <w:rPr>
                <w:rFonts w:ascii="宋体" w:eastAsia="宋体" w:hAnsi="宋体" w:cs="宋体"/>
                <w:b/>
                <w:bCs/>
                <w:kern w:val="0"/>
                <w:sz w:val="24"/>
                <w:szCs w:val="24"/>
              </w:rPr>
              <w:t>2019</w:t>
            </w:r>
            <w:r w:rsidRPr="00C9758B">
              <w:rPr>
                <w:rFonts w:ascii="宋体" w:eastAsia="宋体" w:hAnsi="宋体" w:cs="宋体" w:hint="eastAsia"/>
                <w:b/>
                <w:bCs/>
                <w:kern w:val="0"/>
                <w:sz w:val="24"/>
                <w:szCs w:val="24"/>
              </w:rPr>
              <w:t>年硕士研究生复试体检的通知》</w:t>
            </w:r>
            <w:r w:rsidRPr="00C9758B">
              <w:rPr>
                <w:rFonts w:ascii="宋体" w:eastAsia="宋体" w:hAnsi="宋体" w:cs="宋体"/>
                <w:b/>
                <w:bCs/>
                <w:kern w:val="0"/>
                <w:sz w:val="24"/>
                <w:szCs w:val="24"/>
              </w:rPr>
              <w:t>http://zdyy.zju.edu.cn/redir.php?catalog_id=26&amp;object_id=53177</w:t>
            </w:r>
            <w:r w:rsidRPr="00C9758B">
              <w:rPr>
                <w:rFonts w:ascii="宋体" w:eastAsia="宋体" w:hAnsi="宋体" w:cs="宋体" w:hint="eastAsia"/>
                <w:b/>
                <w:bCs/>
                <w:kern w:val="0"/>
                <w:sz w:val="24"/>
                <w:szCs w:val="24"/>
              </w:rPr>
              <w:t>。</w:t>
            </w:r>
          </w:p>
          <w:p w14:paraId="351AE739"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其他：体检不合格者不予录取；思想品德考核不合格者不予录取。</w:t>
            </w:r>
          </w:p>
          <w:p w14:paraId="64253BB0" w14:textId="77777777" w:rsidR="00C9758B" w:rsidRPr="00C9758B" w:rsidRDefault="00C9758B" w:rsidP="00C9758B">
            <w:pPr>
              <w:widowControl/>
              <w:ind w:firstLine="422"/>
              <w:jc w:val="left"/>
              <w:rPr>
                <w:rFonts w:ascii="宋体" w:eastAsia="宋体" w:hAnsi="宋体" w:cs="宋体"/>
                <w:kern w:val="0"/>
                <w:sz w:val="24"/>
                <w:szCs w:val="24"/>
              </w:rPr>
            </w:pPr>
            <w:r w:rsidRPr="00C9758B">
              <w:rPr>
                <w:rFonts w:ascii="宋体" w:eastAsia="宋体" w:hAnsi="宋体" w:cs="宋体" w:hint="eastAsia"/>
                <w:b/>
                <w:bCs/>
                <w:kern w:val="0"/>
                <w:sz w:val="24"/>
                <w:szCs w:val="24"/>
              </w:rPr>
              <w:t>七、关于</w:t>
            </w:r>
            <w:r w:rsidRPr="00C9758B">
              <w:rPr>
                <w:rFonts w:ascii="宋体" w:eastAsia="宋体" w:hAnsi="宋体" w:cs="宋体"/>
                <w:b/>
                <w:bCs/>
                <w:kern w:val="0"/>
                <w:sz w:val="24"/>
                <w:szCs w:val="24"/>
              </w:rPr>
              <w:t>2019</w:t>
            </w:r>
            <w:r w:rsidRPr="00C9758B">
              <w:rPr>
                <w:rFonts w:ascii="宋体" w:eastAsia="宋体" w:hAnsi="宋体" w:cs="宋体" w:hint="eastAsia"/>
                <w:b/>
                <w:bCs/>
                <w:kern w:val="0"/>
                <w:sz w:val="24"/>
                <w:szCs w:val="24"/>
              </w:rPr>
              <w:t>年硕士研究生复试的交通及住宿的温馨提示</w:t>
            </w:r>
          </w:p>
          <w:p w14:paraId="036FC1CE" w14:textId="77777777" w:rsidR="00C9758B" w:rsidRPr="00C9758B" w:rsidRDefault="00C9758B" w:rsidP="00C9758B">
            <w:pPr>
              <w:widowControl/>
              <w:ind w:firstLine="420"/>
              <w:jc w:val="left"/>
              <w:rPr>
                <w:rFonts w:ascii="宋体" w:eastAsia="宋体" w:hAnsi="宋体" w:cs="宋体"/>
                <w:kern w:val="0"/>
                <w:sz w:val="24"/>
                <w:szCs w:val="24"/>
              </w:rPr>
            </w:pPr>
            <w:r w:rsidRPr="00C9758B">
              <w:rPr>
                <w:rFonts w:ascii="宋体" w:eastAsia="宋体" w:hAnsi="宋体" w:cs="宋体" w:hint="eastAsia"/>
                <w:kern w:val="0"/>
                <w:sz w:val="24"/>
                <w:szCs w:val="24"/>
              </w:rPr>
              <w:t>有关浙江大学之江校区、光华法学院地址、交通、食宿等详情请点击</w:t>
            </w:r>
            <w:hyperlink r:id="rId5" w:tgtFrame="_blank" w:history="1">
              <w:r w:rsidRPr="00C9758B">
                <w:rPr>
                  <w:rFonts w:ascii="宋体" w:eastAsia="宋体" w:hAnsi="宋体" w:cs="宋体" w:hint="eastAsia"/>
                  <w:color w:val="337FE5"/>
                  <w:kern w:val="0"/>
                  <w:sz w:val="24"/>
                  <w:szCs w:val="24"/>
                  <w:u w:val="single"/>
                </w:rPr>
                <w:t>附件2</w:t>
              </w:r>
            </w:hyperlink>
          </w:p>
          <w:p w14:paraId="716AC0C4"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 w:val="24"/>
                <w:szCs w:val="24"/>
              </w:rPr>
              <w:t> </w:t>
            </w:r>
          </w:p>
          <w:p w14:paraId="2772239A" w14:textId="77777777" w:rsidR="00C9758B" w:rsidRPr="00C9758B" w:rsidRDefault="00C9758B" w:rsidP="00C9758B">
            <w:pPr>
              <w:widowControl/>
              <w:ind w:firstLine="4620"/>
              <w:jc w:val="left"/>
              <w:rPr>
                <w:rFonts w:ascii="宋体" w:eastAsia="宋体" w:hAnsi="宋体" w:cs="宋体"/>
                <w:kern w:val="0"/>
                <w:sz w:val="24"/>
                <w:szCs w:val="24"/>
              </w:rPr>
            </w:pPr>
            <w:r w:rsidRPr="00C9758B">
              <w:rPr>
                <w:rFonts w:ascii="宋体" w:eastAsia="宋体" w:hAnsi="宋体" w:cs="宋体" w:hint="eastAsia"/>
                <w:kern w:val="0"/>
                <w:sz w:val="24"/>
                <w:szCs w:val="24"/>
              </w:rPr>
              <w:t>浙江大学光华法学院</w:t>
            </w:r>
          </w:p>
          <w:p w14:paraId="60CCA349" w14:textId="77777777" w:rsidR="00C9758B" w:rsidRPr="00C9758B" w:rsidRDefault="00C9758B" w:rsidP="00C9758B">
            <w:pPr>
              <w:widowControl/>
              <w:jc w:val="left"/>
              <w:rPr>
                <w:rFonts w:ascii="宋体" w:eastAsia="宋体" w:hAnsi="宋体" w:cs="宋体"/>
                <w:kern w:val="0"/>
                <w:sz w:val="24"/>
                <w:szCs w:val="24"/>
              </w:rPr>
            </w:pPr>
            <w:r w:rsidRPr="00C9758B">
              <w:rPr>
                <w:rFonts w:ascii="宋体" w:eastAsia="宋体" w:hAnsi="宋体" w:cs="宋体"/>
                <w:kern w:val="0"/>
                <w:szCs w:val="21"/>
              </w:rPr>
              <w:t>                                                                      2019</w:t>
            </w:r>
            <w:r w:rsidRPr="00C9758B">
              <w:rPr>
                <w:rFonts w:ascii="宋体" w:eastAsia="宋体" w:hAnsi="宋体" w:cs="宋体" w:hint="eastAsia"/>
                <w:kern w:val="0"/>
                <w:szCs w:val="21"/>
              </w:rPr>
              <w:t>年</w:t>
            </w:r>
            <w:r w:rsidRPr="00C9758B">
              <w:rPr>
                <w:rFonts w:ascii="宋体" w:eastAsia="宋体" w:hAnsi="宋体" w:cs="宋体"/>
                <w:kern w:val="0"/>
                <w:szCs w:val="21"/>
              </w:rPr>
              <w:t>3</w:t>
            </w:r>
            <w:r w:rsidRPr="00C9758B">
              <w:rPr>
                <w:rFonts w:ascii="宋体" w:eastAsia="宋体" w:hAnsi="宋体" w:cs="宋体" w:hint="eastAsia"/>
                <w:kern w:val="0"/>
                <w:szCs w:val="21"/>
              </w:rPr>
              <w:t>月</w:t>
            </w:r>
            <w:r w:rsidRPr="00C9758B">
              <w:rPr>
                <w:rFonts w:ascii="宋体" w:eastAsia="宋体" w:hAnsi="宋体" w:cs="宋体"/>
                <w:kern w:val="0"/>
                <w:szCs w:val="21"/>
              </w:rPr>
              <w:t>7</w:t>
            </w:r>
            <w:r w:rsidRPr="00C9758B">
              <w:rPr>
                <w:rFonts w:ascii="宋体" w:eastAsia="宋体" w:hAnsi="宋体" w:cs="宋体" w:hint="eastAsia"/>
                <w:kern w:val="0"/>
                <w:szCs w:val="21"/>
              </w:rPr>
              <w:t>日</w:t>
            </w:r>
          </w:p>
        </w:tc>
      </w:tr>
    </w:tbl>
    <w:p w14:paraId="36DFB6F8" w14:textId="77777777" w:rsidR="00250E39" w:rsidRDefault="00250E39"/>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A5"/>
    <w:rsid w:val="00250E39"/>
    <w:rsid w:val="007A6FA5"/>
    <w:rsid w:val="00A609FB"/>
    <w:rsid w:val="00C9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FF1"/>
  <w15:chartTrackingRefBased/>
  <w15:docId w15:val="{525D0BC3-8049-41A3-8F11-623D35A8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975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9758B"/>
    <w:rPr>
      <w:rFonts w:ascii="宋体" w:eastAsia="宋体" w:hAnsi="宋体" w:cs="宋体"/>
      <w:b/>
      <w:bCs/>
      <w:kern w:val="0"/>
      <w:sz w:val="36"/>
      <w:szCs w:val="36"/>
    </w:rPr>
  </w:style>
  <w:style w:type="character" w:customStyle="1" w:styleId="artdate">
    <w:name w:val="art_date"/>
    <w:basedOn w:val="a0"/>
    <w:rsid w:val="00C9758B"/>
  </w:style>
  <w:style w:type="character" w:styleId="a3">
    <w:name w:val="Hyperlink"/>
    <w:basedOn w:val="a0"/>
    <w:uiPriority w:val="99"/>
    <w:semiHidden/>
    <w:unhideWhenUsed/>
    <w:rsid w:val="00C9758B"/>
    <w:rPr>
      <w:color w:val="0000FF"/>
      <w:u w:val="single"/>
    </w:rPr>
  </w:style>
  <w:style w:type="character" w:customStyle="1" w:styleId="apple-converted-space">
    <w:name w:val="apple-converted-space"/>
    <w:basedOn w:val="a0"/>
    <w:rsid w:val="00C9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940092">
      <w:bodyDiv w:val="1"/>
      <w:marLeft w:val="0"/>
      <w:marRight w:val="0"/>
      <w:marTop w:val="0"/>
      <w:marBottom w:val="0"/>
      <w:divBdr>
        <w:top w:val="none" w:sz="0" w:space="0" w:color="auto"/>
        <w:left w:val="none" w:sz="0" w:space="0" w:color="auto"/>
        <w:bottom w:val="none" w:sz="0" w:space="0" w:color="auto"/>
        <w:right w:val="none" w:sz="0" w:space="0" w:color="auto"/>
      </w:divBdr>
      <w:divsChild>
        <w:div w:id="515848480">
          <w:marLeft w:val="0"/>
          <w:marRight w:val="0"/>
          <w:marTop w:val="0"/>
          <w:marBottom w:val="0"/>
          <w:divBdr>
            <w:top w:val="none" w:sz="0" w:space="0" w:color="auto"/>
            <w:left w:val="none" w:sz="0" w:space="0" w:color="auto"/>
            <w:bottom w:val="none" w:sz="0" w:space="0" w:color="auto"/>
            <w:right w:val="none" w:sz="0" w:space="0" w:color="auto"/>
          </w:divBdr>
          <w:divsChild>
            <w:div w:id="243804887">
              <w:marLeft w:val="0"/>
              <w:marRight w:val="0"/>
              <w:marTop w:val="0"/>
              <w:marBottom w:val="0"/>
              <w:divBdr>
                <w:top w:val="none" w:sz="0" w:space="0" w:color="auto"/>
                <w:left w:val="none" w:sz="0" w:space="0" w:color="auto"/>
                <w:bottom w:val="none" w:sz="0" w:space="0" w:color="auto"/>
                <w:right w:val="none" w:sz="0" w:space="0" w:color="auto"/>
              </w:divBdr>
              <w:divsChild>
                <w:div w:id="1955013098">
                  <w:marLeft w:val="0"/>
                  <w:marRight w:val="0"/>
                  <w:marTop w:val="0"/>
                  <w:marBottom w:val="0"/>
                  <w:divBdr>
                    <w:top w:val="none" w:sz="0" w:space="0" w:color="auto"/>
                    <w:left w:val="none" w:sz="0" w:space="0" w:color="auto"/>
                    <w:bottom w:val="none" w:sz="0" w:space="0" w:color="auto"/>
                    <w:right w:val="none" w:sz="0" w:space="0" w:color="auto"/>
                  </w:divBdr>
                  <w:divsChild>
                    <w:div w:id="1543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hls.zju.edu.cn/attachments/file/20190311/20190311162433_96476.docx" TargetMode="External"/><Relationship Id="rId4" Type="http://schemas.openxmlformats.org/officeDocument/2006/relationships/hyperlink" Target="http://www.ghls.zju.edu.cn/attachments/file/20190307/20190307150923_79521.xl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3</cp:revision>
  <dcterms:created xsi:type="dcterms:W3CDTF">2019-04-11T03:36:00Z</dcterms:created>
  <dcterms:modified xsi:type="dcterms:W3CDTF">2019-04-11T03:39:00Z</dcterms:modified>
</cp:coreProperties>
</file>