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发动机服务手册</w:t>
      </w:r>
    </w:p>
    <w:p>
      <w:pPr>
        <w:pStyle w:val="Heading1"/>
      </w:pPr>
      <w:r>
        <w:t>发动机故障码</w:t>
      </w:r>
    </w:p>
    <w:p>
      <w:r>
        <w:t>本节供发动机组使用。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故障码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处理动作</w:t>
            </w:r>
          </w:p>
        </w:tc>
      </w:tr>
      <w:tr>
        <w:tc>
          <w:tcPr>
            <w:tcW w:type="dxa" w:w="2880"/>
          </w:tcPr>
          <w:p>
            <w:r>
              <w:t>E001</w:t>
            </w:r>
          </w:p>
        </w:tc>
        <w:tc>
          <w:tcPr>
            <w:tcW w:type="dxa" w:w="2880"/>
          </w:tcPr>
          <w:p>
            <w:r>
              <w:t>进气压力异常</w:t>
            </w:r>
          </w:p>
        </w:tc>
        <w:tc>
          <w:tcPr>
            <w:tcW w:type="dxa" w:w="2880"/>
          </w:tcPr>
          <w:p>
            <w:r>
              <w:t>检查进气管道、传感器和旁通阀</w:t>
            </w:r>
          </w:p>
        </w:tc>
      </w:tr>
      <w:tr>
        <w:tc>
          <w:tcPr>
            <w:tcW w:type="dxa" w:w="2880"/>
          </w:tcPr>
          <w:p>
            <w:r>
              <w:t>E002</w:t>
            </w:r>
          </w:p>
        </w:tc>
        <w:tc>
          <w:tcPr>
            <w:tcW w:type="dxa" w:w="2880"/>
          </w:tcPr>
          <w:p>
            <w:r>
              <w:t>机油压力过低</w:t>
            </w:r>
          </w:p>
        </w:tc>
        <w:tc>
          <w:tcPr>
            <w:tcW w:type="dxa" w:w="2880"/>
          </w:tcPr>
          <w:p>
            <w:r>
              <w:t>停机检查油位、滤芯和油泵</w:t>
            </w:r>
          </w:p>
        </w:tc>
      </w:tr>
    </w:tbl>
    <w:p>
      <w:pPr>
        <w:pStyle w:val="Heading1"/>
      </w:pPr>
      <w:r>
        <w:t>维护记录</w:t>
      </w:r>
    </w:p>
    <w:p>
      <w:r>
        <w:t>更换部件后需要在工单中记录部件编号。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