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8ACA8">
      <w:pPr>
        <w:spacing w:line="360" w:lineRule="auto"/>
        <w:ind w:firstLine="0" w:firstLineChars="0"/>
        <w:jc w:val="center"/>
        <w:rPr>
          <w:rFonts w:hint="eastAsia" w:ascii="宋体" w:hAnsi="宋体" w:eastAsia="宋体" w:cs="宋体"/>
          <w:color w:val="auto"/>
          <w:sz w:val="24"/>
          <w:szCs w:val="24"/>
        </w:rPr>
      </w:pPr>
      <w:bookmarkStart w:id="0" w:name="_GoBack"/>
      <w:bookmarkEnd w:id="0"/>
      <w:r>
        <w:rPr>
          <w:rFonts w:hint="eastAsia" w:ascii="宋体" w:hAnsi="宋体" w:eastAsia="宋体" w:cs="宋体"/>
          <w:b/>
          <w:color w:val="auto"/>
          <w:sz w:val="30"/>
          <w:szCs w:val="30"/>
        </w:rPr>
        <w:t>国泰君安期货</w:t>
      </w:r>
      <w:r>
        <w:rPr>
          <w:rFonts w:hint="eastAsia" w:ascii="宋体" w:hAnsi="宋体" w:eastAsia="宋体" w:cs="宋体"/>
          <w:b/>
          <w:color w:val="auto"/>
          <w:sz w:val="30"/>
          <w:szCs w:val="30"/>
          <w:lang w:val="en-US" w:eastAsia="zh-CN"/>
        </w:rPr>
        <w:t>交易所</w:t>
      </w:r>
      <w:r>
        <w:rPr>
          <w:rFonts w:hint="eastAsia" w:ascii="宋体" w:hAnsi="宋体" w:eastAsia="宋体" w:cs="宋体"/>
          <w:b/>
          <w:color w:val="auto"/>
          <w:sz w:val="30"/>
          <w:szCs w:val="30"/>
        </w:rPr>
        <w:t>移仓业务</w:t>
      </w:r>
      <w:r>
        <w:rPr>
          <w:rFonts w:hint="eastAsia" w:ascii="宋体" w:hAnsi="宋体" w:eastAsia="宋体" w:cs="宋体"/>
          <w:b/>
          <w:color w:val="auto"/>
          <w:sz w:val="30"/>
          <w:szCs w:val="30"/>
          <w:lang w:val="en-US" w:eastAsia="zh-CN"/>
        </w:rPr>
        <w:t>操作</w:t>
      </w:r>
      <w:r>
        <w:rPr>
          <w:rFonts w:hint="eastAsia" w:ascii="宋体" w:hAnsi="宋体" w:eastAsia="宋体" w:cs="宋体"/>
          <w:b/>
          <w:color w:val="auto"/>
          <w:sz w:val="30"/>
          <w:szCs w:val="30"/>
        </w:rPr>
        <w:t>指引</w:t>
      </w:r>
    </w:p>
    <w:p w14:paraId="640E76AB">
      <w:pPr>
        <w:pStyle w:val="8"/>
        <w:numPr>
          <w:ilvl w:val="0"/>
          <w:numId w:val="1"/>
        </w:numPr>
        <w:spacing w:line="360" w:lineRule="auto"/>
        <w:ind w:firstLine="0" w:firstLineChars="0"/>
        <w:jc w:val="center"/>
        <w:rPr>
          <w:rFonts w:hint="eastAsia" w:ascii="宋体" w:hAnsi="宋体" w:eastAsia="宋体" w:cs="宋体"/>
          <w:color w:val="auto"/>
          <w:sz w:val="24"/>
          <w:szCs w:val="24"/>
          <w:lang w:val="en-US" w:eastAsia="zh-CN"/>
        </w:rPr>
      </w:pPr>
      <w:r>
        <w:rPr>
          <w:rFonts w:hint="eastAsia" w:ascii="宋体" w:hAnsi="宋体" w:eastAsia="宋体" w:cs="宋体"/>
          <w:b/>
          <w:color w:val="auto"/>
          <w:sz w:val="24"/>
          <w:szCs w:val="24"/>
          <w:lang w:val="en-US" w:eastAsia="zh-CN"/>
        </w:rPr>
        <w:t>业务概述</w:t>
      </w:r>
    </w:p>
    <w:p w14:paraId="02414965">
      <w:pPr>
        <w:numPr>
          <w:ilvl w:val="0"/>
          <w:numId w:val="2"/>
        </w:num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为规范</w:t>
      </w:r>
      <w:r>
        <w:rPr>
          <w:rFonts w:hint="eastAsia" w:ascii="宋体" w:hAnsi="宋体" w:eastAsia="宋体" w:cs="宋体"/>
          <w:color w:val="auto"/>
          <w:sz w:val="24"/>
          <w:szCs w:val="24"/>
          <w:lang w:val="en-US" w:eastAsia="zh-CN"/>
        </w:rPr>
        <w:t>公司交易所</w:t>
      </w:r>
      <w:r>
        <w:rPr>
          <w:rFonts w:hint="eastAsia" w:ascii="宋体" w:hAnsi="宋体" w:eastAsia="宋体" w:cs="宋体"/>
          <w:color w:val="auto"/>
          <w:sz w:val="24"/>
          <w:szCs w:val="24"/>
        </w:rPr>
        <w:t>移仓业务操作</w:t>
      </w:r>
      <w:r>
        <w:rPr>
          <w:rFonts w:hint="eastAsia" w:ascii="宋体" w:hAnsi="宋体" w:eastAsia="宋体" w:cs="宋体"/>
          <w:color w:val="auto"/>
          <w:sz w:val="24"/>
          <w:szCs w:val="24"/>
          <w:lang w:val="en-US" w:eastAsia="zh-CN"/>
        </w:rPr>
        <w:t>流程，防范业务风险，</w:t>
      </w:r>
      <w:r>
        <w:rPr>
          <w:rFonts w:hint="eastAsia" w:ascii="宋体" w:hAnsi="宋体" w:eastAsia="宋体" w:cs="宋体"/>
          <w:color w:val="auto"/>
          <w:sz w:val="24"/>
          <w:szCs w:val="24"/>
        </w:rPr>
        <w:t>根据《郑州商品交易所期货结算管理办法》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《大连商品交易所结算管理办法》</w:t>
      </w:r>
      <w:r>
        <w:rPr>
          <w:rFonts w:hint="eastAsia" w:ascii="宋体" w:hAnsi="宋体" w:eastAsia="宋体" w:cs="宋体"/>
          <w:color w:val="auto"/>
          <w:sz w:val="24"/>
          <w:szCs w:val="24"/>
          <w:lang w:eastAsia="zh-CN"/>
        </w:rPr>
        <w:t>、《上海期货交易所交割月移仓业务指引》</w:t>
      </w:r>
      <w:r>
        <w:rPr>
          <w:rFonts w:hint="eastAsia" w:ascii="宋体" w:hAnsi="宋体" w:eastAsia="宋体" w:cs="宋体"/>
          <w:color w:val="auto"/>
          <w:sz w:val="24"/>
          <w:szCs w:val="24"/>
          <w:lang w:val="en-US" w:eastAsia="zh-CN"/>
        </w:rPr>
        <w:t>相关要求，结合我司具体情况</w:t>
      </w:r>
      <w:r>
        <w:rPr>
          <w:rFonts w:hint="eastAsia" w:ascii="宋体" w:hAnsi="宋体" w:eastAsia="宋体" w:cs="宋体"/>
          <w:color w:val="auto"/>
          <w:sz w:val="24"/>
          <w:szCs w:val="24"/>
        </w:rPr>
        <w:t>，特制定本指引。</w:t>
      </w:r>
    </w:p>
    <w:p w14:paraId="758B264D">
      <w:pPr>
        <w:numPr>
          <w:ilvl w:val="0"/>
          <w:numId w:val="2"/>
        </w:numPr>
        <w:spacing w:line="360" w:lineRule="auto"/>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交易所</w:t>
      </w:r>
      <w:r>
        <w:rPr>
          <w:rFonts w:hint="eastAsia" w:ascii="宋体" w:hAnsi="宋体" w:eastAsia="宋体" w:cs="宋体"/>
          <w:color w:val="auto"/>
          <w:sz w:val="24"/>
          <w:szCs w:val="24"/>
        </w:rPr>
        <w:t>移仓业务是指：</w:t>
      </w:r>
      <w:r>
        <w:rPr>
          <w:rFonts w:ascii="Arial" w:hAnsi="Arial" w:eastAsia="Arial" w:cs="Arial"/>
          <w:i w:val="0"/>
          <w:iCs w:val="0"/>
          <w:caps w:val="0"/>
          <w:color w:val="auto"/>
          <w:spacing w:val="0"/>
          <w:sz w:val="24"/>
          <w:szCs w:val="24"/>
          <w:shd w:val="clear" w:fill="FFFFFF"/>
        </w:rPr>
        <w:t>客户</w:t>
      </w:r>
      <w:r>
        <w:rPr>
          <w:rFonts w:hint="eastAsia" w:ascii="Arial" w:hAnsi="Arial" w:eastAsia="宋体" w:cs="Arial"/>
          <w:i w:val="0"/>
          <w:iCs w:val="0"/>
          <w:caps w:val="0"/>
          <w:color w:val="auto"/>
          <w:spacing w:val="0"/>
          <w:sz w:val="24"/>
          <w:szCs w:val="24"/>
          <w:shd w:val="clear" w:fill="FFFFFF"/>
          <w:lang w:val="en-US" w:eastAsia="zh-CN"/>
        </w:rPr>
        <w:t>满足相应条件</w:t>
      </w:r>
      <w:r>
        <w:rPr>
          <w:rFonts w:ascii="Arial" w:hAnsi="Arial" w:eastAsia="Arial" w:cs="Arial"/>
          <w:b w:val="0"/>
          <w:bCs w:val="0"/>
          <w:i w:val="0"/>
          <w:iCs w:val="0"/>
          <w:caps w:val="0"/>
          <w:color w:val="auto"/>
          <w:spacing w:val="0"/>
          <w:sz w:val="24"/>
          <w:szCs w:val="24"/>
          <w:shd w:val="clear" w:fill="FFFFFF"/>
        </w:rPr>
        <w:t>的‌</w:t>
      </w:r>
      <w:r>
        <w:rPr>
          <w:rStyle w:val="7"/>
          <w:rFonts w:hint="default" w:ascii="Arial" w:hAnsi="Arial" w:eastAsia="Arial" w:cs="Arial"/>
          <w:b w:val="0"/>
          <w:bCs w:val="0"/>
          <w:i w:val="0"/>
          <w:iCs w:val="0"/>
          <w:caps w:val="0"/>
          <w:color w:val="auto"/>
          <w:spacing w:val="0"/>
          <w:sz w:val="24"/>
          <w:szCs w:val="24"/>
        </w:rPr>
        <w:t>持仓</w:t>
      </w:r>
      <w:r>
        <w:rPr>
          <w:rFonts w:hint="default" w:ascii="Arial" w:hAnsi="Arial" w:eastAsia="Arial" w:cs="Arial"/>
          <w:i w:val="0"/>
          <w:iCs w:val="0"/>
          <w:caps w:val="0"/>
          <w:color w:val="auto"/>
          <w:spacing w:val="0"/>
          <w:sz w:val="24"/>
          <w:szCs w:val="24"/>
          <w:shd w:val="clear" w:fill="FFFFFF"/>
        </w:rPr>
        <w:t>‌，</w:t>
      </w:r>
      <w:r>
        <w:rPr>
          <w:rFonts w:hint="eastAsia" w:ascii="Arial" w:hAnsi="Arial" w:eastAsia="宋体" w:cs="Arial"/>
          <w:i w:val="0"/>
          <w:iCs w:val="0"/>
          <w:caps w:val="0"/>
          <w:color w:val="auto"/>
          <w:spacing w:val="0"/>
          <w:sz w:val="24"/>
          <w:szCs w:val="24"/>
          <w:shd w:val="clear" w:fill="FFFFFF"/>
          <w:lang w:val="en-US" w:eastAsia="zh-CN"/>
        </w:rPr>
        <w:t>经客户申请、期货公司和交易所审批同意，可以</w:t>
      </w:r>
      <w:r>
        <w:rPr>
          <w:rFonts w:hint="default" w:ascii="Arial" w:hAnsi="Arial" w:eastAsia="Arial" w:cs="Arial"/>
          <w:i w:val="0"/>
          <w:iCs w:val="0"/>
          <w:caps w:val="0"/>
          <w:color w:val="auto"/>
          <w:spacing w:val="0"/>
          <w:sz w:val="24"/>
          <w:szCs w:val="24"/>
          <w:shd w:val="clear" w:fill="FFFFFF"/>
        </w:rPr>
        <w:t>从一家期货公司（移出方）转移至另一家期货公司（移入方），或在同一实控组内不同账户间转移‌</w:t>
      </w:r>
      <w:r>
        <w:rPr>
          <w:rFonts w:hint="eastAsia" w:ascii="宋体" w:hAnsi="宋体" w:eastAsia="宋体" w:cs="宋体"/>
          <w:color w:val="auto"/>
          <w:sz w:val="24"/>
          <w:szCs w:val="24"/>
          <w:lang w:val="en-US" w:eastAsia="zh-CN"/>
        </w:rPr>
        <w:t>。已开展移仓业务的交易所可移仓类型如下：</w:t>
      </w:r>
    </w:p>
    <w:p w14:paraId="1AF94C53">
      <w:pPr>
        <w:numPr>
          <w:ilvl w:val="0"/>
          <w:numId w:val="3"/>
        </w:numPr>
        <w:spacing w:line="360" w:lineRule="auto"/>
        <w:ind w:firstLine="420"/>
        <w:rPr>
          <w:rFonts w:hint="eastAsia" w:ascii="宋体" w:hAnsi="宋体" w:eastAsia="宋体" w:cs="宋体"/>
          <w:color w:val="auto"/>
          <w:sz w:val="24"/>
          <w:szCs w:val="24"/>
        </w:rPr>
      </w:pPr>
      <w:r>
        <w:rPr>
          <w:rFonts w:hint="eastAsia" w:ascii="宋体" w:hAnsi="宋体" w:eastAsia="宋体" w:cs="宋体"/>
          <w:color w:val="auto"/>
          <w:sz w:val="24"/>
          <w:szCs w:val="24"/>
        </w:rPr>
        <w:t>郑州商品交易所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同一客户在不同期货公司会员之间进行合约持仓及持仓保证金的转移；</w:t>
      </w:r>
    </w:p>
    <w:p w14:paraId="5FB46B0A">
      <w:pPr>
        <w:numPr>
          <w:ilvl w:val="0"/>
          <w:numId w:val="3"/>
        </w:numPr>
        <w:spacing w:line="360" w:lineRule="auto"/>
        <w:ind w:firstLine="420"/>
        <w:rPr>
          <w:rFonts w:hint="eastAsia" w:ascii="宋体" w:hAnsi="宋体" w:eastAsia="宋体" w:cs="宋体"/>
          <w:color w:val="auto"/>
          <w:sz w:val="24"/>
          <w:szCs w:val="24"/>
        </w:rPr>
      </w:pPr>
      <w:r>
        <w:rPr>
          <w:rFonts w:hint="eastAsia" w:ascii="宋体" w:hAnsi="宋体" w:eastAsia="宋体" w:cs="宋体"/>
          <w:color w:val="auto"/>
          <w:sz w:val="24"/>
          <w:szCs w:val="24"/>
        </w:rPr>
        <w:t>大连商品交易所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同一客户在不同期货公司会员之间进行合约持仓及持仓保证金的转移；同一组实际控制关系账户内</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单位客户、非期货公司会员或境外特殊非经纪参与者的期货及期权持仓在关系组账户之间进行合约持仓的转移（非期货公司会员或境外特殊非经纪参与者仅能移出）</w:t>
      </w:r>
      <w:r>
        <w:rPr>
          <w:rFonts w:hint="eastAsia" w:ascii="宋体" w:hAnsi="宋体" w:eastAsia="宋体" w:cs="宋体"/>
          <w:color w:val="auto"/>
          <w:sz w:val="24"/>
          <w:szCs w:val="24"/>
          <w:lang w:eastAsia="zh-CN"/>
        </w:rPr>
        <w:t>；</w:t>
      </w:r>
    </w:p>
    <w:p w14:paraId="027B1E81">
      <w:pPr>
        <w:numPr>
          <w:ilvl w:val="0"/>
          <w:numId w:val="3"/>
        </w:numPr>
        <w:spacing w:line="360" w:lineRule="auto"/>
        <w:ind w:firstLine="42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上海期货交易所：同一</w:t>
      </w:r>
      <w:r>
        <w:rPr>
          <w:rFonts w:hint="eastAsia" w:ascii="宋体" w:hAnsi="宋体" w:eastAsia="宋体" w:cs="宋体"/>
          <w:color w:val="auto"/>
          <w:sz w:val="24"/>
          <w:szCs w:val="24"/>
        </w:rPr>
        <w:t>组</w:t>
      </w:r>
      <w:r>
        <w:rPr>
          <w:rFonts w:hint="eastAsia" w:ascii="宋体" w:hAnsi="宋体" w:eastAsia="宋体" w:cs="宋体"/>
          <w:color w:val="auto"/>
          <w:sz w:val="24"/>
          <w:szCs w:val="24"/>
          <w:lang w:val="en-US" w:eastAsia="zh-CN"/>
        </w:rPr>
        <w:t>实际控制关系账户内，境外单位客户或境外特殊非经纪参与者向境内一般单位客户或非期货公司会员进行特定品种的持仓转移（品种范围以交易所发布为准）</w:t>
      </w:r>
      <w:r>
        <w:rPr>
          <w:rFonts w:hint="eastAsia" w:ascii="宋体" w:hAnsi="宋体" w:eastAsia="宋体" w:cs="宋体"/>
          <w:color w:val="auto"/>
          <w:sz w:val="24"/>
          <w:szCs w:val="24"/>
        </w:rPr>
        <w:t>。</w:t>
      </w:r>
    </w:p>
    <w:p w14:paraId="6355B87E">
      <w:pPr>
        <w:numPr>
          <w:ilvl w:val="0"/>
          <w:numId w:val="3"/>
        </w:numPr>
        <w:spacing w:line="360" w:lineRule="auto"/>
        <w:ind w:firstLine="42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其他交易所：暂无该业务</w:t>
      </w:r>
    </w:p>
    <w:p w14:paraId="24C4DEAC">
      <w:pPr>
        <w:numPr>
          <w:ilvl w:val="0"/>
          <w:numId w:val="2"/>
        </w:numPr>
        <w:spacing w:line="360" w:lineRule="auto"/>
        <w:ind w:firstLine="480" w:firstLineChars="200"/>
        <w:rPr>
          <w:rFonts w:hint="eastAsia" w:ascii="宋体" w:hAnsi="宋体" w:eastAsia="宋体" w:cs="宋体"/>
          <w:b w:val="0"/>
          <w:bCs/>
          <w:color w:val="auto"/>
          <w:sz w:val="24"/>
          <w:szCs w:val="24"/>
          <w:lang w:val="en-US" w:eastAsia="zh-CN"/>
        </w:rPr>
      </w:pPr>
      <w:r>
        <w:rPr>
          <w:rFonts w:hint="eastAsia" w:ascii="宋体" w:hAnsi="宋体" w:eastAsia="宋体" w:cs="宋体"/>
          <w:b w:val="0"/>
          <w:bCs/>
          <w:color w:val="auto"/>
          <w:sz w:val="24"/>
          <w:szCs w:val="24"/>
          <w:lang w:val="en-US" w:eastAsia="zh-CN"/>
        </w:rPr>
        <w:t>我司客户申请办理交易所移仓业务须满足的条件：</w:t>
      </w:r>
    </w:p>
    <w:p w14:paraId="6C563CA1">
      <w:pPr>
        <w:numPr>
          <w:ilvl w:val="0"/>
          <w:numId w:val="4"/>
        </w:numPr>
        <w:spacing w:line="360" w:lineRule="auto"/>
        <w:ind w:left="0" w:firstLine="420"/>
        <w:rPr>
          <w:rFonts w:hint="eastAsia" w:ascii="宋体" w:hAnsi="宋体" w:eastAsia="宋体" w:cs="宋体"/>
          <w:color w:val="auto"/>
          <w:sz w:val="24"/>
          <w:szCs w:val="24"/>
        </w:rPr>
      </w:pPr>
      <w:r>
        <w:rPr>
          <w:rFonts w:hint="eastAsia" w:ascii="宋体" w:hAnsi="宋体" w:eastAsia="宋体" w:cs="宋体"/>
          <w:color w:val="auto"/>
          <w:sz w:val="24"/>
          <w:szCs w:val="24"/>
        </w:rPr>
        <w:t>客户账户应当活跃，且移仓交易所交易编码处于正常状态；</w:t>
      </w:r>
    </w:p>
    <w:p w14:paraId="4DF49965">
      <w:pPr>
        <w:numPr>
          <w:ilvl w:val="0"/>
          <w:numId w:val="4"/>
        </w:numPr>
        <w:spacing w:line="360" w:lineRule="auto"/>
        <w:ind w:left="0" w:firstLine="420"/>
        <w:rPr>
          <w:rFonts w:hint="eastAsia" w:ascii="宋体" w:hAnsi="宋体" w:eastAsia="宋体" w:cs="宋体"/>
          <w:color w:val="auto"/>
          <w:sz w:val="24"/>
          <w:szCs w:val="24"/>
        </w:rPr>
      </w:pPr>
      <w:r>
        <w:rPr>
          <w:rFonts w:hint="eastAsia" w:ascii="宋体" w:hAnsi="宋体" w:eastAsia="宋体" w:cs="宋体"/>
          <w:color w:val="auto"/>
          <w:sz w:val="24"/>
          <w:szCs w:val="24"/>
        </w:rPr>
        <w:t>客户账户应满足移仓合约的适当性限制要求；</w:t>
      </w:r>
    </w:p>
    <w:p w14:paraId="17540B10">
      <w:pPr>
        <w:numPr>
          <w:ilvl w:val="0"/>
          <w:numId w:val="4"/>
        </w:numPr>
        <w:spacing w:line="360" w:lineRule="auto"/>
        <w:ind w:left="0" w:firstLine="420"/>
        <w:rPr>
          <w:rFonts w:hint="eastAsia" w:ascii="宋体" w:hAnsi="宋体" w:eastAsia="宋体" w:cs="宋体"/>
          <w:color w:val="auto"/>
          <w:sz w:val="24"/>
          <w:szCs w:val="24"/>
        </w:rPr>
      </w:pPr>
      <w:r>
        <w:rPr>
          <w:rFonts w:hint="eastAsia" w:ascii="宋体" w:hAnsi="宋体" w:eastAsia="宋体" w:cs="宋体"/>
          <w:color w:val="auto"/>
          <w:sz w:val="24"/>
          <w:szCs w:val="24"/>
        </w:rPr>
        <w:t>客户账户保证金满足移仓业务客户风险控制要求，且移仓前一日结算后可用资金不为负；</w:t>
      </w:r>
    </w:p>
    <w:p w14:paraId="35D62EA3">
      <w:pPr>
        <w:numPr>
          <w:ilvl w:val="0"/>
          <w:numId w:val="4"/>
        </w:numPr>
        <w:spacing w:line="360" w:lineRule="auto"/>
        <w:ind w:left="0" w:firstLine="42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若客户存在质押业务，</w:t>
      </w:r>
      <w:r>
        <w:rPr>
          <w:rFonts w:hint="eastAsia" w:ascii="宋体" w:hAnsi="宋体" w:eastAsia="宋体" w:cs="宋体"/>
          <w:color w:val="auto"/>
          <w:sz w:val="24"/>
          <w:szCs w:val="24"/>
        </w:rPr>
        <w:t>客户账户在移仓后需满足质押配比的资金要求</w:t>
      </w:r>
      <w:r>
        <w:rPr>
          <w:rFonts w:hint="eastAsia" w:ascii="宋体" w:hAnsi="宋体" w:eastAsia="宋体" w:cs="宋体"/>
          <w:color w:val="auto"/>
          <w:sz w:val="24"/>
          <w:szCs w:val="24"/>
          <w:lang w:eastAsia="zh-CN"/>
        </w:rPr>
        <w:t>；</w:t>
      </w:r>
    </w:p>
    <w:p w14:paraId="1EE94422">
      <w:pPr>
        <w:numPr>
          <w:ilvl w:val="0"/>
          <w:numId w:val="4"/>
        </w:numPr>
        <w:spacing w:line="360" w:lineRule="auto"/>
        <w:ind w:left="0" w:firstLine="42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对于大连商品交易所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上海期货交易所</w:t>
      </w:r>
      <w:r>
        <w:rPr>
          <w:rFonts w:hint="eastAsia" w:ascii="宋体" w:hAnsi="宋体" w:eastAsia="宋体" w:cs="宋体"/>
          <w:color w:val="auto"/>
          <w:sz w:val="24"/>
          <w:szCs w:val="24"/>
        </w:rPr>
        <w:t>实际控制关系组内的</w:t>
      </w:r>
      <w:r>
        <w:rPr>
          <w:rFonts w:hint="eastAsia" w:ascii="宋体" w:hAnsi="宋体" w:eastAsia="宋体" w:cs="宋体"/>
          <w:color w:val="auto"/>
          <w:sz w:val="24"/>
          <w:szCs w:val="24"/>
          <w:lang w:val="en-US" w:eastAsia="zh-CN"/>
        </w:rPr>
        <w:t>套保合约</w:t>
      </w:r>
      <w:r>
        <w:rPr>
          <w:rFonts w:hint="eastAsia" w:ascii="宋体" w:hAnsi="宋体" w:eastAsia="宋体" w:cs="宋体"/>
          <w:color w:val="auto"/>
          <w:sz w:val="24"/>
          <w:szCs w:val="24"/>
        </w:rPr>
        <w:t>移入申请，客户需已获得</w:t>
      </w:r>
      <w:r>
        <w:rPr>
          <w:rFonts w:hint="eastAsia" w:ascii="宋体" w:hAnsi="宋体" w:eastAsia="宋体" w:cs="宋体"/>
          <w:color w:val="auto"/>
          <w:sz w:val="24"/>
          <w:szCs w:val="24"/>
          <w:lang w:val="en-US" w:eastAsia="zh-CN"/>
        </w:rPr>
        <w:t>相应</w:t>
      </w:r>
      <w:r>
        <w:rPr>
          <w:rFonts w:hint="eastAsia" w:ascii="宋体" w:hAnsi="宋体" w:eastAsia="宋体" w:cs="宋体"/>
          <w:color w:val="auto"/>
          <w:sz w:val="24"/>
          <w:szCs w:val="24"/>
        </w:rPr>
        <w:t>套保资格</w:t>
      </w:r>
      <w:r>
        <w:rPr>
          <w:rFonts w:hint="eastAsia" w:ascii="宋体" w:hAnsi="宋体" w:eastAsia="宋体" w:cs="宋体"/>
          <w:color w:val="auto"/>
          <w:sz w:val="24"/>
          <w:szCs w:val="24"/>
          <w:lang w:val="en-US" w:eastAsia="zh-CN"/>
        </w:rPr>
        <w:t>或额度</w:t>
      </w:r>
      <w:r>
        <w:rPr>
          <w:rFonts w:hint="eastAsia" w:ascii="宋体" w:hAnsi="宋体" w:eastAsia="宋体" w:cs="宋体"/>
          <w:color w:val="auto"/>
          <w:sz w:val="24"/>
          <w:szCs w:val="24"/>
        </w:rPr>
        <w:t>；</w:t>
      </w:r>
    </w:p>
    <w:p w14:paraId="0CBA966D">
      <w:pPr>
        <w:numPr>
          <w:ilvl w:val="0"/>
          <w:numId w:val="4"/>
        </w:numPr>
        <w:spacing w:line="360" w:lineRule="auto"/>
        <w:ind w:left="0" w:firstLine="420"/>
        <w:rPr>
          <w:rFonts w:hint="eastAsia" w:ascii="宋体" w:hAnsi="宋体" w:eastAsia="宋体" w:cs="宋体"/>
          <w:color w:val="auto"/>
          <w:sz w:val="24"/>
          <w:szCs w:val="24"/>
          <w:lang w:eastAsia="zh-CN"/>
        </w:rPr>
      </w:pPr>
      <w:r>
        <w:rPr>
          <w:rFonts w:hint="eastAsia" w:ascii="宋体" w:hAnsi="宋体" w:eastAsia="宋体" w:cs="宋体"/>
          <w:color w:val="auto"/>
          <w:sz w:val="24"/>
          <w:szCs w:val="24"/>
        </w:rPr>
        <w:t>对于大连商品交易所</w:t>
      </w:r>
      <w:r>
        <w:rPr>
          <w:rFonts w:hint="eastAsia" w:ascii="宋体" w:hAnsi="宋体" w:eastAsia="宋体" w:cs="宋体"/>
          <w:color w:val="auto"/>
          <w:sz w:val="24"/>
          <w:szCs w:val="24"/>
          <w:lang w:val="en-US" w:eastAsia="zh-CN"/>
        </w:rPr>
        <w:t>移仓，允许办理时间为合约上市日起至合约最后交易日前一日；</w:t>
      </w:r>
    </w:p>
    <w:p w14:paraId="6A449548">
      <w:pPr>
        <w:numPr>
          <w:ilvl w:val="0"/>
          <w:numId w:val="4"/>
        </w:numPr>
        <w:spacing w:line="360" w:lineRule="auto"/>
        <w:ind w:left="0" w:firstLine="42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对于上海期货交易所移仓，允许办理时间为移仓合约的交割月第一个交易日起至最后交易日前第四个交易日（含当日）止；</w:t>
      </w:r>
    </w:p>
    <w:p w14:paraId="7C4E66CB">
      <w:pPr>
        <w:numPr>
          <w:ilvl w:val="0"/>
          <w:numId w:val="4"/>
        </w:numPr>
        <w:spacing w:line="360" w:lineRule="auto"/>
        <w:ind w:left="0" w:firstLine="42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对于上海期货交易所移仓，移出方和移入方应在移仓前至少提前10个交易日确认实控关系已生效；</w:t>
      </w:r>
    </w:p>
    <w:p w14:paraId="12A07D84">
      <w:pPr>
        <w:numPr>
          <w:ilvl w:val="0"/>
          <w:numId w:val="4"/>
        </w:numPr>
        <w:spacing w:line="360" w:lineRule="auto"/>
        <w:ind w:left="0" w:firstLine="420"/>
        <w:rPr>
          <w:rFonts w:hint="eastAsia" w:ascii="宋体" w:hAnsi="宋体" w:eastAsia="宋体" w:cs="宋体"/>
          <w:b w:val="0"/>
          <w:bCs/>
          <w:color w:val="auto"/>
          <w:sz w:val="24"/>
          <w:szCs w:val="24"/>
          <w:lang w:val="en-US" w:eastAsia="zh-CN"/>
        </w:rPr>
      </w:pPr>
      <w:r>
        <w:rPr>
          <w:rFonts w:hint="eastAsia" w:ascii="宋体" w:hAnsi="宋体" w:eastAsia="宋体" w:cs="宋体"/>
          <w:color w:val="auto"/>
          <w:sz w:val="24"/>
          <w:szCs w:val="24"/>
          <w:lang w:val="en-US" w:eastAsia="zh-CN"/>
        </w:rPr>
        <w:t>对于上海期货交易所移仓，申请移仓手数应当为交割单位对应手数的整数倍；</w:t>
      </w:r>
    </w:p>
    <w:p w14:paraId="5F902FA8">
      <w:pPr>
        <w:numPr>
          <w:ilvl w:val="0"/>
          <w:numId w:val="4"/>
        </w:numPr>
        <w:spacing w:line="360" w:lineRule="auto"/>
        <w:ind w:left="0" w:firstLine="420"/>
        <w:rPr>
          <w:rFonts w:hint="eastAsia" w:ascii="宋体" w:hAnsi="宋体" w:eastAsia="宋体" w:cs="宋体"/>
          <w:b w:val="0"/>
          <w:bCs/>
          <w:color w:val="auto"/>
          <w:sz w:val="24"/>
          <w:szCs w:val="24"/>
          <w:lang w:val="en-US" w:eastAsia="zh-CN"/>
        </w:rPr>
      </w:pPr>
      <w:r>
        <w:rPr>
          <w:rFonts w:hint="eastAsia" w:ascii="宋体" w:hAnsi="宋体" w:eastAsia="宋体" w:cs="宋体"/>
          <w:color w:val="auto"/>
          <w:sz w:val="24"/>
          <w:szCs w:val="24"/>
        </w:rPr>
        <w:t>客户不存在被监管限制或其他异常情况。</w:t>
      </w:r>
    </w:p>
    <w:p w14:paraId="6BA8C053">
      <w:pPr>
        <w:numPr>
          <w:ilvl w:val="-1"/>
          <w:numId w:val="0"/>
        </w:numPr>
        <w:spacing w:line="360" w:lineRule="auto"/>
        <w:ind w:firstLine="420"/>
        <w:rPr>
          <w:rFonts w:hint="eastAsia" w:ascii="宋体" w:hAnsi="宋体" w:eastAsia="宋体" w:cs="宋体"/>
          <w:color w:val="auto"/>
          <w:sz w:val="24"/>
          <w:szCs w:val="24"/>
          <w:lang w:val="en-US" w:eastAsia="zh-CN"/>
        </w:rPr>
      </w:pPr>
    </w:p>
    <w:p w14:paraId="0EDAA3B1">
      <w:pPr>
        <w:pStyle w:val="8"/>
        <w:numPr>
          <w:ilvl w:val="0"/>
          <w:numId w:val="1"/>
        </w:numPr>
        <w:spacing w:line="360" w:lineRule="auto"/>
        <w:ind w:left="0" w:firstLine="0" w:firstLineChars="0"/>
        <w:jc w:val="center"/>
        <w:rPr>
          <w:rFonts w:asciiTheme="minorEastAsia" w:hAnsiTheme="minorEastAsia" w:eastAsiaTheme="minorEastAsia"/>
          <w:b/>
          <w:color w:val="auto"/>
          <w:sz w:val="24"/>
          <w:szCs w:val="24"/>
        </w:rPr>
      </w:pPr>
      <w:r>
        <w:rPr>
          <w:rFonts w:hint="eastAsia" w:asciiTheme="minorEastAsia" w:hAnsiTheme="minorEastAsia" w:eastAsiaTheme="minorEastAsia"/>
          <w:b/>
          <w:color w:val="auto"/>
          <w:sz w:val="24"/>
          <w:szCs w:val="24"/>
        </w:rPr>
        <w:t>职责</w:t>
      </w:r>
      <w:r>
        <w:rPr>
          <w:rFonts w:hint="eastAsia" w:asciiTheme="minorEastAsia" w:hAnsiTheme="minorEastAsia"/>
          <w:b/>
          <w:color w:val="auto"/>
          <w:sz w:val="24"/>
          <w:szCs w:val="24"/>
          <w:lang w:val="en-US" w:eastAsia="zh-CN"/>
        </w:rPr>
        <w:t>分工</w:t>
      </w:r>
    </w:p>
    <w:p w14:paraId="402EE322">
      <w:pPr>
        <w:numPr>
          <w:ilvl w:val="0"/>
          <w:numId w:val="2"/>
        </w:numPr>
        <w:spacing w:line="360" w:lineRule="auto"/>
        <w:ind w:firstLine="480" w:firstLineChars="20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客户所在业务单位负责协助运营中心办理移仓业务，IB客户由IB业务服务部负责协助，具体职责如下：</w:t>
      </w:r>
    </w:p>
    <w:p w14:paraId="05B365D3">
      <w:pPr>
        <w:numPr>
          <w:ilvl w:val="0"/>
          <w:numId w:val="5"/>
        </w:numPr>
        <w:spacing w:line="360" w:lineRule="auto"/>
        <w:ind w:firstLine="42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审核客户是否满足</w:t>
      </w:r>
      <w:r>
        <w:rPr>
          <w:rFonts w:hint="eastAsia" w:ascii="宋体" w:hAnsi="宋体" w:eastAsia="宋体" w:cs="宋体"/>
          <w:b w:val="0"/>
          <w:bCs/>
          <w:color w:val="auto"/>
          <w:sz w:val="24"/>
          <w:szCs w:val="24"/>
          <w:lang w:val="en-US" w:eastAsia="zh-CN"/>
        </w:rPr>
        <w:t>交易所移仓业务办理要求、</w:t>
      </w:r>
      <w:r>
        <w:rPr>
          <w:rFonts w:hint="eastAsia" w:ascii="宋体" w:hAnsi="宋体" w:eastAsia="宋体" w:cs="宋体"/>
          <w:color w:val="auto"/>
          <w:sz w:val="24"/>
          <w:szCs w:val="24"/>
          <w:lang w:val="en-US" w:eastAsia="zh-CN"/>
        </w:rPr>
        <w:t>协助客户填写</w:t>
      </w:r>
      <w:r>
        <w:rPr>
          <w:rFonts w:hint="eastAsia" w:ascii="宋体" w:hAnsi="宋体" w:eastAsia="宋体" w:cs="宋体"/>
          <w:color w:val="auto"/>
          <w:sz w:val="24"/>
          <w:szCs w:val="24"/>
        </w:rPr>
        <w:t>《国泰君安期货有限公司移仓业务申请表》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附件一</w:t>
      </w:r>
      <w:r>
        <w:rPr>
          <w:rFonts w:hint="eastAsia" w:ascii="宋体" w:hAnsi="宋体" w:eastAsia="宋体" w:cs="宋体"/>
          <w:color w:val="auto"/>
          <w:sz w:val="24"/>
          <w:szCs w:val="24"/>
          <w:lang w:eastAsia="zh-CN"/>
        </w:rPr>
        <w:t>）</w:t>
      </w:r>
      <w:r>
        <w:rPr>
          <w:rFonts w:hint="eastAsia" w:ascii="宋体" w:hAnsi="宋体" w:eastAsia="宋体" w:cs="宋体"/>
          <w:b w:val="0"/>
          <w:bCs/>
          <w:color w:val="auto"/>
          <w:sz w:val="24"/>
          <w:szCs w:val="24"/>
          <w:lang w:val="en-US" w:eastAsia="zh-CN"/>
        </w:rPr>
        <w:t>，并确保文件内容的清晰、完整及可追溯性</w:t>
      </w:r>
      <w:r>
        <w:rPr>
          <w:rFonts w:hint="eastAsia" w:ascii="宋体" w:hAnsi="宋体" w:eastAsia="宋体" w:cs="宋体"/>
          <w:color w:val="auto"/>
          <w:sz w:val="24"/>
          <w:szCs w:val="24"/>
          <w:lang w:eastAsia="zh-CN"/>
        </w:rPr>
        <w:t>；</w:t>
      </w:r>
    </w:p>
    <w:p w14:paraId="0E7CE5EA">
      <w:pPr>
        <w:numPr>
          <w:ilvl w:val="0"/>
          <w:numId w:val="5"/>
        </w:numPr>
        <w:spacing w:line="360" w:lineRule="auto"/>
        <w:ind w:firstLine="420"/>
        <w:rPr>
          <w:rFonts w:hint="eastAsia" w:ascii="宋体" w:hAnsi="宋体" w:eastAsia="宋体" w:cs="宋体"/>
          <w:color w:val="auto"/>
          <w:sz w:val="24"/>
          <w:szCs w:val="24"/>
        </w:rPr>
      </w:pPr>
      <w:r>
        <w:rPr>
          <w:rFonts w:hint="eastAsia" w:ascii="宋体" w:hAnsi="宋体" w:eastAsia="宋体" w:cs="宋体"/>
          <w:color w:val="auto"/>
          <w:sz w:val="24"/>
          <w:szCs w:val="24"/>
        </w:rPr>
        <w:t>对客户提交的移仓业务申请表进行初审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并做好</w:t>
      </w:r>
      <w:r>
        <w:rPr>
          <w:rFonts w:hint="eastAsia" w:ascii="宋体" w:hAnsi="宋体" w:eastAsia="宋体" w:cs="宋体"/>
          <w:color w:val="auto"/>
          <w:sz w:val="24"/>
          <w:szCs w:val="24"/>
        </w:rPr>
        <w:t>风险揭示工作；</w:t>
      </w:r>
    </w:p>
    <w:p w14:paraId="55E6327A">
      <w:pPr>
        <w:numPr>
          <w:ilvl w:val="0"/>
          <w:numId w:val="5"/>
        </w:numPr>
        <w:spacing w:line="360" w:lineRule="auto"/>
        <w:ind w:firstLine="42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负责</w:t>
      </w:r>
      <w:r>
        <w:rPr>
          <w:rFonts w:hint="eastAsia" w:ascii="宋体" w:hAnsi="宋体" w:eastAsia="宋体" w:cs="宋体"/>
          <w:color w:val="auto"/>
          <w:sz w:val="24"/>
          <w:szCs w:val="24"/>
        </w:rPr>
        <w:t>业务办理过程中客户对应持仓等关键信息变化的信息同步工作；</w:t>
      </w:r>
    </w:p>
    <w:p w14:paraId="2D81BF8E">
      <w:pPr>
        <w:numPr>
          <w:ilvl w:val="0"/>
          <w:numId w:val="5"/>
        </w:numPr>
        <w:spacing w:line="360" w:lineRule="auto"/>
        <w:ind w:firstLine="420"/>
        <w:rPr>
          <w:rFonts w:hint="eastAsia" w:ascii="宋体" w:hAnsi="宋体" w:eastAsia="宋体" w:cs="宋体"/>
          <w:color w:val="auto"/>
          <w:sz w:val="24"/>
          <w:szCs w:val="24"/>
        </w:rPr>
      </w:pPr>
      <w:r>
        <w:rPr>
          <w:rFonts w:hint="eastAsia" w:ascii="宋体" w:hAnsi="宋体" w:eastAsia="宋体" w:cs="宋体"/>
          <w:color w:val="auto"/>
          <w:sz w:val="24"/>
          <w:szCs w:val="24"/>
        </w:rPr>
        <w:t>如</w:t>
      </w:r>
      <w:r>
        <w:rPr>
          <w:rFonts w:hint="eastAsia" w:ascii="宋体" w:hAnsi="宋体" w:eastAsia="宋体" w:cs="宋体"/>
          <w:color w:val="auto"/>
          <w:sz w:val="24"/>
          <w:szCs w:val="24"/>
          <w:lang w:val="en-US" w:eastAsia="zh-CN"/>
        </w:rPr>
        <w:t>因当日办理移仓业务导致</w:t>
      </w:r>
      <w:r>
        <w:rPr>
          <w:rFonts w:hint="eastAsia" w:ascii="宋体" w:hAnsi="宋体" w:eastAsia="宋体" w:cs="宋体"/>
          <w:color w:val="auto"/>
          <w:sz w:val="24"/>
          <w:szCs w:val="24"/>
        </w:rPr>
        <w:t>客户出现结算后可用资金为负的情况，配合做好公司下一交易日采取提高保证金、限制出金、冻结资金、强行平仓等一种或多种措施的客户解释工作</w:t>
      </w:r>
      <w:r>
        <w:rPr>
          <w:rFonts w:hint="eastAsia" w:ascii="宋体" w:hAnsi="宋体" w:eastAsia="宋体" w:cs="宋体"/>
          <w:color w:val="auto"/>
          <w:sz w:val="24"/>
          <w:szCs w:val="24"/>
          <w:lang w:eastAsia="zh-CN"/>
        </w:rPr>
        <w:t>。</w:t>
      </w:r>
    </w:p>
    <w:p w14:paraId="7ABFCC0B">
      <w:pPr>
        <w:numPr>
          <w:ilvl w:val="0"/>
          <w:numId w:val="2"/>
        </w:numPr>
        <w:spacing w:line="360" w:lineRule="auto"/>
        <w:ind w:firstLine="480" w:firstLineChars="200"/>
        <w:rPr>
          <w:rFonts w:hint="eastAsia" w:ascii="宋体" w:hAnsi="宋体" w:eastAsia="宋体" w:cs="宋体"/>
          <w:b w:val="0"/>
          <w:color w:val="auto"/>
          <w:sz w:val="24"/>
          <w:szCs w:val="24"/>
          <w:lang w:val="en-US" w:eastAsia="zh-CN"/>
        </w:rPr>
      </w:pPr>
      <w:r>
        <w:rPr>
          <w:rFonts w:hint="eastAsia" w:ascii="宋体" w:hAnsi="宋体" w:eastAsia="宋体" w:cs="宋体"/>
          <w:b w:val="0"/>
          <w:bCs/>
          <w:color w:val="auto"/>
          <w:sz w:val="24"/>
          <w:szCs w:val="24"/>
          <w:lang w:val="en-US" w:eastAsia="zh-CN"/>
        </w:rPr>
        <w:t>运营中心负责交易所移仓日常业务管理与办理，</w:t>
      </w:r>
      <w:r>
        <w:rPr>
          <w:rFonts w:hint="eastAsia" w:ascii="宋体" w:hAnsi="宋体" w:eastAsia="宋体" w:cs="宋体"/>
          <w:b w:val="0"/>
          <w:color w:val="auto"/>
          <w:sz w:val="24"/>
          <w:szCs w:val="24"/>
          <w:lang w:val="en-US" w:eastAsia="zh-CN"/>
        </w:rPr>
        <w:t>具体</w:t>
      </w:r>
      <w:r>
        <w:rPr>
          <w:rFonts w:hint="eastAsia" w:ascii="宋体" w:hAnsi="宋体" w:eastAsia="宋体" w:cs="宋体"/>
          <w:b w:val="0"/>
          <w:color w:val="auto"/>
          <w:sz w:val="24"/>
          <w:szCs w:val="24"/>
        </w:rPr>
        <w:t>职责</w:t>
      </w:r>
      <w:r>
        <w:rPr>
          <w:rFonts w:hint="eastAsia" w:ascii="宋体" w:hAnsi="宋体" w:eastAsia="宋体" w:cs="宋体"/>
          <w:b w:val="0"/>
          <w:color w:val="auto"/>
          <w:sz w:val="24"/>
          <w:szCs w:val="24"/>
          <w:lang w:val="en-US" w:eastAsia="zh-CN"/>
        </w:rPr>
        <w:t>包括：</w:t>
      </w:r>
    </w:p>
    <w:p w14:paraId="4F52E47F">
      <w:pPr>
        <w:numPr>
          <w:ilvl w:val="0"/>
          <w:numId w:val="6"/>
        </w:numPr>
        <w:spacing w:line="360" w:lineRule="auto"/>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负责</w:t>
      </w:r>
      <w:r>
        <w:rPr>
          <w:rFonts w:hint="eastAsia" w:ascii="宋体" w:hAnsi="宋体" w:eastAsia="宋体" w:cs="宋体"/>
          <w:color w:val="auto"/>
          <w:sz w:val="24"/>
          <w:szCs w:val="24"/>
          <w:lang w:val="en-US" w:eastAsia="zh-CN"/>
        </w:rPr>
        <w:t>审核业务单位或IB业务服务部提交的业务申请表；</w:t>
      </w:r>
    </w:p>
    <w:p w14:paraId="73D4533C">
      <w:pPr>
        <w:numPr>
          <w:ilvl w:val="0"/>
          <w:numId w:val="6"/>
        </w:num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负责对</w:t>
      </w:r>
      <w:r>
        <w:rPr>
          <w:rFonts w:hint="eastAsia" w:ascii="宋体" w:hAnsi="宋体" w:eastAsia="宋体" w:cs="宋体"/>
          <w:color w:val="auto"/>
          <w:sz w:val="24"/>
          <w:szCs w:val="24"/>
          <w:lang w:val="en-US" w:eastAsia="zh-CN"/>
        </w:rPr>
        <w:t>申请移仓客户账户的资金和持仓相关风险评估和管理；</w:t>
      </w:r>
    </w:p>
    <w:p w14:paraId="0804271E">
      <w:pPr>
        <w:numPr>
          <w:ilvl w:val="0"/>
          <w:numId w:val="6"/>
        </w:num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负责向</w:t>
      </w:r>
      <w:r>
        <w:rPr>
          <w:rFonts w:hint="eastAsia" w:ascii="宋体" w:hAnsi="宋体" w:eastAsia="宋体" w:cs="宋体"/>
          <w:color w:val="auto"/>
          <w:sz w:val="24"/>
          <w:szCs w:val="24"/>
        </w:rPr>
        <w:t>交易所</w:t>
      </w:r>
      <w:r>
        <w:rPr>
          <w:rFonts w:hint="eastAsia" w:ascii="宋体" w:hAnsi="宋体" w:eastAsia="宋体" w:cs="宋体"/>
          <w:color w:val="auto"/>
          <w:sz w:val="24"/>
          <w:szCs w:val="24"/>
          <w:lang w:val="en-US" w:eastAsia="zh-CN"/>
        </w:rPr>
        <w:t>提交移仓业务申请，</w:t>
      </w:r>
      <w:r>
        <w:rPr>
          <w:rFonts w:hint="eastAsia" w:ascii="宋体" w:hAnsi="宋体" w:eastAsia="宋体" w:cs="宋体"/>
          <w:color w:val="auto"/>
          <w:sz w:val="24"/>
          <w:szCs w:val="24"/>
        </w:rPr>
        <w:t>跟踪业务办理进度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向业务单位或IB业务服务部反馈业务办理结果；</w:t>
      </w:r>
    </w:p>
    <w:p w14:paraId="4B1E8E48">
      <w:pPr>
        <w:numPr>
          <w:ilvl w:val="0"/>
          <w:numId w:val="6"/>
        </w:num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日终结算时根据交易所下发的结算文件，完成客户在我司移仓结算工作。</w:t>
      </w:r>
    </w:p>
    <w:p w14:paraId="673DE27E">
      <w:pPr>
        <w:numPr>
          <w:ilvl w:val="0"/>
          <w:numId w:val="0"/>
        </w:numPr>
        <w:spacing w:line="360" w:lineRule="auto"/>
        <w:rPr>
          <w:rFonts w:hint="eastAsia" w:ascii="宋体" w:hAnsi="宋体" w:eastAsia="宋体" w:cs="宋体"/>
          <w:color w:val="auto"/>
          <w:sz w:val="24"/>
          <w:szCs w:val="24"/>
        </w:rPr>
      </w:pPr>
    </w:p>
    <w:p w14:paraId="7796DEDF">
      <w:pPr>
        <w:pStyle w:val="8"/>
        <w:numPr>
          <w:ilvl w:val="0"/>
          <w:numId w:val="1"/>
        </w:numPr>
        <w:spacing w:line="360" w:lineRule="auto"/>
        <w:ind w:firstLine="0"/>
        <w:jc w:val="center"/>
        <w:rPr>
          <w:rFonts w:hint="eastAsia" w:ascii="宋体" w:hAnsi="宋体" w:eastAsia="宋体" w:cs="宋体"/>
          <w:b/>
          <w:color w:val="auto"/>
          <w:sz w:val="24"/>
          <w:szCs w:val="24"/>
        </w:rPr>
      </w:pPr>
      <w:r>
        <w:rPr>
          <w:rFonts w:hint="eastAsia" w:asciiTheme="minorEastAsia" w:hAnsiTheme="minorEastAsia"/>
          <w:b/>
          <w:color w:val="auto"/>
          <w:sz w:val="24"/>
          <w:szCs w:val="24"/>
          <w:lang w:val="en-US" w:eastAsia="zh-CN"/>
        </w:rPr>
        <w:t>交易所移仓业务的办理</w:t>
      </w:r>
    </w:p>
    <w:p w14:paraId="57C0556F">
      <w:pPr>
        <w:numPr>
          <w:ilvl w:val="0"/>
          <w:numId w:val="2"/>
        </w:numPr>
        <w:spacing w:line="360" w:lineRule="auto"/>
        <w:ind w:firstLine="480" w:firstLineChars="200"/>
        <w:rPr>
          <w:rFonts w:hint="eastAsia" w:ascii="宋体" w:hAnsi="宋体" w:eastAsia="宋体" w:cs="宋体"/>
          <w:b w:val="0"/>
          <w:color w:val="auto"/>
          <w:sz w:val="24"/>
          <w:szCs w:val="24"/>
        </w:rPr>
      </w:pPr>
      <w:r>
        <w:rPr>
          <w:rFonts w:hint="eastAsia" w:ascii="宋体" w:hAnsi="宋体" w:eastAsia="宋体" w:cs="宋体"/>
          <w:b w:val="0"/>
          <w:bCs/>
          <w:color w:val="auto"/>
          <w:sz w:val="24"/>
          <w:szCs w:val="24"/>
          <w:lang w:val="en-US" w:eastAsia="zh-CN"/>
        </w:rPr>
        <w:t>客户申请办理交易所移仓业务的，按如下流程办理</w:t>
      </w:r>
      <w:r>
        <w:rPr>
          <w:rFonts w:hint="eastAsia" w:ascii="宋体" w:hAnsi="宋体" w:eastAsia="宋体" w:cs="宋体"/>
          <w:b w:val="0"/>
          <w:bCs/>
          <w:color w:val="auto"/>
          <w:sz w:val="24"/>
          <w:szCs w:val="24"/>
          <w:lang w:eastAsia="zh-CN"/>
        </w:rPr>
        <w:t>：</w:t>
      </w:r>
    </w:p>
    <w:p w14:paraId="05804EE9">
      <w:pPr>
        <w:numPr>
          <w:ilvl w:val="0"/>
          <w:numId w:val="7"/>
        </w:numPr>
        <w:spacing w:line="360" w:lineRule="auto"/>
        <w:ind w:firstLine="480" w:firstLineChars="0"/>
        <w:rPr>
          <w:rFonts w:hint="eastAsia" w:ascii="宋体" w:hAnsi="宋体" w:eastAsia="宋体" w:cs="宋体"/>
          <w:color w:val="auto"/>
          <w:sz w:val="24"/>
          <w:szCs w:val="24"/>
          <w:lang w:eastAsia="zh-CN"/>
        </w:rPr>
      </w:pPr>
      <w:r>
        <w:rPr>
          <w:rFonts w:hint="eastAsia" w:ascii="宋体" w:hAnsi="宋体" w:eastAsia="宋体" w:cs="宋体"/>
          <w:color w:val="auto"/>
          <w:sz w:val="24"/>
          <w:szCs w:val="24"/>
          <w:lang w:val="en-US" w:eastAsia="zh-CN"/>
        </w:rPr>
        <w:t>业务单位及IB业务服务部</w:t>
      </w:r>
      <w:r>
        <w:rPr>
          <w:rFonts w:hint="eastAsia" w:ascii="宋体" w:hAnsi="宋体" w:eastAsia="宋体" w:cs="宋体"/>
          <w:color w:val="auto"/>
          <w:sz w:val="24"/>
          <w:szCs w:val="24"/>
        </w:rPr>
        <w:t>核查客户移仓资质，对于符合移仓业务要求的，方可提交移仓业务申请</w:t>
      </w:r>
      <w:r>
        <w:rPr>
          <w:rFonts w:hint="eastAsia" w:ascii="宋体" w:hAnsi="宋体" w:eastAsia="宋体" w:cs="宋体"/>
          <w:color w:val="auto"/>
          <w:sz w:val="24"/>
          <w:szCs w:val="24"/>
          <w:lang w:eastAsia="zh-CN"/>
        </w:rPr>
        <w:t>；</w:t>
      </w:r>
    </w:p>
    <w:p w14:paraId="6D9A8F3C">
      <w:pPr>
        <w:numPr>
          <w:ilvl w:val="0"/>
          <w:numId w:val="7"/>
        </w:numPr>
        <w:spacing w:line="360" w:lineRule="auto"/>
        <w:ind w:firstLine="480" w:firstLineChars="0"/>
        <w:rPr>
          <w:rFonts w:hint="eastAsia" w:ascii="宋体" w:hAnsi="宋体" w:eastAsia="宋体" w:cs="宋体"/>
          <w:color w:val="auto"/>
          <w:sz w:val="24"/>
          <w:szCs w:val="24"/>
        </w:rPr>
      </w:pPr>
      <w:r>
        <w:rPr>
          <w:rFonts w:hint="eastAsia" w:ascii="宋体" w:hAnsi="宋体" w:eastAsia="宋体" w:cs="宋体"/>
          <w:color w:val="auto"/>
          <w:sz w:val="24"/>
          <w:szCs w:val="24"/>
        </w:rPr>
        <w:t>客户需填写《国泰君安期货有限公司移仓业务申请表》（附件一），由客户所属</w:t>
      </w:r>
      <w:r>
        <w:rPr>
          <w:rFonts w:hint="eastAsia" w:ascii="宋体" w:hAnsi="宋体" w:eastAsia="宋体" w:cs="宋体"/>
          <w:color w:val="auto"/>
          <w:sz w:val="24"/>
          <w:szCs w:val="24"/>
          <w:lang w:val="en-US" w:eastAsia="zh-CN"/>
        </w:rPr>
        <w:t>业务单位或IB业务服务部</w:t>
      </w:r>
      <w:r>
        <w:rPr>
          <w:rFonts w:hint="eastAsia" w:ascii="宋体" w:hAnsi="宋体" w:eastAsia="宋体" w:cs="宋体"/>
          <w:color w:val="auto"/>
          <w:sz w:val="24"/>
          <w:szCs w:val="24"/>
        </w:rPr>
        <w:t>向运营中心提交</w:t>
      </w:r>
      <w:r>
        <w:rPr>
          <w:rFonts w:hint="eastAsia" w:ascii="宋体" w:hAnsi="宋体" w:eastAsia="宋体" w:cs="宋体"/>
          <w:color w:val="auto"/>
          <w:sz w:val="24"/>
          <w:szCs w:val="24"/>
          <w:lang w:val="en-US" w:eastAsia="zh-CN"/>
        </w:rPr>
        <w:t>已盖公章确认的</w:t>
      </w:r>
      <w:r>
        <w:rPr>
          <w:rFonts w:hint="eastAsia" w:ascii="宋体" w:hAnsi="宋体" w:eastAsia="宋体" w:cs="宋体"/>
          <w:color w:val="auto"/>
          <w:sz w:val="24"/>
          <w:szCs w:val="24"/>
        </w:rPr>
        <w:t>电子版申请表，</w:t>
      </w:r>
      <w:r>
        <w:rPr>
          <w:rFonts w:hint="eastAsia" w:ascii="宋体" w:hAnsi="宋体" w:eastAsia="宋体" w:cs="宋体"/>
          <w:color w:val="auto"/>
          <w:sz w:val="24"/>
          <w:szCs w:val="24"/>
          <w:lang w:val="en-US" w:eastAsia="zh-CN"/>
        </w:rPr>
        <w:t>经由负责人</w:t>
      </w:r>
      <w:r>
        <w:rPr>
          <w:rFonts w:hint="eastAsia" w:ascii="宋体" w:hAnsi="宋体" w:eastAsia="宋体" w:cs="宋体"/>
          <w:color w:val="auto"/>
          <w:sz w:val="24"/>
          <w:szCs w:val="24"/>
        </w:rPr>
        <w:t>审批</w:t>
      </w:r>
      <w:r>
        <w:rPr>
          <w:rFonts w:hint="eastAsia" w:ascii="宋体" w:hAnsi="宋体" w:eastAsia="宋体" w:cs="宋体"/>
          <w:color w:val="auto"/>
          <w:sz w:val="24"/>
          <w:szCs w:val="24"/>
          <w:lang w:val="en-US" w:eastAsia="zh-CN"/>
        </w:rPr>
        <w:t>同意后，</w:t>
      </w:r>
      <w:r>
        <w:rPr>
          <w:rFonts w:hint="eastAsia" w:ascii="宋体" w:hAnsi="宋体" w:eastAsia="宋体" w:cs="宋体"/>
          <w:color w:val="auto"/>
          <w:sz w:val="24"/>
          <w:szCs w:val="24"/>
        </w:rPr>
        <w:t>明确具体的业务办理事项,与运营中心协商确定移仓日期，准确提供客户在另一家会员处的持仓、资金等信息。原则上</w:t>
      </w:r>
      <w:r>
        <w:rPr>
          <w:rFonts w:hint="eastAsia" w:ascii="宋体" w:hAnsi="宋体" w:eastAsia="宋体" w:cs="宋体"/>
          <w:color w:val="auto"/>
          <w:sz w:val="24"/>
          <w:szCs w:val="24"/>
          <w:lang w:val="en-US" w:eastAsia="zh-CN"/>
        </w:rPr>
        <w:t>移仓业务的申请截止时间为申请办理当日的14:00之前；</w:t>
      </w:r>
    </w:p>
    <w:p w14:paraId="1F6AD5FD">
      <w:pPr>
        <w:numPr>
          <w:ilvl w:val="0"/>
          <w:numId w:val="7"/>
        </w:numPr>
        <w:spacing w:line="360" w:lineRule="auto"/>
        <w:ind w:firstLine="48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rPr>
        <w:t>运营中心接到移仓业务申请后，确定具体业务对接人，进行移仓日的预结算等压力测试，核查移仓客户的资质情况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确定客户实际控制关系及套保资格等信息，盘中</w:t>
      </w:r>
      <w:r>
        <w:rPr>
          <w:rFonts w:hint="eastAsia" w:ascii="宋体" w:hAnsi="宋体" w:eastAsia="宋体" w:cs="宋体"/>
          <w:color w:val="auto"/>
          <w:sz w:val="24"/>
          <w:szCs w:val="24"/>
        </w:rPr>
        <w:t>提交交易所办理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对于上一交易日结算后客户出现交易所透支风险即交易所风险度超过100%的，</w:t>
      </w:r>
      <w:r>
        <w:rPr>
          <w:rFonts w:hint="eastAsia" w:ascii="宋体" w:hAnsi="宋体" w:eastAsia="宋体" w:cs="宋体"/>
          <w:color w:val="auto"/>
          <w:sz w:val="24"/>
          <w:szCs w:val="24"/>
          <w:lang w:val="en-US" w:eastAsia="zh-CN"/>
        </w:rPr>
        <w:t>或市场发生极端行情等特殊情况，运营中心有权</w:t>
      </w:r>
      <w:r>
        <w:rPr>
          <w:rFonts w:hint="eastAsia" w:ascii="宋体" w:hAnsi="宋体" w:eastAsia="宋体" w:cs="宋体"/>
          <w:color w:val="auto"/>
          <w:sz w:val="24"/>
          <w:szCs w:val="24"/>
        </w:rPr>
        <w:t>延缓受理移仓业务申请</w:t>
      </w:r>
      <w:r>
        <w:rPr>
          <w:rFonts w:hint="eastAsia" w:ascii="宋体" w:hAnsi="宋体" w:eastAsia="宋体" w:cs="宋体"/>
          <w:color w:val="auto"/>
          <w:sz w:val="24"/>
          <w:szCs w:val="24"/>
          <w:lang w:eastAsia="zh-CN"/>
        </w:rPr>
        <w:t>；</w:t>
      </w:r>
    </w:p>
    <w:p w14:paraId="4C209B78">
      <w:pPr>
        <w:numPr>
          <w:ilvl w:val="0"/>
          <w:numId w:val="7"/>
        </w:numPr>
        <w:spacing w:line="360" w:lineRule="auto"/>
        <w:ind w:firstLine="480" w:firstLineChars="0"/>
        <w:rPr>
          <w:rFonts w:hint="eastAsia" w:ascii="宋体" w:hAnsi="宋体" w:eastAsia="宋体" w:cs="宋体"/>
          <w:color w:val="auto"/>
          <w:sz w:val="24"/>
          <w:szCs w:val="24"/>
        </w:rPr>
      </w:pPr>
      <w:r>
        <w:rPr>
          <w:rFonts w:hint="eastAsia" w:ascii="宋体" w:hAnsi="宋体" w:eastAsia="宋体" w:cs="宋体"/>
          <w:color w:val="auto"/>
          <w:sz w:val="24"/>
          <w:szCs w:val="24"/>
        </w:rPr>
        <w:t>对于因发生交割、行权履约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期转现</w:t>
      </w:r>
      <w:r>
        <w:rPr>
          <w:rFonts w:hint="eastAsia" w:ascii="宋体" w:hAnsi="宋体" w:eastAsia="宋体" w:cs="宋体"/>
          <w:color w:val="auto"/>
          <w:sz w:val="24"/>
          <w:szCs w:val="24"/>
        </w:rPr>
        <w:t>等业务，</w:t>
      </w:r>
      <w:r>
        <w:rPr>
          <w:rFonts w:hint="eastAsia" w:ascii="宋体" w:hAnsi="宋体" w:eastAsia="宋体" w:cs="宋体"/>
          <w:color w:val="auto"/>
          <w:sz w:val="24"/>
          <w:szCs w:val="24"/>
          <w:lang w:val="en-US" w:eastAsia="zh-CN"/>
        </w:rPr>
        <w:t>导致</w:t>
      </w:r>
      <w:r>
        <w:rPr>
          <w:rFonts w:hint="eastAsia" w:ascii="宋体" w:hAnsi="宋体" w:eastAsia="宋体" w:cs="宋体"/>
          <w:color w:val="auto"/>
          <w:sz w:val="24"/>
          <w:szCs w:val="24"/>
        </w:rPr>
        <w:t>持仓发生变化的情况，即便经期货公司会员提交了移仓业务申请并经过交易所审批，也可能导致客户移仓业务失败或移仓结果和实际申请内容有出入</w:t>
      </w:r>
      <w:r>
        <w:rPr>
          <w:rFonts w:hint="eastAsia" w:ascii="宋体" w:hAnsi="宋体" w:eastAsia="宋体" w:cs="宋体"/>
          <w:color w:val="auto"/>
          <w:sz w:val="24"/>
          <w:szCs w:val="24"/>
          <w:lang w:eastAsia="zh-CN"/>
        </w:rPr>
        <w:t>；</w:t>
      </w:r>
    </w:p>
    <w:p w14:paraId="5DDB3F36">
      <w:pPr>
        <w:numPr>
          <w:ilvl w:val="0"/>
          <w:numId w:val="7"/>
        </w:numPr>
        <w:spacing w:line="360" w:lineRule="auto"/>
        <w:ind w:firstLine="480" w:firstLineChars="0"/>
        <w:rPr>
          <w:rFonts w:hint="eastAsia" w:ascii="宋体" w:hAnsi="宋体" w:eastAsia="宋体" w:cs="宋体"/>
          <w:color w:val="auto"/>
          <w:sz w:val="24"/>
          <w:szCs w:val="24"/>
        </w:rPr>
      </w:pPr>
      <w:r>
        <w:rPr>
          <w:rFonts w:hint="eastAsia" w:ascii="宋体" w:hAnsi="宋体" w:eastAsia="宋体" w:cs="宋体"/>
          <w:color w:val="auto"/>
          <w:sz w:val="24"/>
          <w:szCs w:val="24"/>
        </w:rPr>
        <w:t>运营中心完成客户移仓业务办理后，反馈申请单位，申请单位反馈客户。</w:t>
      </w:r>
    </w:p>
    <w:p w14:paraId="5665F4A4">
      <w:pPr>
        <w:numPr>
          <w:ilvl w:val="0"/>
          <w:numId w:val="7"/>
        </w:numPr>
        <w:spacing w:line="360" w:lineRule="auto"/>
        <w:ind w:firstLine="480" w:firstLineChars="0"/>
        <w:rPr>
          <w:rFonts w:hint="eastAsia" w:ascii="宋体" w:hAnsi="宋体" w:eastAsia="宋体" w:cs="宋体"/>
          <w:color w:val="auto"/>
          <w:sz w:val="24"/>
          <w:szCs w:val="24"/>
        </w:rPr>
      </w:pPr>
      <w:r>
        <w:rPr>
          <w:rFonts w:hint="eastAsia" w:ascii="宋体" w:hAnsi="宋体" w:eastAsia="宋体" w:cs="宋体"/>
          <w:color w:val="auto"/>
          <w:sz w:val="24"/>
          <w:szCs w:val="24"/>
        </w:rPr>
        <w:t>各业务单位在办理移仓业务过程中，可</w:t>
      </w:r>
      <w:r>
        <w:rPr>
          <w:rFonts w:hint="eastAsia" w:ascii="宋体" w:hAnsi="宋体" w:eastAsia="宋体" w:cs="宋体"/>
          <w:color w:val="auto"/>
          <w:sz w:val="24"/>
          <w:szCs w:val="24"/>
          <w:lang w:val="en-US" w:eastAsia="zh-CN"/>
        </w:rPr>
        <w:t>就移仓业务申请表电子文件形式</w:t>
      </w:r>
      <w:r>
        <w:rPr>
          <w:rFonts w:hint="eastAsia" w:ascii="宋体" w:hAnsi="宋体" w:eastAsia="宋体" w:cs="宋体"/>
          <w:color w:val="auto"/>
          <w:sz w:val="24"/>
          <w:szCs w:val="24"/>
        </w:rPr>
        <w:t>进行审核、存档及业务处理。</w:t>
      </w:r>
    </w:p>
    <w:p w14:paraId="4831B9DA">
      <w:pPr>
        <w:numPr>
          <w:ilvl w:val="0"/>
          <w:numId w:val="2"/>
        </w:numPr>
        <w:spacing w:line="360" w:lineRule="auto"/>
        <w:ind w:firstLine="480" w:firstLineChars="200"/>
        <w:rPr>
          <w:rFonts w:hint="eastAsia" w:ascii="宋体" w:hAnsi="宋体"/>
          <w:sz w:val="24"/>
        </w:rPr>
      </w:pPr>
      <w:r>
        <w:rPr>
          <w:rFonts w:hint="eastAsia" w:ascii="宋体" w:hAnsi="宋体" w:eastAsia="宋体" w:cs="宋体"/>
          <w:color w:val="auto"/>
          <w:sz w:val="24"/>
          <w:szCs w:val="24"/>
          <w:lang w:val="en-US" w:eastAsia="zh-CN"/>
        </w:rPr>
        <w:t>对于</w:t>
      </w:r>
      <w:r>
        <w:rPr>
          <w:rFonts w:hint="eastAsia" w:ascii="宋体" w:hAnsi="宋体"/>
          <w:sz w:val="24"/>
        </w:rPr>
        <w:t>交易所收取的</w:t>
      </w:r>
      <w:r>
        <w:rPr>
          <w:rFonts w:hint="eastAsia" w:ascii="宋体" w:hAnsi="宋体"/>
          <w:sz w:val="24"/>
          <w:lang w:val="en-US" w:eastAsia="zh-CN"/>
        </w:rPr>
        <w:t>移仓手续费</w:t>
      </w:r>
      <w:r>
        <w:rPr>
          <w:rFonts w:hint="eastAsia" w:ascii="宋体" w:hAnsi="宋体"/>
          <w:sz w:val="24"/>
        </w:rPr>
        <w:t>，运营中心从客户账户中代扣代缴。如</w:t>
      </w:r>
      <w:r>
        <w:rPr>
          <w:rFonts w:hint="eastAsia" w:ascii="宋体" w:hAnsi="宋体"/>
          <w:sz w:val="24"/>
          <w:lang w:val="en-US" w:eastAsia="zh-CN"/>
        </w:rPr>
        <w:t>需另行加收</w:t>
      </w:r>
      <w:r>
        <w:rPr>
          <w:rFonts w:hint="eastAsia" w:ascii="宋体" w:hAnsi="宋体"/>
          <w:sz w:val="24"/>
        </w:rPr>
        <w:t>，业务单位或IB业务服务部须与客户协商一致并签订收费协议，在收取日结算前通知运营中心，运营中心审核通过后，从客户期货保证金账户内收取该笔费用。</w:t>
      </w:r>
    </w:p>
    <w:p w14:paraId="5F8EF228">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本操作指引由运营中心负责解释，自发布之日起执行。</w:t>
      </w:r>
    </w:p>
    <w:p w14:paraId="68A49714">
      <w:pPr>
        <w:spacing w:line="360" w:lineRule="auto"/>
        <w:ind w:firstLine="420"/>
        <w:rPr>
          <w:rFonts w:hint="eastAsia" w:ascii="宋体" w:hAnsi="宋体" w:eastAsia="宋体" w:cs="宋体"/>
          <w:color w:val="auto"/>
          <w:sz w:val="24"/>
          <w:szCs w:val="24"/>
        </w:rPr>
      </w:pPr>
    </w:p>
    <w:p w14:paraId="3F058A62">
      <w:pPr>
        <w:spacing w:line="360" w:lineRule="auto"/>
        <w:ind w:firstLine="420"/>
        <w:rPr>
          <w:rFonts w:hint="eastAsia" w:ascii="宋体" w:hAnsi="宋体" w:eastAsia="宋体" w:cs="宋体"/>
          <w:color w:val="auto"/>
          <w:sz w:val="24"/>
          <w:szCs w:val="24"/>
        </w:rPr>
      </w:pPr>
    </w:p>
    <w:p w14:paraId="3569A4D3">
      <w:pPr>
        <w:spacing w:line="360" w:lineRule="auto"/>
        <w:ind w:firstLine="420"/>
        <w:rPr>
          <w:rFonts w:hint="eastAsia" w:ascii="宋体" w:hAnsi="宋体" w:eastAsia="宋体" w:cs="宋体"/>
          <w:color w:val="auto"/>
          <w:sz w:val="24"/>
          <w:szCs w:val="24"/>
        </w:rPr>
      </w:pPr>
    </w:p>
    <w:p w14:paraId="522556F2">
      <w:pPr>
        <w:spacing w:line="360" w:lineRule="auto"/>
        <w:ind w:firstLine="420"/>
        <w:rPr>
          <w:rFonts w:hint="eastAsia" w:ascii="宋体" w:hAnsi="宋体" w:eastAsia="宋体" w:cs="宋体"/>
          <w:color w:val="auto"/>
          <w:sz w:val="24"/>
          <w:szCs w:val="24"/>
        </w:rPr>
      </w:pPr>
    </w:p>
    <w:p w14:paraId="384668E2">
      <w:pPr>
        <w:spacing w:line="360" w:lineRule="auto"/>
        <w:ind w:firstLine="0" w:firstLineChars="0"/>
        <w:jc w:val="both"/>
        <w:rPr>
          <w:rFonts w:hint="eastAsia" w:ascii="宋体" w:hAnsi="宋体" w:eastAsia="宋体" w:cs="宋体"/>
          <w:color w:val="auto"/>
          <w:sz w:val="24"/>
          <w:szCs w:val="24"/>
        </w:rPr>
      </w:pPr>
      <w:r>
        <w:rPr>
          <w:rFonts w:hint="eastAsia" w:ascii="宋体" w:hAnsi="宋体" w:eastAsia="宋体" w:cs="宋体"/>
          <w:color w:val="auto"/>
          <w:sz w:val="24"/>
          <w:szCs w:val="24"/>
        </w:rPr>
        <w:t>附件一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《国泰君安期货有限公司移仓业务申请表》</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5B767"/>
    <w:multiLevelType w:val="singleLevel"/>
    <w:tmpl w:val="9045B767"/>
    <w:lvl w:ilvl="0" w:tentative="0">
      <w:start w:val="1"/>
      <w:numFmt w:val="decimal"/>
      <w:suff w:val="nothing"/>
      <w:lvlText w:val="%1、"/>
      <w:lvlJc w:val="left"/>
      <w:pPr>
        <w:ind w:left="150"/>
      </w:pPr>
    </w:lvl>
  </w:abstractNum>
  <w:abstractNum w:abstractNumId="1">
    <w:nsid w:val="9B8A256A"/>
    <w:multiLevelType w:val="singleLevel"/>
    <w:tmpl w:val="9B8A256A"/>
    <w:lvl w:ilvl="0" w:tentative="0">
      <w:start w:val="1"/>
      <w:numFmt w:val="decimal"/>
      <w:suff w:val="nothing"/>
      <w:lvlText w:val="%1、"/>
      <w:lvlJc w:val="left"/>
    </w:lvl>
  </w:abstractNum>
  <w:abstractNum w:abstractNumId="2">
    <w:nsid w:val="BC4B4947"/>
    <w:multiLevelType w:val="singleLevel"/>
    <w:tmpl w:val="BC4B4947"/>
    <w:lvl w:ilvl="0" w:tentative="0">
      <w:start w:val="1"/>
      <w:numFmt w:val="decimal"/>
      <w:suff w:val="nothing"/>
      <w:lvlText w:val="%1、"/>
      <w:lvlJc w:val="left"/>
    </w:lvl>
  </w:abstractNum>
  <w:abstractNum w:abstractNumId="3">
    <w:nsid w:val="E2EDFC6E"/>
    <w:multiLevelType w:val="singleLevel"/>
    <w:tmpl w:val="E2EDFC6E"/>
    <w:lvl w:ilvl="0" w:tentative="0">
      <w:start w:val="1"/>
      <w:numFmt w:val="chineseCounting"/>
      <w:suff w:val="space"/>
      <w:lvlText w:val="第%1条"/>
      <w:lvlJc w:val="left"/>
      <w:rPr>
        <w:rFonts w:hint="eastAsia"/>
      </w:rPr>
    </w:lvl>
  </w:abstractNum>
  <w:abstractNum w:abstractNumId="4">
    <w:nsid w:val="15AC4D66"/>
    <w:multiLevelType w:val="singleLevel"/>
    <w:tmpl w:val="15AC4D66"/>
    <w:lvl w:ilvl="0" w:tentative="0">
      <w:start w:val="1"/>
      <w:numFmt w:val="decimal"/>
      <w:suff w:val="nothing"/>
      <w:lvlText w:val="%1、"/>
      <w:lvlJc w:val="left"/>
    </w:lvl>
  </w:abstractNum>
  <w:abstractNum w:abstractNumId="5">
    <w:nsid w:val="483446F5"/>
    <w:multiLevelType w:val="multilevel"/>
    <w:tmpl w:val="483446F5"/>
    <w:lvl w:ilvl="0" w:tentative="0">
      <w:start w:val="1"/>
      <w:numFmt w:val="chineseCountingThousand"/>
      <w:suff w:val="space"/>
      <w:lvlText w:val="第%1章"/>
      <w:lvlJc w:val="left"/>
      <w:pPr>
        <w:ind w:left="420" w:hanging="420"/>
      </w:pPr>
      <w:rPr>
        <w:rFonts w:hint="eastAsia" w:ascii="宋体" w:hAnsi="宋体" w:eastAsia="宋体"/>
        <w:b/>
        <w:color w:val="auto"/>
        <w:lang w:val="en-US"/>
      </w:rPr>
    </w:lvl>
    <w:lvl w:ilvl="1" w:tentative="0">
      <w:start w:val="1"/>
      <w:numFmt w:val="japaneseCounting"/>
      <w:lvlText w:val="%2、"/>
      <w:lvlJc w:val="left"/>
      <w:pPr>
        <w:ind w:left="930" w:hanging="51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9820696"/>
    <w:multiLevelType w:val="singleLevel"/>
    <w:tmpl w:val="59820696"/>
    <w:lvl w:ilvl="0" w:tentative="0">
      <w:start w:val="1"/>
      <w:numFmt w:val="decimal"/>
      <w:suff w:val="nothing"/>
      <w:lvlText w:val="%1、"/>
      <w:lvlJc w:val="left"/>
    </w:lvl>
  </w:abstractNum>
  <w:num w:numId="1">
    <w:abstractNumId w:val="5"/>
  </w:num>
  <w:num w:numId="2">
    <w:abstractNumId w:val="3"/>
  </w:num>
  <w:num w:numId="3">
    <w:abstractNumId w:val="2"/>
  </w:num>
  <w:num w:numId="4">
    <w:abstractNumId w:val="1"/>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98D"/>
    <w:rsid w:val="00011389"/>
    <w:rsid w:val="000125DB"/>
    <w:rsid w:val="00021B3F"/>
    <w:rsid w:val="0004760E"/>
    <w:rsid w:val="000A5644"/>
    <w:rsid w:val="000D7924"/>
    <w:rsid w:val="00101A5C"/>
    <w:rsid w:val="00115C69"/>
    <w:rsid w:val="00117F99"/>
    <w:rsid w:val="00126E94"/>
    <w:rsid w:val="00131E4E"/>
    <w:rsid w:val="001657EB"/>
    <w:rsid w:val="001A2486"/>
    <w:rsid w:val="001D51B4"/>
    <w:rsid w:val="001E61B8"/>
    <w:rsid w:val="001E7A59"/>
    <w:rsid w:val="001F6C86"/>
    <w:rsid w:val="00200AF5"/>
    <w:rsid w:val="00213170"/>
    <w:rsid w:val="00227DF3"/>
    <w:rsid w:val="00284F32"/>
    <w:rsid w:val="00286F41"/>
    <w:rsid w:val="00297F79"/>
    <w:rsid w:val="002A66AC"/>
    <w:rsid w:val="002F07E8"/>
    <w:rsid w:val="002F6372"/>
    <w:rsid w:val="0031335C"/>
    <w:rsid w:val="00314340"/>
    <w:rsid w:val="00321ACE"/>
    <w:rsid w:val="00356F01"/>
    <w:rsid w:val="00370521"/>
    <w:rsid w:val="00380CD2"/>
    <w:rsid w:val="00386FA7"/>
    <w:rsid w:val="003E0284"/>
    <w:rsid w:val="003F6CD4"/>
    <w:rsid w:val="004633D9"/>
    <w:rsid w:val="004736FC"/>
    <w:rsid w:val="0048732D"/>
    <w:rsid w:val="00493156"/>
    <w:rsid w:val="004A61A7"/>
    <w:rsid w:val="004C64E8"/>
    <w:rsid w:val="004F190A"/>
    <w:rsid w:val="0056432E"/>
    <w:rsid w:val="00587405"/>
    <w:rsid w:val="005F23D4"/>
    <w:rsid w:val="005F7103"/>
    <w:rsid w:val="00613F7A"/>
    <w:rsid w:val="00617FE5"/>
    <w:rsid w:val="0064485E"/>
    <w:rsid w:val="0066431B"/>
    <w:rsid w:val="0069647C"/>
    <w:rsid w:val="006B095C"/>
    <w:rsid w:val="006D3509"/>
    <w:rsid w:val="00717807"/>
    <w:rsid w:val="00721E0A"/>
    <w:rsid w:val="007442FE"/>
    <w:rsid w:val="00761AB3"/>
    <w:rsid w:val="00773FA7"/>
    <w:rsid w:val="00784138"/>
    <w:rsid w:val="007A5CEF"/>
    <w:rsid w:val="007A5F00"/>
    <w:rsid w:val="007E2652"/>
    <w:rsid w:val="00817359"/>
    <w:rsid w:val="00887A89"/>
    <w:rsid w:val="008C15E3"/>
    <w:rsid w:val="008D206A"/>
    <w:rsid w:val="008D3046"/>
    <w:rsid w:val="008F65A5"/>
    <w:rsid w:val="00901F83"/>
    <w:rsid w:val="00902B97"/>
    <w:rsid w:val="00911944"/>
    <w:rsid w:val="00924714"/>
    <w:rsid w:val="0096406F"/>
    <w:rsid w:val="0097298D"/>
    <w:rsid w:val="00A00159"/>
    <w:rsid w:val="00A0055C"/>
    <w:rsid w:val="00A33180"/>
    <w:rsid w:val="00A803BC"/>
    <w:rsid w:val="00AA09F9"/>
    <w:rsid w:val="00AA66EE"/>
    <w:rsid w:val="00AB74EF"/>
    <w:rsid w:val="00AC29A2"/>
    <w:rsid w:val="00AE5F68"/>
    <w:rsid w:val="00B344FD"/>
    <w:rsid w:val="00B35DF0"/>
    <w:rsid w:val="00B40D60"/>
    <w:rsid w:val="00B7570F"/>
    <w:rsid w:val="00B840AC"/>
    <w:rsid w:val="00C05CFA"/>
    <w:rsid w:val="00C32F15"/>
    <w:rsid w:val="00C34EA2"/>
    <w:rsid w:val="00C7445F"/>
    <w:rsid w:val="00C821B5"/>
    <w:rsid w:val="00C95D95"/>
    <w:rsid w:val="00D60F14"/>
    <w:rsid w:val="00D63291"/>
    <w:rsid w:val="00D66705"/>
    <w:rsid w:val="00D8337F"/>
    <w:rsid w:val="00D949CD"/>
    <w:rsid w:val="00DD03EC"/>
    <w:rsid w:val="00E152A2"/>
    <w:rsid w:val="00E37786"/>
    <w:rsid w:val="00E935CE"/>
    <w:rsid w:val="00EB2633"/>
    <w:rsid w:val="00F1353E"/>
    <w:rsid w:val="00F55C07"/>
    <w:rsid w:val="00F728C5"/>
    <w:rsid w:val="00F83F62"/>
    <w:rsid w:val="00F85BA2"/>
    <w:rsid w:val="00F9699A"/>
    <w:rsid w:val="00FD195F"/>
    <w:rsid w:val="00FD77DE"/>
    <w:rsid w:val="00FE1DB3"/>
    <w:rsid w:val="00FE49D3"/>
    <w:rsid w:val="00FE7200"/>
    <w:rsid w:val="04377FE1"/>
    <w:rsid w:val="045D41F8"/>
    <w:rsid w:val="046F4631"/>
    <w:rsid w:val="05E935E7"/>
    <w:rsid w:val="08C9143C"/>
    <w:rsid w:val="0FC61091"/>
    <w:rsid w:val="11120582"/>
    <w:rsid w:val="11AD69F6"/>
    <w:rsid w:val="126C0750"/>
    <w:rsid w:val="12882F6B"/>
    <w:rsid w:val="12FA320C"/>
    <w:rsid w:val="14675FB2"/>
    <w:rsid w:val="18B82784"/>
    <w:rsid w:val="1A7F59EF"/>
    <w:rsid w:val="200367D4"/>
    <w:rsid w:val="243D72E5"/>
    <w:rsid w:val="24976F4B"/>
    <w:rsid w:val="255F649E"/>
    <w:rsid w:val="28C05423"/>
    <w:rsid w:val="2CF351F5"/>
    <w:rsid w:val="33E178A6"/>
    <w:rsid w:val="359042CC"/>
    <w:rsid w:val="36EC1EBF"/>
    <w:rsid w:val="38530A34"/>
    <w:rsid w:val="38796AB6"/>
    <w:rsid w:val="39D02517"/>
    <w:rsid w:val="3AEE56CA"/>
    <w:rsid w:val="3B1E0E19"/>
    <w:rsid w:val="42AA7DD5"/>
    <w:rsid w:val="4327044B"/>
    <w:rsid w:val="4825392E"/>
    <w:rsid w:val="497951F9"/>
    <w:rsid w:val="4EF105C6"/>
    <w:rsid w:val="4F2B0A4E"/>
    <w:rsid w:val="50384A64"/>
    <w:rsid w:val="51812B32"/>
    <w:rsid w:val="57E53017"/>
    <w:rsid w:val="59B5338A"/>
    <w:rsid w:val="5AF228DE"/>
    <w:rsid w:val="5F012573"/>
    <w:rsid w:val="6008225F"/>
    <w:rsid w:val="67497DB9"/>
    <w:rsid w:val="691717CA"/>
    <w:rsid w:val="6BD6185F"/>
    <w:rsid w:val="6C230B7A"/>
    <w:rsid w:val="6E5B5210"/>
    <w:rsid w:val="73230C84"/>
    <w:rsid w:val="7891058C"/>
    <w:rsid w:val="789E2E98"/>
    <w:rsid w:val="79C137C1"/>
    <w:rsid w:val="7AEB62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Strong"/>
    <w:basedOn w:val="6"/>
    <w:qFormat/>
    <w:uiPriority w:val="22"/>
    <w:rPr>
      <w:b/>
    </w:rPr>
  </w:style>
  <w:style w:type="paragraph" w:styleId="8">
    <w:name w:val="List Paragraph"/>
    <w:basedOn w:val="1"/>
    <w:qFormat/>
    <w:uiPriority w:val="34"/>
    <w:pPr>
      <w:ind w:firstLine="420" w:firstLineChars="200"/>
    </w:pPr>
  </w:style>
  <w:style w:type="character" w:customStyle="1" w:styleId="9">
    <w:name w:val="页眉 Char"/>
    <w:basedOn w:val="6"/>
    <w:link w:val="4"/>
    <w:qFormat/>
    <w:uiPriority w:val="99"/>
    <w:rPr>
      <w:sz w:val="18"/>
      <w:szCs w:val="18"/>
    </w:rPr>
  </w:style>
  <w:style w:type="character" w:customStyle="1" w:styleId="10">
    <w:name w:val="页脚 Char"/>
    <w:basedOn w:val="6"/>
    <w:link w:val="3"/>
    <w:qFormat/>
    <w:uiPriority w:val="99"/>
    <w:rPr>
      <w:sz w:val="18"/>
      <w:szCs w:val="18"/>
    </w:rPr>
  </w:style>
  <w:style w:type="character" w:customStyle="1" w:styleId="11">
    <w:name w:val="批注框文本 Char"/>
    <w:basedOn w:val="6"/>
    <w:link w:val="2"/>
    <w:semiHidden/>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HP</Company>
  <Pages>3</Pages>
  <Words>444</Words>
  <Characters>2536</Characters>
  <Lines>21</Lines>
  <Paragraphs>5</Paragraphs>
  <TotalTime>3</TotalTime>
  <ScaleCrop>false</ScaleCrop>
  <LinksUpToDate>false</LinksUpToDate>
  <CharactersWithSpaces>2975</CharactersWithSpaces>
  <Application>WPS Office_12.8.2.18913_F1E327BC-269C-435d-A152-05C5408002CA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2023-09-14T12:47:00Z</dcterms:created>
  <dc:creator>徐梦琳</dc:creator>
  <cp:lastModifiedBy>刘天潇</cp:lastModifiedBy>
  <dcterms:modified xsi:type="dcterms:W3CDTF">2026-04-15T11:36:29Z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2052-12.8.2.18913</vt:lpwstr>
  </property>
  <property fmtid="{D5CDD505-2E9C-101B-9397-08002B2CF9AE}" pid="3" name="ICV">
    <vt:lpwstr>8283B3E2DDAC4145A96DFDA7FBD2A60F_13</vt:lpwstr>
  </property>
</Properties>
</file>