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tbl>
      <w:tblPr>
        <w:tblW w:w="11906" w:type="dxa"/>
        <w:tblLayout w:type="fixed"/>
      </w:tblPr>
      <w:tblGrid>
        <w:gridCol w:w="11906"/>
      </w:tblGrid>
      <w:tr>
        <w:tc>
          <w:tcPr>
            <w:tcW w:w="11906" w:type="dxa"/>
            <w:shd w:val="clear" w:color="auto" w:fill="0C1E3E"/>
            <w:vAlign w:val="top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pPr>
              <w:spacing w:before="600"/>
            </w:pPr>
          </w:p>
          <w:p>
            <w:r>
              <w:drawing>
                <wp:inline xmlns:wp="http://schemas.openxmlformats.org/drawingml/2006/wordprocessingDrawing" xmlns:a="http://schemas.openxmlformats.org/drawingml/2006/main" xmlns:pic="http://schemas.openxmlformats.org/drawingml/2006/picture" distT="0" distB="0" distL="0" distR="0">
                  <wp:extent cx="2160000" cy="432000"/>
                  <wp:docPr id="3" name="Chinaready cover logo"/>
                  <a:graphic>
                    <a:graphicData uri="http://schemas.openxmlformats.org/drawingml/2006/picture">
                      <pic:pic>
                        <pic:nvPicPr>
                          <pic:cNvPr id="0" name="Chinaready cover logo"/>
                          <pic:cNvPicPr/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43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300"/>
            </w:pPr>
          </w:p>
          <w:p>
            <w:r>
              <w:rPr>
                <w:b/>
                <w:bCs/>
                <w:color w:val="7F95B8"/>
                <w:sz w:val="18"/>
                <w:szCs w:val="18"/>
                <w:caps/>
                <w:spacing w:val="80"/>
              </w:rPr>
              <w:t xml:space="preserve">WEEKLY EVIDENCE REPORT</w:t>
            </w:r>
          </w:p>
          <w:p>
            <w:pPr>
              <w:spacing w:after="240"/>
            </w:pPr>
            <w:r>
              <w:rPr>
                <w:b/>
                <w:bCs/>
                <w:color w:val="FFFFFF"/>
                <w:sz w:val="64"/>
                <w:szCs w:val="64"/>
              </w:rPr>
              <w:t xml:space="preserve">Stack Break Weekly</w:t>
            </w:r>
            <w:r>
              <w:rPr>
                <w:b/>
                <w:bCs/>
                <w:color w:val="005BAC"/>
                <w:sz w:val="64"/>
                <w:szCs w:val="64"/>
              </w:rPr>
              <w:t xml:space="preserve">.</w:t>
            </w:r>
          </w:p>
          <w:p>
            <w:r>
              <w:rPr>
                <w:color w:val="B7C2D6"/>
                <w:sz w:val="26"/>
                <w:szCs w:val="26"/>
              </w:rPr>
              <w:t xml:space="preserve">Which foreign web-stack dependencies reached a Beijing node this week.</w:t>
            </w:r>
          </w:p>
          <w:p>
            <w:pPr>
              <w:spacing w:before="700"/>
            </w:pPr>
            <w:r>
              <w:rPr>
                <w:b/>
                <w:bCs/>
                <w:color w:val="7F95B8"/>
                <w:sz w:val="20"/>
                <w:szCs w:val="20"/>
              </w:rPr>
              <w:t xml:space="preserve">Run date  </w:t>
            </w:r>
            <w:r>
              <w:rPr>
                <w:color w:val="FFFFFF"/>
                <w:sz w:val="20"/>
                <w:szCs w:val="20"/>
              </w:rPr>
              <w:t xml:space="preserve">2026-08-02</w:t>
            </w:r>
            <w:r>
              <w:rPr>
                <w:b/>
                <w:bCs/>
                <w:color w:val="7F95B8"/>
                <w:sz w:val="20"/>
                <w:szCs w:val="20"/>
              </w:rPr>
              <w:t xml:space="preserve">      Node  </w:t>
            </w:r>
            <w:r>
              <w:rPr>
                <w:color w:val="FFFFFF"/>
                <w:sz w:val="20"/>
                <w:szCs w:val="20"/>
              </w:rPr>
              <w:t xml:space="preserve">Alibaba Cloud cn-beijing-h</w:t>
            </w:r>
          </w:p>
          <w:p>
            <w:r>
              <w:rPr>
                <w:b/>
                <w:bCs/>
                <w:color w:val="7F95B8"/>
                <w:sz w:val="20"/>
                <w:szCs w:val="20"/>
              </w:rPr>
              <w:t xml:space="preserve">Targets  </w:t>
            </w:r>
            <w:r>
              <w:rPr>
                <w:color w:val="FFFFFF"/>
                <w:sz w:val="20"/>
                <w:szCs w:val="20"/>
              </w:rPr>
              <w:t xml:space="preserve">11 — 5 blocked / 2 degraded / 4 reachable</w:t>
            </w:r>
          </w:p>
          <w:p>
            <w:pPr>
              <w:spacing w:before="2400"/>
            </w:pPr>
          </w:p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stackbreak.launchready.cn</w:t>
            </w:r>
          </w:p>
        </w:tc>
      </w:tr>
    </w:tbl>
    <w:p>
      <w:pPr>
        <w:sectPr>
          <w:type w:val="nextPage"/>
          <w:titlePg/>
          <w:pgSz w:w="11906" w:h="16838"/>
          <w:pgMar w:top="0" w:right="0" w:bottom="0" w:left="0" w:header="0" w:footer="0" w:gutter="0"/>
        </w:sectPr>
      </w:pPr>
    </w:p>
    <w:p>
      <w:pPr>
        <w:spacing w:after="180"/>
        <w:keepNext/>
      </w:pPr>
      <w:r>
        <w:rPr>
          <w:b/>
          <w:bCs/>
          <w:color w:val="0C1E3E"/>
          <w:sz w:val="46"/>
          <w:szCs w:val="46"/>
        </w:rPr>
        <w:t xml:space="preserve">Contents</w:t>
      </w:r>
    </w:p>
    <w:p>
      <w:pPr>
        <w:spacing w:after="60"/>
      </w:pPr>
      <w:r>
        <w:rPr>
          <w:b/>
          <w:bCs/>
          <w:color w:val="005BAC"/>
          <w:sz w:val="24"/>
          <w:szCs w:val="24"/>
        </w:rPr>
        <w:t xml:space="preserve">01   </w:t>
      </w:r>
      <w:r>
        <w:rPr>
          <w:b/>
          <w:bCs/>
          <w:color w:val="0D1B2A"/>
          <w:sz w:val="24"/>
          <w:szCs w:val="24"/>
        </w:rPr>
        <w:t xml:space="preserve">Executive summary</w:t>
      </w:r>
      <w:r>
        <w:rPr>
          <w:color w:val="5A6A80"/>
          <w:sz w:val="20"/>
          <w:szCs w:val="20"/>
        </w:rPr>
        <w:t xml:space="preserve">   — Changes against the previous archived run</w:t>
      </w:r>
    </w:p>
    <w:p>
      <w:pPr>
        <w:spacing w:after="60"/>
      </w:pPr>
      <w:r>
        <w:rPr>
          <w:b/>
          <w:bCs/>
          <w:color w:val="005BAC"/>
          <w:sz w:val="24"/>
          <w:szCs w:val="24"/>
        </w:rPr>
        <w:t xml:space="preserve">02   </w:t>
      </w:r>
      <w:r>
        <w:rPr>
          <w:b/>
          <w:bCs/>
          <w:color w:val="0D1B2A"/>
          <w:sz w:val="24"/>
          <w:szCs w:val="24"/>
        </w:rPr>
        <w:t xml:space="preserve">Verdicts by dependency</w:t>
      </w:r>
      <w:r>
        <w:rPr>
          <w:color w:val="5A6A80"/>
          <w:sz w:val="20"/>
          <w:szCs w:val="20"/>
        </w:rPr>
        <w:t xml:space="preserve">   — All 11 dependencies, blocked first</w:t>
      </w:r>
    </w:p>
    <w:p>
      <w:pPr>
        <w:spacing w:after="60"/>
      </w:pPr>
      <w:r>
        <w:rPr>
          <w:b/>
          <w:bCs/>
          <w:color w:val="005BAC"/>
          <w:sz w:val="24"/>
          <w:szCs w:val="24"/>
        </w:rPr>
        <w:t xml:space="preserve">03   </w:t>
      </w:r>
      <w:r>
        <w:rPr>
          <w:b/>
          <w:bCs/>
          <w:color w:val="0D1B2A"/>
          <w:sz w:val="24"/>
          <w:szCs w:val="24"/>
        </w:rPr>
        <w:t xml:space="preserve">中文摘要</w:t>
      </w:r>
      <w:r>
        <w:rPr>
          <w:color w:val="5A6A80"/>
          <w:sz w:val="20"/>
          <w:szCs w:val="20"/>
        </w:rPr>
        <w:t xml:space="preserve">   — Chinese summary</w:t>
      </w:r>
    </w:p>
    <w:p>
      <w:pPr>
        <w:sectPr>
          <w:type w:val="nextPage"/>
          <w:headerReference w:type="default" r:id="rId1"/>
          <w:footerReference w:type="default" r:id="rId2"/>
          <w:pgSz w:w="11906" w:h="16838"/>
          <w:pgMar w:top="1134" w:right="1247" w:bottom="1134" w:left="1247" w:header="567" w:footer="567" w:gutter="0"/>
        </w:sectPr>
      </w:pPr>
    </w:p>
    <w:p>
      <w:pPr>
        <w:spacing w:after="180"/>
        <w:keepNext/>
      </w:pPr>
      <w:r>
        <w:rPr>
          <w:b/>
          <w:bCs/>
          <w:color w:val="0C1E3E"/>
          <w:sz w:val="46"/>
          <w:szCs w:val="46"/>
        </w:rPr>
        <w:t xml:space="preserve">01   Executive summary</w:t>
      </w:r>
    </w:p>
    <w:p>
      <w:pPr>
        <w:spacing w:after="180"/>
      </w:pPr>
      <w:r>
        <w:rPr>
          <w:color w:val="0D1B2A"/>
          <w:sz w:val="22"/>
          <w:szCs w:val="22"/>
        </w:rPr>
        <w:t xml:space="preserve">No verdict changes against the previous archived run.</w:t>
      </w:r>
    </w:p>
    <w:p>
      <w:pPr>
        <w:spacing w:after="180"/>
      </w:pPr>
      <w:r>
        <w:rPr>
          <w:i/>
          <w:color w:val="5A6A80"/>
          <w:sz w:val="18"/>
          <w:szCs w:val="18"/>
        </w:rPr>
        <w:t xml:space="preserve">Single-node snapshot from one Beijing run. Verdicts vary by carrier, region, and time. This is measurement evidence, not a legal or compliance conclusion.</w:t>
      </w:r>
    </w:p>
    <w:p>
      <w:pPr>
        <w:sectPr>
          <w:type w:val="nextPage"/>
          <w:headerReference w:type="default" r:id="rId1"/>
          <w:footerReference w:type="default" r:id="rId2"/>
          <w:pgSz w:w="11906" w:h="16838"/>
          <w:pgMar w:top="1134" w:right="1247" w:bottom="1134" w:left="1247" w:header="567" w:footer="567" w:gutter="0"/>
        </w:sectPr>
      </w:pPr>
    </w:p>
    <w:p>
      <w:pPr>
        <w:spacing w:after="180"/>
        <w:keepNext/>
      </w:pPr>
      <w:r>
        <w:rPr>
          <w:b/>
          <w:bCs/>
          <w:color w:val="0C1E3E"/>
          <w:sz w:val="46"/>
          <w:szCs w:val="46"/>
        </w:rPr>
        <w:t xml:space="preserve">02   Verdicts by dependency</w:t>
      </w:r>
    </w:p>
    <w:tbl>
      <w:tblPr>
        <w:tblW w:w="9412" w:type="dxa"/>
        <w:tblLayout w:type="fixed"/>
        <w:tblBorders>
          <w:top w:val="single" w:sz="4" w:color="DDE3EE"/>
          <w:left w:val="single" w:sz="4" w:color="DDE3EE"/>
          <w:bottom w:val="single" w:sz="4" w:color="DDE3EE"/>
          <w:right w:val="single" w:sz="4" w:color="DDE3EE"/>
          <w:insideH w:val="single" w:sz="4" w:color="DDE3EE"/>
          <w:insideV w:val="single" w:sz="4" w:color="DDE3EE"/>
        </w:tblBorders>
      </w:tblPr>
      <w:tblGrid>
        <w:gridCol w:w="2500"/>
        <w:gridCol w:w="900"/>
        <w:gridCol w:w="1100"/>
        <w:gridCol w:w="2300"/>
        <w:gridCol w:w="800"/>
        <w:gridCol w:w="800"/>
        <w:gridCol w:w="1012"/>
      </w:tblGrid>
      <w:tr>
        <w:trPr>
          <w:tblHeader/>
          <w:cantSplit/>
        </w:trPr>
        <w:tc>
          <w:tcPr>
            <w:tcW w:w="2500" w:type="dxa"/>
            <w:shd w:val="clear" w:color="auto" w:fill="F4F6F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C1E3E"/>
                <w:sz w:val="17"/>
                <w:szCs w:val="17"/>
              </w:rPr>
              <w:t xml:space="preserve">DEPENDENCY</w:t>
            </w:r>
          </w:p>
        </w:tc>
        <w:tc>
          <w:tcPr>
            <w:tcW w:w="900" w:type="dxa"/>
            <w:shd w:val="clear" w:color="auto" w:fill="F4F6F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C1E3E"/>
                <w:sz w:val="17"/>
                <w:szCs w:val="17"/>
              </w:rPr>
              <w:t xml:space="preserve">TIER</w:t>
            </w:r>
          </w:p>
        </w:tc>
        <w:tc>
          <w:tcPr>
            <w:tcW w:w="1100" w:type="dxa"/>
            <w:shd w:val="clear" w:color="auto" w:fill="F4F6F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C1E3E"/>
                <w:sz w:val="17"/>
                <w:szCs w:val="17"/>
              </w:rPr>
              <w:t xml:space="preserve">SAAS</w:t>
            </w:r>
          </w:p>
        </w:tc>
        <w:tc>
          <w:tcPr>
            <w:tcW w:w="2300" w:type="dxa"/>
            <w:shd w:val="clear" w:color="auto" w:fill="F4F6F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C1E3E"/>
                <w:sz w:val="17"/>
                <w:szCs w:val="17"/>
              </w:rPr>
              <w:t xml:space="preserve">DOMAIN</w:t>
            </w:r>
          </w:p>
        </w:tc>
        <w:tc>
          <w:tcPr>
            <w:tcW w:w="800" w:type="dxa"/>
            <w:shd w:val="clear" w:color="auto" w:fill="F4F6F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C1E3E"/>
                <w:sz w:val="17"/>
                <w:szCs w:val="17"/>
              </w:rPr>
              <w:t xml:space="preserve">HTTP</w:t>
            </w:r>
          </w:p>
        </w:tc>
        <w:tc>
          <w:tcPr>
            <w:tcW w:w="800" w:type="dxa"/>
            <w:shd w:val="clear" w:color="auto" w:fill="F4F6F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C1E3E"/>
                <w:sz w:val="17"/>
                <w:szCs w:val="17"/>
              </w:rPr>
              <w:t xml:space="preserve">TOTAL S</w:t>
            </w:r>
          </w:p>
        </w:tc>
        <w:tc>
          <w:tcPr>
            <w:tcW w:w="1012" w:type="dxa"/>
            <w:shd w:val="clear" w:color="auto" w:fill="F4F6F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C1E3E"/>
                <w:sz w:val="17"/>
                <w:szCs w:val="17"/>
              </w:rPr>
              <w:t xml:space="preserve">VERDICT</w:t>
            </w:r>
          </w:p>
        </w:tc>
      </w:tr>
      <w:tr>
        <w:trPr>
          <w:cantSplit/>
        </w:trPr>
        <w:tc>
          <w:tcPr>
            <w:tcW w:w="25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D1B2A"/>
                <w:sz w:val="19"/>
                <w:szCs w:val="19"/>
              </w:rPr>
              <w:t xml:space="preserve">Google reCAPTCHA</w:t>
            </w:r>
          </w:p>
        </w:tc>
        <w:tc>
          <w:tcPr>
            <w:tcW w:w="9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8"/>
                <w:szCs w:val="18"/>
              </w:rPr>
              <w:t xml:space="preserve">curated</w:t>
            </w:r>
          </w:p>
        </w:tc>
        <w:tc>
          <w:tcPr>
            <w:tcW w:w="11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05BAC"/>
                <w:sz w:val="19"/>
                <w:szCs w:val="19"/>
              </w:rPr>
              <w:t xml:space="preserve">—</w:t>
            </w:r>
          </w:p>
        </w:tc>
        <w:tc>
          <w:tcPr>
            <w:tcW w:w="23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D1B2A"/>
                <w:sz w:val="19"/>
                <w:szCs w:val="19"/>
              </w:rPr>
              <w:t xml:space="preserve">www.google.com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000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10.002</w:t>
            </w:r>
          </w:p>
        </w:tc>
        <w:tc>
          <w:tcPr>
            <w:tcW w:w="1012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B42318"/>
                <w:sz w:val="19"/>
                <w:szCs w:val="19"/>
              </w:rPr>
              <w:t xml:space="preserve">Blocked</w:t>
            </w:r>
          </w:p>
        </w:tc>
      </w:tr>
      <w:tr>
        <w:trPr>
          <w:cantSplit/>
        </w:trPr>
        <w:tc>
          <w:tcPr>
            <w:tcW w:w="25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D1B2A"/>
                <w:sz w:val="19"/>
                <w:szCs w:val="19"/>
              </w:rPr>
              <w:t xml:space="preserve">Google Sign-In</w:t>
            </w:r>
          </w:p>
        </w:tc>
        <w:tc>
          <w:tcPr>
            <w:tcW w:w="9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8"/>
                <w:szCs w:val="18"/>
              </w:rPr>
              <w:t xml:space="preserve">curated</w:t>
            </w:r>
          </w:p>
        </w:tc>
        <w:tc>
          <w:tcPr>
            <w:tcW w:w="11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05BAC"/>
                <w:sz w:val="19"/>
                <w:szCs w:val="19"/>
              </w:rPr>
              <w:t xml:space="preserve">—</w:t>
            </w:r>
          </w:p>
        </w:tc>
        <w:tc>
          <w:tcPr>
            <w:tcW w:w="23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D1B2A"/>
                <w:sz w:val="19"/>
                <w:szCs w:val="19"/>
              </w:rPr>
              <w:t xml:space="preserve">accounts.google.com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000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10.001</w:t>
            </w:r>
          </w:p>
        </w:tc>
        <w:tc>
          <w:tcPr>
            <w:tcW w:w="1012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B42318"/>
                <w:sz w:val="19"/>
                <w:szCs w:val="19"/>
              </w:rPr>
              <w:t xml:space="preserve">Blocked</w:t>
            </w:r>
          </w:p>
        </w:tc>
      </w:tr>
      <w:tr>
        <w:trPr>
          <w:cantSplit/>
        </w:trPr>
        <w:tc>
          <w:tcPr>
            <w:tcW w:w="25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D1B2A"/>
                <w:sz w:val="19"/>
                <w:szCs w:val="19"/>
              </w:rPr>
              <w:t xml:space="preserve">YouTube embed</w:t>
            </w:r>
          </w:p>
        </w:tc>
        <w:tc>
          <w:tcPr>
            <w:tcW w:w="9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8"/>
                <w:szCs w:val="18"/>
              </w:rPr>
              <w:t xml:space="preserve">curated</w:t>
            </w:r>
          </w:p>
        </w:tc>
        <w:tc>
          <w:tcPr>
            <w:tcW w:w="11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05BAC"/>
                <w:sz w:val="19"/>
                <w:szCs w:val="19"/>
              </w:rPr>
              <w:t xml:space="preserve">—</w:t>
            </w:r>
          </w:p>
        </w:tc>
        <w:tc>
          <w:tcPr>
            <w:tcW w:w="23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D1B2A"/>
                <w:sz w:val="19"/>
                <w:szCs w:val="19"/>
              </w:rPr>
              <w:t xml:space="preserve">www.youtube.com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000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10.002</w:t>
            </w:r>
          </w:p>
        </w:tc>
        <w:tc>
          <w:tcPr>
            <w:tcW w:w="1012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B42318"/>
                <w:sz w:val="19"/>
                <w:szCs w:val="19"/>
              </w:rPr>
              <w:t xml:space="preserve">Blocked</w:t>
            </w:r>
          </w:p>
        </w:tc>
      </w:tr>
      <w:tr>
        <w:trPr>
          <w:cantSplit/>
        </w:trPr>
        <w:tc>
          <w:tcPr>
            <w:tcW w:w="25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D1B2A"/>
                <w:sz w:val="19"/>
                <w:szCs w:val="19"/>
              </w:rPr>
              <w:t xml:space="preserve">Google Maps</w:t>
            </w:r>
          </w:p>
        </w:tc>
        <w:tc>
          <w:tcPr>
            <w:tcW w:w="9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8"/>
                <w:szCs w:val="18"/>
              </w:rPr>
              <w:t xml:space="preserve">curated</w:t>
            </w:r>
          </w:p>
        </w:tc>
        <w:tc>
          <w:tcPr>
            <w:tcW w:w="11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05BAC"/>
                <w:sz w:val="19"/>
                <w:szCs w:val="19"/>
              </w:rPr>
              <w:t xml:space="preserve">—</w:t>
            </w:r>
          </w:p>
        </w:tc>
        <w:tc>
          <w:tcPr>
            <w:tcW w:w="23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D1B2A"/>
                <w:sz w:val="19"/>
                <w:szCs w:val="19"/>
              </w:rPr>
              <w:t xml:space="preserve">maps.googleapis.com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000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10.002</w:t>
            </w:r>
          </w:p>
        </w:tc>
        <w:tc>
          <w:tcPr>
            <w:tcW w:w="1012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B42318"/>
                <w:sz w:val="19"/>
                <w:szCs w:val="19"/>
              </w:rPr>
              <w:t xml:space="preserve">Blocked</w:t>
            </w:r>
          </w:p>
        </w:tc>
      </w:tr>
      <w:tr>
        <w:trPr>
          <w:cantSplit/>
        </w:trPr>
        <w:tc>
          <w:tcPr>
            <w:tcW w:w="25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D1B2A"/>
                <w:sz w:val="19"/>
                <w:szCs w:val="19"/>
              </w:rPr>
              <w:t xml:space="preserve">Vimeo embed</w:t>
            </w:r>
          </w:p>
        </w:tc>
        <w:tc>
          <w:tcPr>
            <w:tcW w:w="9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8"/>
                <w:szCs w:val="18"/>
              </w:rPr>
              <w:t xml:space="preserve">curated</w:t>
            </w:r>
          </w:p>
        </w:tc>
        <w:tc>
          <w:tcPr>
            <w:tcW w:w="11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05BAC"/>
                <w:sz w:val="19"/>
                <w:szCs w:val="19"/>
              </w:rPr>
              <w:t xml:space="preserve">—</w:t>
            </w:r>
          </w:p>
        </w:tc>
        <w:tc>
          <w:tcPr>
            <w:tcW w:w="23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D1B2A"/>
                <w:sz w:val="19"/>
                <w:szCs w:val="19"/>
              </w:rPr>
              <w:t xml:space="preserve">player.vimeo.com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000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10.001</w:t>
            </w:r>
          </w:p>
        </w:tc>
        <w:tc>
          <w:tcPr>
            <w:tcW w:w="1012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B42318"/>
                <w:sz w:val="19"/>
                <w:szCs w:val="19"/>
              </w:rPr>
              <w:t xml:space="preserve">Blocked</w:t>
            </w:r>
          </w:p>
        </w:tc>
      </w:tr>
      <w:tr>
        <w:trPr>
          <w:cantSplit/>
        </w:trPr>
        <w:tc>
          <w:tcPr>
            <w:tcW w:w="25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D1B2A"/>
                <w:sz w:val="19"/>
                <w:szCs w:val="19"/>
              </w:rPr>
              <w:t xml:space="preserve">Adobe Fonts (Typekit)</w:t>
            </w:r>
          </w:p>
        </w:tc>
        <w:tc>
          <w:tcPr>
            <w:tcW w:w="9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8"/>
                <w:szCs w:val="18"/>
              </w:rPr>
              <w:t xml:space="preserve">curated</w:t>
            </w:r>
          </w:p>
        </w:tc>
        <w:tc>
          <w:tcPr>
            <w:tcW w:w="11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05BAC"/>
                <w:sz w:val="19"/>
                <w:szCs w:val="19"/>
              </w:rPr>
              <w:t xml:space="preserve">—</w:t>
            </w:r>
          </w:p>
        </w:tc>
        <w:tc>
          <w:tcPr>
            <w:tcW w:w="23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D1B2A"/>
                <w:sz w:val="19"/>
                <w:szCs w:val="19"/>
              </w:rPr>
              <w:t xml:space="preserve">use.typekit.net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404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1.041</w:t>
            </w:r>
          </w:p>
        </w:tc>
        <w:tc>
          <w:tcPr>
            <w:tcW w:w="1012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B54708"/>
                <w:sz w:val="19"/>
                <w:szCs w:val="19"/>
              </w:rPr>
              <w:t xml:space="preserve">Degraded</w:t>
            </w:r>
          </w:p>
        </w:tc>
      </w:tr>
      <w:tr>
        <w:trPr>
          <w:cantSplit/>
        </w:trPr>
        <w:tc>
          <w:tcPr>
            <w:tcW w:w="25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D1B2A"/>
                <w:sz w:val="19"/>
                <w:szCs w:val="19"/>
              </w:rPr>
              <w:t xml:space="preserve">Auth0</w:t>
            </w:r>
          </w:p>
        </w:tc>
        <w:tc>
          <w:tcPr>
            <w:tcW w:w="9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8"/>
                <w:szCs w:val="18"/>
              </w:rPr>
              <w:t xml:space="preserve">curated</w:t>
            </w:r>
          </w:p>
        </w:tc>
        <w:tc>
          <w:tcPr>
            <w:tcW w:w="11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05BAC"/>
                <w:sz w:val="19"/>
                <w:szCs w:val="19"/>
              </w:rPr>
              <w:t xml:space="preserve">—</w:t>
            </w:r>
          </w:p>
        </w:tc>
        <w:tc>
          <w:tcPr>
            <w:tcW w:w="23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D1B2A"/>
                <w:sz w:val="19"/>
                <w:szCs w:val="19"/>
              </w:rPr>
              <w:t xml:space="preserve">cdn.auth0.com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200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2.470</w:t>
            </w:r>
          </w:p>
        </w:tc>
        <w:tc>
          <w:tcPr>
            <w:tcW w:w="1012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B54708"/>
                <w:sz w:val="19"/>
                <w:szCs w:val="19"/>
              </w:rPr>
              <w:t xml:space="preserve">Degraded</w:t>
            </w:r>
          </w:p>
        </w:tc>
      </w:tr>
      <w:tr>
        <w:trPr>
          <w:cantSplit/>
        </w:trPr>
        <w:tc>
          <w:tcPr>
            <w:tcW w:w="25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D1B2A"/>
                <w:sz w:val="19"/>
                <w:szCs w:val="19"/>
              </w:rPr>
              <w:t xml:space="preserve">Google Fonts</w:t>
            </w:r>
          </w:p>
        </w:tc>
        <w:tc>
          <w:tcPr>
            <w:tcW w:w="9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8"/>
                <w:szCs w:val="18"/>
              </w:rPr>
              <w:t xml:space="preserve">curated</w:t>
            </w:r>
          </w:p>
        </w:tc>
        <w:tc>
          <w:tcPr>
            <w:tcW w:w="11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05BAC"/>
                <w:sz w:val="19"/>
                <w:szCs w:val="19"/>
              </w:rPr>
              <w:t xml:space="preserve">—</w:t>
            </w:r>
          </w:p>
        </w:tc>
        <w:tc>
          <w:tcPr>
            <w:tcW w:w="23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D1B2A"/>
                <w:sz w:val="19"/>
                <w:szCs w:val="19"/>
              </w:rPr>
              <w:t xml:space="preserve">fonts.googleapis.com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200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0.239</w:t>
            </w:r>
          </w:p>
        </w:tc>
        <w:tc>
          <w:tcPr>
            <w:tcW w:w="1012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67647"/>
                <w:sz w:val="19"/>
                <w:szCs w:val="19"/>
              </w:rPr>
              <w:t xml:space="preserve">Reachable</w:t>
            </w:r>
          </w:p>
        </w:tc>
      </w:tr>
      <w:tr>
        <w:trPr>
          <w:cantSplit/>
        </w:trPr>
        <w:tc>
          <w:tcPr>
            <w:tcW w:w="25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D1B2A"/>
                <w:sz w:val="19"/>
                <w:szCs w:val="19"/>
              </w:rPr>
              <w:t xml:space="preserve">Material Symbols</w:t>
            </w:r>
          </w:p>
        </w:tc>
        <w:tc>
          <w:tcPr>
            <w:tcW w:w="9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8"/>
                <w:szCs w:val="18"/>
              </w:rPr>
              <w:t xml:space="preserve">curated</w:t>
            </w:r>
          </w:p>
        </w:tc>
        <w:tc>
          <w:tcPr>
            <w:tcW w:w="11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05BAC"/>
                <w:sz w:val="19"/>
                <w:szCs w:val="19"/>
              </w:rPr>
              <w:t xml:space="preserve">—</w:t>
            </w:r>
          </w:p>
        </w:tc>
        <w:tc>
          <w:tcPr>
            <w:tcW w:w="23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D1B2A"/>
                <w:sz w:val="19"/>
                <w:szCs w:val="19"/>
              </w:rPr>
              <w:t xml:space="preserve">fonts.googleapis.com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200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0.234</w:t>
            </w:r>
          </w:p>
        </w:tc>
        <w:tc>
          <w:tcPr>
            <w:tcW w:w="1012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67647"/>
                <w:sz w:val="19"/>
                <w:szCs w:val="19"/>
              </w:rPr>
              <w:t xml:space="preserve">Reachable</w:t>
            </w:r>
          </w:p>
        </w:tc>
      </w:tr>
      <w:tr>
        <w:trPr>
          <w:cantSplit/>
        </w:trPr>
        <w:tc>
          <w:tcPr>
            <w:tcW w:w="25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D1B2A"/>
                <w:sz w:val="19"/>
                <w:szCs w:val="19"/>
              </w:rPr>
              <w:t xml:space="preserve">Google Tag Manager</w:t>
            </w:r>
          </w:p>
        </w:tc>
        <w:tc>
          <w:tcPr>
            <w:tcW w:w="9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8"/>
                <w:szCs w:val="18"/>
              </w:rPr>
              <w:t xml:space="preserve">curated</w:t>
            </w:r>
          </w:p>
        </w:tc>
        <w:tc>
          <w:tcPr>
            <w:tcW w:w="11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05BAC"/>
                <w:sz w:val="19"/>
                <w:szCs w:val="19"/>
              </w:rPr>
              <w:t xml:space="preserve">—</w:t>
            </w:r>
          </w:p>
        </w:tc>
        <w:tc>
          <w:tcPr>
            <w:tcW w:w="23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D1B2A"/>
                <w:sz w:val="19"/>
                <w:szCs w:val="19"/>
              </w:rPr>
              <w:t xml:space="preserve">www.googletagmanager.com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200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0.278</w:t>
            </w:r>
          </w:p>
        </w:tc>
        <w:tc>
          <w:tcPr>
            <w:tcW w:w="1012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67647"/>
                <w:sz w:val="19"/>
                <w:szCs w:val="19"/>
              </w:rPr>
              <w:t xml:space="preserve">Reachable</w:t>
            </w:r>
          </w:p>
        </w:tc>
      </w:tr>
      <w:tr>
        <w:trPr>
          <w:cantSplit/>
        </w:trPr>
        <w:tc>
          <w:tcPr>
            <w:tcW w:w="25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D1B2A"/>
                <w:sz w:val="19"/>
                <w:szCs w:val="19"/>
              </w:rPr>
              <w:t xml:space="preserve">Google Analytics 4</w:t>
            </w:r>
          </w:p>
        </w:tc>
        <w:tc>
          <w:tcPr>
            <w:tcW w:w="9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8"/>
                <w:szCs w:val="18"/>
              </w:rPr>
              <w:t xml:space="preserve">curated</w:t>
            </w:r>
          </w:p>
        </w:tc>
        <w:tc>
          <w:tcPr>
            <w:tcW w:w="11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05BAC"/>
                <w:sz w:val="19"/>
                <w:szCs w:val="19"/>
              </w:rPr>
              <w:t xml:space="preserve">—</w:t>
            </w:r>
          </w:p>
        </w:tc>
        <w:tc>
          <w:tcPr>
            <w:tcW w:w="23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D1B2A"/>
                <w:sz w:val="19"/>
                <w:szCs w:val="19"/>
              </w:rPr>
              <w:t xml:space="preserve">www.googletagmanager.com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200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0.355</w:t>
            </w:r>
          </w:p>
        </w:tc>
        <w:tc>
          <w:tcPr>
            <w:tcW w:w="1012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67647"/>
                <w:sz w:val="19"/>
                <w:szCs w:val="19"/>
              </w:rPr>
              <w:t xml:space="preserve">Reachable</w:t>
            </w:r>
          </w:p>
        </w:tc>
      </w:tr>
    </w:tbl>
    <w:p>
      <w:pPr>
        <w:sectPr>
          <w:type w:val="nextPage"/>
          <w:headerReference w:type="default" r:id="rId1"/>
          <w:footerReference w:type="default" r:id="rId2"/>
          <w:pgSz w:w="11906" w:h="16838"/>
          <w:pgMar w:top="1134" w:right="1247" w:bottom="1134" w:left="1247" w:header="567" w:footer="567" w:gutter="0"/>
        </w:sectPr>
      </w:pPr>
    </w:p>
    <w:p>
      <w:pPr>
        <w:spacing w:after="180"/>
        <w:keepNext/>
      </w:pPr>
      <w:r>
        <w:rPr>
          <w:b/>
          <w:bCs/>
          <w:color w:val="0C1E3E"/>
          <w:sz w:val="46"/>
          <w:szCs w:val="46"/>
        </w:rPr>
        <w:t xml:space="preserve">03   中文摘要</w:t>
      </w:r>
    </w:p>
    <w:p>
      <w:pPr>
        <w:spacing w:after="180"/>
      </w:pPr>
      <w:r>
        <w:rPr>
          <w:color w:val="0D1B2A"/>
          <w:sz w:val="22"/>
          <w:szCs w:val="22"/>
        </w:rPr>
        <w:t xml:space="preserve">本页为中文摘要。Stack Break Lab 每周从北京节点实测境外 Web 技术栈依赖在中国大陆的可达性。</w:t>
      </w:r>
    </w:p>
    <w:p>
      <w:pPr>
        <w:spacing w:after="180"/>
      </w:pPr>
      <w:r>
        <w:rPr>
          <w:color w:val="0D1B2A"/>
          <w:sz w:val="22"/>
          <w:szCs w:val="22"/>
        </w:rPr>
        <w:t xml:space="preserve">本期共测 11 项：可达 4、降速 2、阻断 5。</w:t>
      </w:r>
    </w:p>
    <w:p>
      <w:pPr>
        <w:spacing w:after="180"/>
      </w:pPr>
      <w:r>
        <w:rPr>
          <w:color w:val="0D1B2A"/>
          <w:sz w:val="22"/>
          <w:szCs w:val="22"/>
        </w:rPr>
        <w:t xml:space="preserve">与上一期归档相比：新被墙 0 项，恢复 0 项。</w:t>
      </w:r>
    </w:p>
    <w:p>
      <w:pPr>
        <w:spacing w:after="180"/>
      </w:pPr>
      <w:r>
        <w:rPr>
          <w:color w:val="0D1B2A"/>
          <w:sz w:val="22"/>
          <w:szCs w:val="22"/>
        </w:rPr>
        <w:t xml:space="preserve">测试环境：Alibaba Cloud cn-beijing-h（launchready.cn），DNS 223.5.5.5。</w:t>
      </w:r>
    </w:p>
    <w:p>
      <w:pPr>
        <w:spacing w:after="180"/>
      </w:pPr>
      <w:r>
        <w:rPr>
          <w:color w:val="0D1B2A"/>
          <w:sz w:val="22"/>
          <w:szCs w:val="22"/>
        </w:rPr>
        <w:t xml:space="preserve">完整明细与历史数据见 stackbreak.launchready.cn。</w:t>
      </w:r>
    </w:p>
    <w:p>
      <w:pPr>
        <w:spacing w:after="180"/>
      </w:pPr>
      <w:r>
        <w:rPr>
          <w:i/>
          <w:color w:val="5A6A80"/>
          <w:sz w:val="18"/>
          <w:szCs w:val="18"/>
        </w:rPr>
        <w:t xml:space="preserve">免责声明：本报告为单节点（北京）单次快照，结果随运营商、地区与时间变化；本报告是测量证据，不构成法律或合规结论。</w:t>
      </w:r>
    </w:p>
    <w:p>
      <w:pPr>
        <w:sectPr>
          <w:headerReference w:type="default" r:id="rId1"/>
          <w:footerReference w:type="default" r:id="rId2"/>
          <w:pgSz w:w="11906" w:h="16838"/>
          <w:pgMar w:top="1134" w:right="1247" w:bottom="1134" w:left="1247" w:header="567" w:footer="567" w:gutter="0"/>
        </w:sectPr>
      </w:pPr>
    </w:p>
  </w:body>
</w:document>
</file>

<file path=word/footer.xml><?xml version="1.0" encoding="utf-8"?>
<w:ftr xmlns:w="http://schemas.openxmlformats.org/wordprocessingml/2006/main">
  <w:p>
    <w:pPr>
      <w:tabs>
        <w:tab w:val="right" w:pos="9412"/>
      </w:tabs>
    </w:pPr>
    <w:r>
      <w:rPr>
        <w:color w:val="5A6A80"/>
        <w:sz w:val="18"/>
        <w:szCs w:val="18"/>
      </w:rPr>
      <w:t xml:space="preserve">stackbreak.launchready.cn</w:t>
    </w:r>
    <w:r>
      <w:tab/>
    </w:r>
    <w:r>
      <w:rPr>
        <w:color w:val="5A6A80"/>
        <w:sz w:val="18"/>
        <w:szCs w:val="18"/>
      </w:rPr>
      <w:t xml:space="preserve">PAGE </w:t>
    </w:r>
    <w:fldSimple w:instr="PAGE"/>
  </w:p>
</w:ftr>
</file>

<file path=word/header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Bdr>
        <w:bottom w:val="single" w:sz="4" w:color="DDE3EE"/>
      </w:pBdr>
    </w:pPr>
    <w:r>
      <w:drawing>
        <wp:inline xmlns:wp="http://schemas.openxmlformats.org/drawingml/2006/wordprocessingDrawing" xmlns:a="http://schemas.openxmlformats.org/drawingml/2006/main" xmlns:pic="http://schemas.openxmlformats.org/drawingml/2006/picture" distT="0" distB="0" distL="0" distR="0">
          <wp:extent cx="1900000" cy="420000"/>
          <wp:docPr id="1" name="Chinaready header logo"/>
          <a:graphic>
            <a:graphicData uri="http://schemas.openxmlformats.org/drawingml/2006/picture">
              <pic:pic>
                <pic:nvPicPr>
                  <pic:cNvPr id="0" name="Chinaready header logo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900000" cy="4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header" Target="header.xml"/><Relationship Id="rId2" Type="http://schemas.openxmlformats.org/officeDocument/2006/relationships/footer" Target="footer.xml"/><Relationship Id="rId3" Type="http://schemas.openxmlformats.org/officeDocument/2006/relationships/image" Target="media/logo-cover.png"/></Relationships>
</file>

<file path=word/_rels/header.xml.rels><?xml version="1.0" encoding="UTF-8" standalone="yes"?><Relationships xmlns="http://schemas.openxmlformats.org/package/2006/relationships"><Relationship Id="rId1" Type="http://schemas.openxmlformats.org/officeDocument/2006/relationships/image" Target="media/logo-header.png"/></Relationships>
</file>